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99AE9">
      <w:pPr>
        <w:widowControl/>
        <w:spacing w:line="360" w:lineRule="auto"/>
        <w:rPr>
          <w:rFonts w:ascii="宋体" w:hAnsi="宋体" w:eastAsia="宋体" w:cs="Times New Roman"/>
          <w:b/>
          <w:bCs/>
          <w:color w:val="000000" w:themeColor="text1"/>
          <w:kern w:val="0"/>
          <w:szCs w:val="21"/>
          <w14:textFill>
            <w14:solidFill>
              <w14:schemeClr w14:val="tx1"/>
            </w14:solidFill>
          </w14:textFill>
        </w:rPr>
      </w:pPr>
      <w:bookmarkStart w:id="23" w:name="_GoBack"/>
      <w:bookmarkEnd w:id="23"/>
    </w:p>
    <w:p w14:paraId="573DAD98">
      <w:pPr>
        <w:widowControl/>
        <w:spacing w:line="360" w:lineRule="auto"/>
        <w:jc w:val="center"/>
        <w:rPr>
          <w:rFonts w:ascii="宋体" w:hAnsi="宋体" w:eastAsia="宋体" w:cs="Times New Roman"/>
          <w:b/>
          <w:bCs/>
          <w:color w:val="000000" w:themeColor="text1"/>
          <w:kern w:val="0"/>
          <w:sz w:val="48"/>
          <w:szCs w:val="48"/>
          <w14:textFill>
            <w14:solidFill>
              <w14:schemeClr w14:val="tx1"/>
            </w14:solidFill>
          </w14:textFill>
        </w:rPr>
      </w:pPr>
      <w:r>
        <w:rPr>
          <w:rFonts w:hint="eastAsia" w:ascii="宋体" w:hAnsi="宋体" w:eastAsia="宋体" w:cs="Times New Roman"/>
          <w:b/>
          <w:bCs/>
          <w:color w:val="000000" w:themeColor="text1"/>
          <w:kern w:val="0"/>
          <w:sz w:val="52"/>
          <w:szCs w:val="52"/>
          <w14:textFill>
            <w14:solidFill>
              <w14:schemeClr w14:val="tx1"/>
            </w14:solidFill>
          </w14:textFill>
        </w:rPr>
        <w:t>灵宝市高级技工学校灵宝市公共就业创业服务驿站项目</w:t>
      </w:r>
    </w:p>
    <w:p w14:paraId="4C87DF6D">
      <w:pPr>
        <w:spacing w:after="120"/>
        <w:rPr>
          <w:rFonts w:ascii="宋体" w:hAnsi="宋体" w:eastAsia="宋体" w:cs="Times New Roman"/>
          <w:color w:val="000000" w:themeColor="text1"/>
          <w:kern w:val="0"/>
          <w:sz w:val="20"/>
          <w:szCs w:val="24"/>
          <w14:textFill>
            <w14:solidFill>
              <w14:schemeClr w14:val="tx1"/>
            </w14:solidFill>
          </w14:textFill>
        </w:rPr>
      </w:pPr>
    </w:p>
    <w:p w14:paraId="7F5877EE">
      <w:pPr>
        <w:jc w:val="center"/>
        <w:rPr>
          <w:rFonts w:ascii="Times New Roman" w:hAnsi="Times New Roman" w:eastAsia="宋体" w:cs="Times New Roman"/>
          <w:b/>
          <w:bCs/>
          <w:sz w:val="72"/>
          <w:szCs w:val="72"/>
        </w:rPr>
      </w:pPr>
    </w:p>
    <w:p w14:paraId="404BF525">
      <w:pPr>
        <w:jc w:val="center"/>
        <w:rPr>
          <w:rFonts w:ascii="Times New Roman" w:hAnsi="Times New Roman" w:eastAsia="宋体" w:cs="Times New Roman"/>
          <w:b/>
          <w:bCs/>
          <w:sz w:val="72"/>
          <w:szCs w:val="72"/>
        </w:rPr>
      </w:pPr>
      <w:r>
        <w:rPr>
          <w:rFonts w:hint="eastAsia" w:ascii="Times New Roman" w:hAnsi="Times New Roman" w:eastAsia="宋体" w:cs="Times New Roman"/>
          <w:b/>
          <w:bCs/>
          <w:sz w:val="72"/>
          <w:szCs w:val="72"/>
        </w:rPr>
        <w:t>招标文件</w:t>
      </w:r>
    </w:p>
    <w:p w14:paraId="21BB815F">
      <w:pPr>
        <w:jc w:val="center"/>
        <w:rPr>
          <w:rFonts w:ascii="Times New Roman" w:hAnsi="Times New Roman" w:eastAsia="宋体" w:cs="Times New Roman"/>
          <w:b/>
          <w:bCs/>
          <w:sz w:val="32"/>
          <w:szCs w:val="32"/>
        </w:rPr>
      </w:pPr>
    </w:p>
    <w:p w14:paraId="4A4CC374">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项目编号：LBGZ[2024]291-ZC207、</w:t>
      </w:r>
    </w:p>
    <w:p w14:paraId="29A1FE49">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灵宝公开采购-2024-61</w:t>
      </w:r>
    </w:p>
    <w:p w14:paraId="1FB7C232">
      <w:pPr>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 xml:space="preserve"> </w:t>
      </w:r>
    </w:p>
    <w:p w14:paraId="17B8F825">
      <w:pPr>
        <w:widowControl/>
        <w:spacing w:line="360" w:lineRule="auto"/>
        <w:ind w:firstLine="1100" w:firstLineChars="550"/>
        <w:rPr>
          <w:rFonts w:ascii="宋体" w:hAnsi="宋体" w:eastAsia="宋体" w:cs="Times New Roman"/>
          <w:color w:val="000000" w:themeColor="text1"/>
          <w:kern w:val="0"/>
          <w:sz w:val="20"/>
          <w:szCs w:val="24"/>
          <w14:textFill>
            <w14:solidFill>
              <w14:schemeClr w14:val="tx1"/>
            </w14:solidFill>
          </w14:textFill>
        </w:rPr>
      </w:pPr>
    </w:p>
    <w:p w14:paraId="36A2EB15">
      <w:pPr>
        <w:widowControl/>
        <w:spacing w:line="360" w:lineRule="auto"/>
        <w:ind w:firstLine="1100" w:firstLineChars="550"/>
        <w:rPr>
          <w:rFonts w:ascii="宋体" w:hAnsi="宋体" w:eastAsia="宋体" w:cs="Times New Roman"/>
          <w:color w:val="000000" w:themeColor="text1"/>
          <w:kern w:val="0"/>
          <w:sz w:val="20"/>
          <w:szCs w:val="24"/>
          <w14:textFill>
            <w14:solidFill>
              <w14:schemeClr w14:val="tx1"/>
            </w14:solidFill>
          </w14:textFill>
        </w:rPr>
      </w:pPr>
      <w:r>
        <w:rPr>
          <w:rFonts w:ascii="宋体" w:hAnsi="宋体" w:eastAsia="宋体" w:cs="Times New Roman"/>
          <w:color w:val="000000" w:themeColor="text1"/>
          <w:kern w:val="0"/>
          <w:sz w:val="20"/>
          <w:szCs w:val="24"/>
          <w14:textFill>
            <w14:solidFill>
              <w14:schemeClr w14:val="tx1"/>
            </w14:solidFill>
          </w14:textFill>
        </w:rPr>
        <w:drawing>
          <wp:inline distT="0" distB="0" distL="0" distR="0">
            <wp:extent cx="3676650" cy="962025"/>
            <wp:effectExtent l="0" t="0" r="0" b="9525"/>
            <wp:docPr id="3" name="图片 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676650" cy="962025"/>
                    </a:xfrm>
                    <a:prstGeom prst="rect">
                      <a:avLst/>
                    </a:prstGeom>
                    <a:noFill/>
                    <a:ln>
                      <a:noFill/>
                    </a:ln>
                  </pic:spPr>
                </pic:pic>
              </a:graphicData>
            </a:graphic>
          </wp:inline>
        </w:drawing>
      </w:r>
    </w:p>
    <w:p w14:paraId="00B125C3">
      <w:pPr>
        <w:widowControl/>
        <w:ind w:firstLine="630" w:firstLineChars="196"/>
        <w:rPr>
          <w:rFonts w:ascii="宋体" w:hAnsi="宋体" w:eastAsia="宋体" w:cs="Times New Roman"/>
          <w:b/>
          <w:bCs/>
          <w:color w:val="000000" w:themeColor="text1"/>
          <w:kern w:val="0"/>
          <w:sz w:val="32"/>
          <w:szCs w:val="32"/>
          <w14:textFill>
            <w14:solidFill>
              <w14:schemeClr w14:val="tx1"/>
            </w14:solidFill>
          </w14:textFill>
        </w:rPr>
      </w:pPr>
    </w:p>
    <w:p w14:paraId="0F222581">
      <w:pPr>
        <w:widowControl/>
        <w:ind w:firstLine="630" w:firstLineChars="196"/>
        <w:rPr>
          <w:rFonts w:ascii="宋体" w:hAnsi="宋体" w:eastAsia="宋体" w:cs="Times New Roman"/>
          <w:b/>
          <w:bCs/>
          <w:color w:val="000000" w:themeColor="text1"/>
          <w:kern w:val="0"/>
          <w:sz w:val="32"/>
          <w:szCs w:val="32"/>
          <w14:textFill>
            <w14:solidFill>
              <w14:schemeClr w14:val="tx1"/>
            </w14:solidFill>
          </w14:textFill>
        </w:rPr>
      </w:pPr>
    </w:p>
    <w:p w14:paraId="69C2AF50">
      <w:pPr>
        <w:widowControl/>
        <w:rPr>
          <w:rFonts w:ascii="宋体" w:hAnsi="宋体" w:eastAsia="宋体" w:cs="Times New Roman"/>
          <w:b/>
          <w:bCs/>
          <w:color w:val="000000" w:themeColor="text1"/>
          <w:kern w:val="0"/>
          <w:sz w:val="32"/>
          <w:szCs w:val="32"/>
          <w14:textFill>
            <w14:solidFill>
              <w14:schemeClr w14:val="tx1"/>
            </w14:solidFill>
          </w14:textFill>
        </w:rPr>
      </w:pPr>
    </w:p>
    <w:p w14:paraId="06F65BA6">
      <w:pPr>
        <w:widowControl/>
        <w:ind w:firstLine="630" w:firstLineChars="196"/>
        <w:rPr>
          <w:rFonts w:ascii="宋体" w:hAnsi="宋体" w:eastAsia="宋体" w:cs="Times New Roman"/>
          <w:b/>
          <w:bCs/>
          <w:color w:val="000000" w:themeColor="text1"/>
          <w:kern w:val="0"/>
          <w:sz w:val="32"/>
          <w:szCs w:val="32"/>
          <w14:textFill>
            <w14:solidFill>
              <w14:schemeClr w14:val="tx1"/>
            </w14:solidFill>
          </w14:textFill>
        </w:rPr>
      </w:pPr>
    </w:p>
    <w:p w14:paraId="2200B44D">
      <w:pPr>
        <w:widowControl/>
        <w:ind w:left="3378" w:leftChars="665" w:hanging="1982" w:hangingChars="705"/>
        <w:rPr>
          <w:rFonts w:ascii="宋体" w:hAnsi="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采   购  人:</w:t>
      </w:r>
      <w:r>
        <w:rPr>
          <w:rFonts w:hint="eastAsia" w:cs="Times New Roman" w:asciiTheme="minorEastAsia" w:hAnsiTheme="minorEastAsia"/>
          <w:b/>
          <w:kern w:val="0"/>
          <w:sz w:val="28"/>
          <w:szCs w:val="28"/>
        </w:rPr>
        <w:t xml:space="preserve"> </w:t>
      </w:r>
      <w:r>
        <w:rPr>
          <w:rFonts w:hint="eastAsia" w:ascii="宋体" w:hAnsi="宋体" w:eastAsia="宋体" w:cs="Times New Roman"/>
          <w:b/>
          <w:bCs/>
          <w:color w:val="000000" w:themeColor="text1"/>
          <w:kern w:val="0"/>
          <w:sz w:val="28"/>
          <w:szCs w:val="28"/>
          <w14:textFill>
            <w14:solidFill>
              <w14:schemeClr w14:val="tx1"/>
            </w14:solidFill>
          </w14:textFill>
        </w:rPr>
        <w:t>灵宝市高级技工学校</w:t>
      </w:r>
    </w:p>
    <w:p w14:paraId="321DB4B5">
      <w:pPr>
        <w:widowControl/>
        <w:ind w:firstLine="1383" w:firstLineChars="492"/>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代 理 机 构：中科天一工程管理有限公司</w:t>
      </w:r>
    </w:p>
    <w:p w14:paraId="0F978A2F">
      <w:pPr>
        <w:widowControl/>
        <w:ind w:firstLine="1383" w:firstLineChars="492"/>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日       期：二〇二四年十月</w:t>
      </w:r>
    </w:p>
    <w:p w14:paraId="6765B177">
      <w:pPr>
        <w:widowControl/>
        <w:spacing w:line="490" w:lineRule="atLeast"/>
        <w:jc w:val="center"/>
        <w:rPr>
          <w:rFonts w:ascii="宋体" w:hAnsi="宋体" w:eastAsia="宋体" w:cs="Times New Roman"/>
          <w:b/>
          <w:bCs/>
          <w:color w:val="000000" w:themeColor="text1"/>
          <w:kern w:val="0"/>
          <w:sz w:val="44"/>
          <w:szCs w:val="44"/>
          <w14:textFill>
            <w14:solidFill>
              <w14:schemeClr w14:val="tx1"/>
            </w14:solidFill>
          </w14:textFill>
        </w:rPr>
        <w:sectPr>
          <w:headerReference r:id="rId3" w:type="default"/>
          <w:footerReference r:id="rId4" w:type="default"/>
          <w:pgSz w:w="11906" w:h="16838"/>
          <w:pgMar w:top="1440" w:right="1800" w:bottom="1440" w:left="1800" w:header="850" w:footer="964" w:gutter="0"/>
          <w:cols w:space="720" w:num="1"/>
          <w:docGrid w:type="lines" w:linePitch="312" w:charSpace="0"/>
        </w:sectPr>
      </w:pPr>
    </w:p>
    <w:p w14:paraId="5A42C5B6">
      <w:pPr>
        <w:widowControl/>
        <w:spacing w:line="490" w:lineRule="atLeast"/>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目 录</w:t>
      </w:r>
    </w:p>
    <w:p w14:paraId="134E1632">
      <w:pPr>
        <w:widowControl/>
        <w:spacing w:line="490" w:lineRule="atLeast"/>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第一章 招标公告</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1</w:t>
      </w:r>
    </w:p>
    <w:p w14:paraId="72709D6C">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 xml:space="preserve">第二章 投标供应商须知 </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7</w:t>
      </w:r>
    </w:p>
    <w:p w14:paraId="60D35DA7">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第三章 采购内容</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38</w:t>
      </w:r>
    </w:p>
    <w:p w14:paraId="07797F95">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第四章 评标办法</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87</w:t>
      </w:r>
    </w:p>
    <w:p w14:paraId="7EC0488C">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第五章 政府采购合同（主要条款）</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93</w:t>
      </w:r>
    </w:p>
    <w:p w14:paraId="0BD56400">
      <w:pPr>
        <w:widowControl/>
        <w:spacing w:line="720" w:lineRule="auto"/>
        <w:rPr>
          <w:rFonts w:ascii="宋体" w:hAnsi="宋体" w:eastAsia="宋体" w:cs="Times New Roman"/>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 xml:space="preserve">第六章 投标文件格式 </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100</w:t>
      </w:r>
    </w:p>
    <w:p w14:paraId="20B38CB5">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2DE7186F">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2A11A716">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0993DBFF">
      <w:pPr>
        <w:widowControl/>
        <w:spacing w:line="720" w:lineRule="auto"/>
        <w:ind w:firstLine="720"/>
        <w:rPr>
          <w:rFonts w:ascii="宋体" w:hAnsi="宋体" w:eastAsia="宋体" w:cs="Times New Roman"/>
          <w:color w:val="000000" w:themeColor="text1"/>
          <w:kern w:val="0"/>
          <w:sz w:val="20"/>
          <w:szCs w:val="24"/>
          <w14:textFill>
            <w14:solidFill>
              <w14:schemeClr w14:val="tx1"/>
            </w14:solidFill>
          </w14:textFill>
        </w:rPr>
      </w:pPr>
    </w:p>
    <w:p w14:paraId="7CAD77FB">
      <w:pPr>
        <w:widowControl/>
        <w:jc w:val="left"/>
        <w:rPr>
          <w:rFonts w:ascii="宋体" w:hAnsi="宋体" w:eastAsia="宋体" w:cs="宋体"/>
          <w:b/>
          <w:bCs/>
          <w:color w:val="000000" w:themeColor="text1"/>
          <w:kern w:val="0"/>
          <w:sz w:val="44"/>
          <w:szCs w:val="44"/>
          <w14:textFill>
            <w14:solidFill>
              <w14:schemeClr w14:val="tx1"/>
            </w14:solidFill>
          </w14:textFill>
        </w:rPr>
        <w:sectPr>
          <w:footerReference r:id="rId5" w:type="default"/>
          <w:pgSz w:w="11906" w:h="16838"/>
          <w:pgMar w:top="1440" w:right="1800" w:bottom="1440" w:left="1800" w:header="850" w:footer="964" w:gutter="0"/>
          <w:pgNumType w:start="1"/>
          <w:cols w:space="720" w:num="1"/>
          <w:docGrid w:type="lines" w:linePitch="312" w:charSpace="0"/>
        </w:sectPr>
      </w:pPr>
    </w:p>
    <w:p w14:paraId="7CAACBFD">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第一章 招标公告</w:t>
      </w:r>
    </w:p>
    <w:p w14:paraId="24CC4BC4">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bookmarkStart w:id="0" w:name="OLE_LINK3"/>
      <w:r>
        <w:rPr>
          <w:rFonts w:hint="eastAsia" w:ascii="宋体" w:hAnsi="宋体" w:eastAsia="宋体" w:cs="Times New Roman"/>
          <w:bCs/>
          <w:color w:val="000000" w:themeColor="text1"/>
          <w:sz w:val="28"/>
          <w:szCs w:val="28"/>
          <w14:textFill>
            <w14:solidFill>
              <w14:schemeClr w14:val="tx1"/>
            </w14:solidFill>
          </w14:textFill>
        </w:rPr>
        <w:t>项目概况</w:t>
      </w:r>
    </w:p>
    <w:p w14:paraId="0AD56F37">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灵宝市高级技工学校灵宝市公共就业创业服务驿站项目的潜在投标供应商应在三门峡市公共资源交易中心</w:t>
      </w:r>
      <w:r>
        <w:rPr>
          <w:rFonts w:ascii="宋体" w:hAnsi="宋体" w:eastAsia="宋体" w:cs="Times New Roman"/>
          <w:bCs/>
          <w:color w:val="000000" w:themeColor="text1"/>
          <w:sz w:val="28"/>
          <w:szCs w:val="28"/>
          <w14:textFill>
            <w14:solidFill>
              <w14:schemeClr w14:val="tx1"/>
            </w14:solidFill>
          </w14:textFill>
        </w:rPr>
        <w:t>gzjy.smx.gov.cn</w:t>
      </w:r>
      <w:r>
        <w:rPr>
          <w:rFonts w:hint="eastAsia" w:ascii="宋体" w:hAnsi="宋体" w:eastAsia="宋体" w:cs="Times New Roman"/>
          <w:bCs/>
          <w:color w:val="000000" w:themeColor="text1"/>
          <w:sz w:val="28"/>
          <w:szCs w:val="28"/>
          <w14:textFill>
            <w14:solidFill>
              <w14:schemeClr w14:val="tx1"/>
            </w14:solidFill>
          </w14:textFill>
        </w:rPr>
        <w:t>获取招标文件，并于2024年11月7日08时30分（北京时间）前递交响应文件。</w:t>
      </w:r>
    </w:p>
    <w:p w14:paraId="350EA7FE">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一、项目基本情况</w:t>
      </w:r>
    </w:p>
    <w:p w14:paraId="65C5F842">
      <w:pPr>
        <w:jc w:val="center"/>
        <w:rPr>
          <w:rFonts w:ascii="Times New Roman" w:hAnsi="Times New Roman" w:eastAsia="宋体" w:cs="Times New Roman"/>
          <w:b/>
          <w:bCs/>
          <w:sz w:val="32"/>
          <w:szCs w:val="32"/>
        </w:rPr>
      </w:pPr>
      <w:r>
        <w:rPr>
          <w:rFonts w:hint="eastAsia" w:ascii="宋体" w:hAnsi="宋体" w:eastAsia="宋体" w:cs="Times New Roman"/>
          <w:bCs/>
          <w:color w:val="000000" w:themeColor="text1"/>
          <w:sz w:val="28"/>
          <w:szCs w:val="28"/>
          <w14:textFill>
            <w14:solidFill>
              <w14:schemeClr w14:val="tx1"/>
            </w14:solidFill>
          </w14:textFill>
        </w:rPr>
        <w:t xml:space="preserve">    1、采购项目编号：LBGZ[2024]291-ZC207、灵宝公开采购-2024-61</w:t>
      </w:r>
    </w:p>
    <w:p w14:paraId="032D3AEE">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2、采购项目名称：灵宝市高级技工学校灵宝市公共就业创业服务驿站项目</w:t>
      </w:r>
    </w:p>
    <w:p w14:paraId="482D6DA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3、采购方式：公开招标</w:t>
      </w:r>
    </w:p>
    <w:p w14:paraId="49BB344C">
      <w:pPr>
        <w:spacing w:line="360" w:lineRule="auto"/>
        <w:ind w:firstLine="560" w:firstLineChars="200"/>
        <w:rPr>
          <w:rFonts w:ascii="宋体" w:hAnsi="宋体"/>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4、</w:t>
      </w:r>
      <w:r>
        <w:rPr>
          <w:rFonts w:hint="eastAsia" w:ascii="宋体" w:hAnsi="宋体"/>
          <w:bCs/>
          <w:color w:val="000000" w:themeColor="text1"/>
          <w:sz w:val="28"/>
          <w:szCs w:val="28"/>
          <w14:textFill>
            <w14:solidFill>
              <w14:schemeClr w14:val="tx1"/>
            </w14:solidFill>
          </w14:textFill>
        </w:rPr>
        <w:t>最高限价：6000000.00元</w:t>
      </w:r>
    </w:p>
    <w:tbl>
      <w:tblPr>
        <w:tblStyle w:val="89"/>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4"/>
        <w:gridCol w:w="4394"/>
        <w:gridCol w:w="1951"/>
      </w:tblGrid>
      <w:tr w14:paraId="1D6D4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94" w:type="dxa"/>
            <w:vAlign w:val="center"/>
          </w:tcPr>
          <w:p w14:paraId="4D5A529E">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包号</w:t>
            </w:r>
          </w:p>
        </w:tc>
        <w:tc>
          <w:tcPr>
            <w:tcW w:w="4394" w:type="dxa"/>
            <w:vAlign w:val="center"/>
          </w:tcPr>
          <w:p w14:paraId="73508EA8">
            <w:pPr>
              <w:spacing w:line="360" w:lineRule="auto"/>
              <w:ind w:firstLine="560" w:firstLineChars="200"/>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包名称</w:t>
            </w:r>
          </w:p>
        </w:tc>
        <w:tc>
          <w:tcPr>
            <w:tcW w:w="1951" w:type="dxa"/>
            <w:vAlign w:val="center"/>
          </w:tcPr>
          <w:p w14:paraId="2A357B3E">
            <w:pPr>
              <w:spacing w:line="360" w:lineRule="auto"/>
              <w:jc w:val="center"/>
              <w:rPr>
                <w:rFonts w:ascii="宋体" w:hAnsi="宋体" w:eastAsia="宋体" w:cs="Times New Roman"/>
                <w:bCs/>
                <w:color w:val="FF0000"/>
                <w:sz w:val="28"/>
                <w:szCs w:val="28"/>
              </w:rPr>
            </w:pPr>
            <w:r>
              <w:rPr>
                <w:rFonts w:hint="eastAsia" w:ascii="宋体" w:hAnsi="宋体" w:eastAsia="宋体" w:cs="Times New Roman"/>
                <w:bCs/>
                <w:sz w:val="28"/>
                <w:szCs w:val="28"/>
              </w:rPr>
              <w:t>最高限价（元）</w:t>
            </w:r>
          </w:p>
        </w:tc>
      </w:tr>
      <w:tr w14:paraId="5786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94" w:type="dxa"/>
            <w:vAlign w:val="center"/>
          </w:tcPr>
          <w:p w14:paraId="10CBD798">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ascii="宋体" w:hAnsi="宋体" w:eastAsia="宋体" w:cs="Times New Roman"/>
                <w:bCs/>
                <w:color w:val="000000" w:themeColor="text1"/>
                <w:sz w:val="28"/>
                <w:szCs w:val="28"/>
                <w14:textFill>
                  <w14:solidFill>
                    <w14:schemeClr w14:val="tx1"/>
                  </w14:solidFill>
                </w14:textFill>
              </w:rPr>
              <w:t>LBGZ[2024]291-ZC207-1</w:t>
            </w:r>
          </w:p>
        </w:tc>
        <w:tc>
          <w:tcPr>
            <w:tcW w:w="4394" w:type="dxa"/>
            <w:vAlign w:val="center"/>
          </w:tcPr>
          <w:p w14:paraId="47BFB49E">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灵宝市高级技工学校灵宝市公共就业创业服务驿站项目A包</w:t>
            </w:r>
          </w:p>
        </w:tc>
        <w:tc>
          <w:tcPr>
            <w:tcW w:w="1951" w:type="dxa"/>
            <w:vAlign w:val="center"/>
          </w:tcPr>
          <w:p w14:paraId="21334BA0">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3000000.</w:t>
            </w:r>
            <w:r>
              <w:rPr>
                <w:rFonts w:hint="eastAsia" w:ascii="宋体" w:hAnsi="宋体" w:eastAsia="宋体" w:cs="Times New Roman"/>
                <w:bCs/>
                <w:color w:val="000000" w:themeColor="text1"/>
                <w:sz w:val="28"/>
                <w:szCs w:val="28"/>
                <w14:textFill>
                  <w14:solidFill>
                    <w14:schemeClr w14:val="tx1"/>
                  </w14:solidFill>
                </w14:textFill>
              </w:rPr>
              <w:t>00元</w:t>
            </w:r>
          </w:p>
        </w:tc>
      </w:tr>
      <w:tr w14:paraId="134B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294" w:type="dxa"/>
            <w:vAlign w:val="center"/>
          </w:tcPr>
          <w:p w14:paraId="3C280EAC">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ascii="宋体" w:hAnsi="宋体" w:eastAsia="宋体" w:cs="Times New Roman"/>
                <w:bCs/>
                <w:color w:val="000000" w:themeColor="text1"/>
                <w:sz w:val="28"/>
                <w:szCs w:val="28"/>
                <w14:textFill>
                  <w14:solidFill>
                    <w14:schemeClr w14:val="tx1"/>
                  </w14:solidFill>
                </w14:textFill>
              </w:rPr>
              <w:t>LBGZ[2024]291-ZC207-2</w:t>
            </w:r>
          </w:p>
        </w:tc>
        <w:tc>
          <w:tcPr>
            <w:tcW w:w="4394" w:type="dxa"/>
            <w:vAlign w:val="center"/>
          </w:tcPr>
          <w:p w14:paraId="559D8A59">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灵宝市高级技工学校灵宝市公共就业创业服务驿站项目B包</w:t>
            </w:r>
          </w:p>
        </w:tc>
        <w:tc>
          <w:tcPr>
            <w:tcW w:w="1951" w:type="dxa"/>
            <w:vAlign w:val="center"/>
          </w:tcPr>
          <w:p w14:paraId="55DB0AD3">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3000000.</w:t>
            </w:r>
            <w:r>
              <w:rPr>
                <w:rFonts w:hint="eastAsia" w:ascii="宋体" w:hAnsi="宋体" w:eastAsia="宋体" w:cs="Times New Roman"/>
                <w:bCs/>
                <w:color w:val="000000" w:themeColor="text1"/>
                <w:sz w:val="28"/>
                <w:szCs w:val="28"/>
                <w14:textFill>
                  <w14:solidFill>
                    <w14:schemeClr w14:val="tx1"/>
                  </w14:solidFill>
                </w14:textFill>
              </w:rPr>
              <w:t>00元</w:t>
            </w:r>
          </w:p>
        </w:tc>
      </w:tr>
    </w:tbl>
    <w:p w14:paraId="07A8ACDE">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5、采购需求（包括但不限于标的的名称、数量、简要技术需求或服务要求等）</w:t>
      </w:r>
      <w:r>
        <w:rPr>
          <w:rFonts w:hint="eastAsia" w:ascii="宋体" w:hAnsi="宋体" w:eastAsia="宋体" w:cs="Times New Roman"/>
          <w:bCs/>
          <w:color w:val="000000" w:themeColor="text1"/>
          <w:sz w:val="28"/>
          <w:szCs w:val="28"/>
          <w14:textFill>
            <w14:solidFill>
              <w14:schemeClr w14:val="tx1"/>
            </w14:solidFill>
          </w14:textFill>
        </w:rPr>
        <w:tab/>
      </w:r>
    </w:p>
    <w:p w14:paraId="34CCA653">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5.1采购内容：灵宝市高级技工学校灵宝市公共就业创业服务驿站项目，包括驿站接待大厅、创业孵化项目展示厅、创业培训教室、直播带岗直播间、融合洽谈功能区、路演大厅、移动就业创业会务设施、信息化工程和培训基地综合功能提升等内容；具体内容详见采购清单及招标文件。</w:t>
      </w:r>
    </w:p>
    <w:p w14:paraId="6A2EDBB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5.2资金来源：</w:t>
      </w:r>
      <w:r>
        <w:rPr>
          <w:rFonts w:hint="eastAsia" w:ascii="新宋体" w:hAnsi="新宋体" w:eastAsia="新宋体" w:cs="新宋体"/>
          <w:kern w:val="0"/>
          <w:sz w:val="28"/>
          <w:szCs w:val="28"/>
        </w:rPr>
        <w:t>财政</w:t>
      </w:r>
      <w:r>
        <w:rPr>
          <w:rFonts w:hint="eastAsia" w:ascii="宋体" w:hAnsi="宋体" w:eastAsia="宋体" w:cs="Times New Roman"/>
          <w:sz w:val="28"/>
          <w:szCs w:val="28"/>
        </w:rPr>
        <w:t>资金，</w:t>
      </w:r>
      <w:r>
        <w:rPr>
          <w:rFonts w:hint="eastAsia" w:ascii="宋体" w:hAnsi="宋体" w:eastAsia="宋体" w:cs="Times New Roman"/>
          <w:bCs/>
          <w:color w:val="000000" w:themeColor="text1"/>
          <w:sz w:val="28"/>
          <w:szCs w:val="28"/>
          <w14:textFill>
            <w14:solidFill>
              <w14:schemeClr w14:val="tx1"/>
            </w14:solidFill>
          </w14:textFill>
        </w:rPr>
        <w:t>已落实。</w:t>
      </w:r>
      <w:r>
        <w:rPr>
          <w:rFonts w:hint="eastAsia" w:ascii="宋体" w:hAnsi="宋体" w:eastAsia="宋体" w:cs="Times New Roman"/>
          <w:bCs/>
          <w:color w:val="000000" w:themeColor="text1"/>
          <w:sz w:val="28"/>
          <w:szCs w:val="28"/>
          <w14:textFill>
            <w14:solidFill>
              <w14:schemeClr w14:val="tx1"/>
            </w14:solidFill>
          </w14:textFill>
        </w:rPr>
        <w:tab/>
      </w:r>
    </w:p>
    <w:p w14:paraId="473EED96">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5.3交货地点：</w:t>
      </w:r>
      <w:r>
        <w:rPr>
          <w:rFonts w:hint="eastAsia" w:ascii="宋体" w:hAnsi="宋体" w:eastAsia="宋体" w:cs="Times New Roman"/>
          <w:color w:val="000000" w:themeColor="text1"/>
          <w:sz w:val="28"/>
          <w:szCs w:val="28"/>
          <w14:textFill>
            <w14:solidFill>
              <w14:schemeClr w14:val="tx1"/>
            </w14:solidFill>
          </w14:textFill>
        </w:rPr>
        <w:t>采购人指定地点</w:t>
      </w:r>
      <w:r>
        <w:rPr>
          <w:rFonts w:hint="eastAsia" w:ascii="宋体" w:hAnsi="宋体" w:eastAsia="宋体" w:cs="Times New Roman"/>
          <w:bCs/>
          <w:color w:val="000000" w:themeColor="text1"/>
          <w:sz w:val="28"/>
          <w:szCs w:val="28"/>
          <w14:textFill>
            <w14:solidFill>
              <w14:schemeClr w14:val="tx1"/>
            </w14:solidFill>
          </w14:textFill>
        </w:rPr>
        <w:t>。</w:t>
      </w:r>
    </w:p>
    <w:p w14:paraId="1A16BC87">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5.4质量要求：合格，符合相关法律、规范及采购人要求。</w:t>
      </w:r>
      <w:r>
        <w:rPr>
          <w:rFonts w:hint="eastAsia" w:ascii="宋体" w:hAnsi="宋体" w:eastAsia="宋体" w:cs="Times New Roman"/>
          <w:bCs/>
          <w:sz w:val="28"/>
          <w:szCs w:val="28"/>
        </w:rPr>
        <w:tab/>
      </w:r>
    </w:p>
    <w:p w14:paraId="2C1665AC">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5.5供货期：90日历天</w:t>
      </w:r>
    </w:p>
    <w:p w14:paraId="7392AD78">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5.6标段划分：本项目划分</w:t>
      </w:r>
      <w:r>
        <w:rPr>
          <w:rFonts w:ascii="宋体" w:hAnsi="宋体" w:eastAsia="宋体" w:cs="Times New Roman"/>
          <w:bCs/>
          <w:color w:val="000000" w:themeColor="text1"/>
          <w:sz w:val="28"/>
          <w:szCs w:val="28"/>
          <w14:textFill>
            <w14:solidFill>
              <w14:schemeClr w14:val="tx1"/>
            </w14:solidFill>
          </w14:textFill>
        </w:rPr>
        <w:t>2</w:t>
      </w:r>
      <w:r>
        <w:rPr>
          <w:rFonts w:hint="eastAsia" w:ascii="宋体" w:hAnsi="宋体" w:eastAsia="宋体" w:cs="Times New Roman"/>
          <w:bCs/>
          <w:color w:val="000000" w:themeColor="text1"/>
          <w:sz w:val="28"/>
          <w:szCs w:val="28"/>
          <w14:textFill>
            <w14:solidFill>
              <w14:schemeClr w14:val="tx1"/>
            </w14:solidFill>
          </w14:textFill>
        </w:rPr>
        <w:t>个标段</w:t>
      </w:r>
    </w:p>
    <w:p w14:paraId="6F7F3070">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合同履行期限：按合同约定执行。</w:t>
      </w:r>
    </w:p>
    <w:p w14:paraId="353D365C">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本项目是否接受联合体投标：否</w:t>
      </w:r>
    </w:p>
    <w:p w14:paraId="0EE41388">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是否接受进口产品：否</w:t>
      </w:r>
    </w:p>
    <w:p w14:paraId="146B6442">
      <w:pPr>
        <w:numPr>
          <w:ilvl w:val="0"/>
          <w:numId w:val="2"/>
        </w:num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是否专门面向中小企业：否</w:t>
      </w:r>
    </w:p>
    <w:p w14:paraId="159646A6">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二、申请人资格要求：</w:t>
      </w:r>
      <w:r>
        <w:rPr>
          <w:rFonts w:hint="eastAsia" w:ascii="宋体" w:hAnsi="宋体" w:eastAsia="宋体" w:cs="Times New Roman"/>
          <w:bCs/>
          <w:color w:val="000000" w:themeColor="text1"/>
          <w:sz w:val="28"/>
          <w:szCs w:val="28"/>
          <w14:textFill>
            <w14:solidFill>
              <w14:schemeClr w14:val="tx1"/>
            </w14:solidFill>
          </w14:textFill>
        </w:rPr>
        <w:tab/>
      </w:r>
    </w:p>
    <w:p w14:paraId="7E40B66A">
      <w:pPr>
        <w:spacing w:line="360" w:lineRule="auto"/>
        <w:ind w:firstLine="560" w:firstLineChars="200"/>
        <w:rPr>
          <w:rFonts w:ascii="宋体" w:hAnsi="宋体"/>
          <w:sz w:val="28"/>
          <w:szCs w:val="28"/>
        </w:rPr>
      </w:pPr>
      <w:r>
        <w:rPr>
          <w:rFonts w:hint="eastAsia" w:ascii="宋体" w:hAnsi="宋体"/>
          <w:sz w:val="28"/>
          <w:szCs w:val="28"/>
        </w:rPr>
        <w:t>1、满足《中华人民共和国政府采购法》第二十二条规定；</w:t>
      </w:r>
    </w:p>
    <w:p w14:paraId="66D078FB">
      <w:pPr>
        <w:spacing w:line="360" w:lineRule="auto"/>
        <w:ind w:firstLine="560" w:firstLineChars="200"/>
        <w:rPr>
          <w:rFonts w:ascii="宋体" w:hAnsi="宋体"/>
          <w:sz w:val="28"/>
          <w:szCs w:val="28"/>
        </w:rPr>
      </w:pPr>
      <w:r>
        <w:rPr>
          <w:rFonts w:hint="eastAsia" w:ascii="宋体" w:hAnsi="宋体"/>
          <w:sz w:val="28"/>
          <w:szCs w:val="28"/>
        </w:rPr>
        <w:t>2、落实政府采购政策满足的资格要求：</w:t>
      </w:r>
    </w:p>
    <w:p w14:paraId="6447B078">
      <w:pPr>
        <w:spacing w:line="360" w:lineRule="auto"/>
        <w:ind w:firstLine="560" w:firstLineChars="200"/>
        <w:rPr>
          <w:rFonts w:ascii="宋体" w:hAnsi="宋体"/>
          <w:sz w:val="28"/>
          <w:szCs w:val="28"/>
        </w:rPr>
      </w:pPr>
      <w:r>
        <w:rPr>
          <w:rFonts w:hint="eastAsia" w:ascii="宋体" w:hAnsi="宋体"/>
          <w:sz w:val="28"/>
          <w:szCs w:val="28"/>
        </w:rPr>
        <w:t>本项目执行优先采购节能环保、环境标志性产品，促进中小企业（监狱企业、残疾人福利性企业）发展等政策。</w:t>
      </w:r>
    </w:p>
    <w:p w14:paraId="275A3B21">
      <w:pPr>
        <w:spacing w:line="360" w:lineRule="auto"/>
        <w:ind w:firstLine="560" w:firstLineChars="200"/>
        <w:rPr>
          <w:rFonts w:ascii="宋体" w:hAnsi="宋体"/>
          <w:sz w:val="28"/>
          <w:szCs w:val="28"/>
        </w:rPr>
      </w:pPr>
      <w:r>
        <w:rPr>
          <w:rFonts w:hint="eastAsia" w:ascii="宋体" w:hAnsi="宋体"/>
          <w:sz w:val="28"/>
          <w:szCs w:val="28"/>
        </w:rPr>
        <w:t>3、本项目的特定资格要求</w:t>
      </w:r>
    </w:p>
    <w:p w14:paraId="6D0C5050">
      <w:pPr>
        <w:spacing w:line="360" w:lineRule="auto"/>
        <w:ind w:firstLine="560" w:firstLineChars="200"/>
        <w:rPr>
          <w:rFonts w:ascii="宋体" w:hAnsi="宋体"/>
          <w:sz w:val="28"/>
          <w:szCs w:val="28"/>
          <w:u w:val="single"/>
        </w:rPr>
      </w:pPr>
      <w:r>
        <w:rPr>
          <w:rFonts w:hint="eastAsia" w:ascii="宋体" w:hAnsi="宋体"/>
          <w:sz w:val="28"/>
          <w:szCs w:val="28"/>
        </w:rPr>
        <w:t>（1）供应商须具有独立承担民事责任能力的法人或其他组织，同时具有有效的营业执照、税务登记证、组织机构代码证或三证合一的营业执照；</w:t>
      </w:r>
    </w:p>
    <w:p w14:paraId="2DD2C3FA">
      <w:pPr>
        <w:spacing w:line="360" w:lineRule="auto"/>
        <w:ind w:firstLine="560" w:firstLineChars="200"/>
        <w:rPr>
          <w:rFonts w:ascii="宋体" w:hAnsi="宋体"/>
          <w:sz w:val="28"/>
          <w:szCs w:val="28"/>
        </w:rPr>
      </w:pPr>
      <w:r>
        <w:rPr>
          <w:rFonts w:hint="eastAsia" w:ascii="宋体" w:hAnsi="宋体"/>
          <w:sz w:val="28"/>
          <w:szCs w:val="28"/>
        </w:rPr>
        <w:t>（2）供应商出具企业及法人代表无商业贿赂及无不正当竞争行为的承诺书；</w:t>
      </w:r>
    </w:p>
    <w:p w14:paraId="37A582FF">
      <w:pPr>
        <w:spacing w:line="360" w:lineRule="auto"/>
        <w:ind w:firstLine="560" w:firstLineChars="200"/>
        <w:rPr>
          <w:rFonts w:ascii="宋体" w:hAnsi="宋体"/>
          <w:sz w:val="28"/>
          <w:szCs w:val="28"/>
        </w:rPr>
      </w:pPr>
      <w:r>
        <w:rPr>
          <w:rFonts w:hint="eastAsia" w:ascii="宋体" w:hAnsi="宋体"/>
          <w:sz w:val="28"/>
          <w:szCs w:val="28"/>
        </w:rPr>
        <w:t>（3）提供供应商企业、法定代表人无行贿犯罪记录，在中国裁判文书网查询（提供网页查询截图）或供应商自行承诺；</w:t>
      </w:r>
    </w:p>
    <w:p w14:paraId="66C96754">
      <w:pPr>
        <w:spacing w:line="360" w:lineRule="auto"/>
        <w:ind w:firstLine="560" w:firstLineChars="200"/>
        <w:rPr>
          <w:rFonts w:ascii="宋体" w:hAnsi="宋体"/>
          <w:sz w:val="28"/>
          <w:szCs w:val="28"/>
        </w:rPr>
      </w:pPr>
      <w:r>
        <w:rPr>
          <w:rFonts w:hint="eastAsia" w:ascii="宋体" w:hAnsi="宋体"/>
          <w:sz w:val="28"/>
          <w:szCs w:val="28"/>
        </w:rPr>
        <w:t>（4）供应商出具企业三年内未受到主管部门行政处罚或通报批评承诺书。</w:t>
      </w:r>
    </w:p>
    <w:p w14:paraId="1F1E3317">
      <w:pPr>
        <w:spacing w:line="360" w:lineRule="auto"/>
        <w:ind w:firstLine="560" w:firstLineChars="200"/>
        <w:rPr>
          <w:rFonts w:ascii="宋体" w:hAnsi="宋体"/>
          <w:sz w:val="28"/>
          <w:szCs w:val="28"/>
        </w:rPr>
      </w:pPr>
      <w:r>
        <w:rPr>
          <w:rFonts w:hint="eastAsia" w:ascii="宋体" w:hAnsi="宋体"/>
          <w:sz w:val="28"/>
          <w:szCs w:val="28"/>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p w14:paraId="61CE8C68">
      <w:pPr>
        <w:spacing w:line="360" w:lineRule="auto"/>
        <w:ind w:firstLine="560" w:firstLineChars="200"/>
        <w:rPr>
          <w:rFonts w:ascii="宋体" w:hAnsi="宋体"/>
          <w:sz w:val="28"/>
          <w:szCs w:val="28"/>
        </w:rPr>
      </w:pPr>
      <w:r>
        <w:rPr>
          <w:rFonts w:hint="eastAsia" w:ascii="宋体" w:hAnsi="宋体"/>
          <w:sz w:val="28"/>
          <w:szCs w:val="28"/>
        </w:rPr>
        <w:t>（6）本项目不接受联合体投标。</w:t>
      </w:r>
    </w:p>
    <w:p w14:paraId="0E594821">
      <w:pPr>
        <w:spacing w:line="360" w:lineRule="auto"/>
        <w:ind w:firstLine="562" w:firstLineChars="200"/>
        <w:rPr>
          <w:rFonts w:ascii="宋体" w:hAnsi="宋体"/>
          <w:b/>
          <w:sz w:val="28"/>
          <w:szCs w:val="28"/>
        </w:rPr>
      </w:pPr>
      <w:r>
        <w:rPr>
          <w:rFonts w:hint="eastAsia" w:ascii="宋体" w:hAnsi="宋体"/>
          <w:b/>
          <w:sz w:val="28"/>
          <w:szCs w:val="28"/>
        </w:rPr>
        <w:t>备注：供应商可同时报名多个标段，但只能中一个标段。若出现两个或两个以上标段同时被推荐为第一中标候选人，则只能选择标段顺序最靠前的标段作为中标标段；</w:t>
      </w:r>
    </w:p>
    <w:p w14:paraId="1E332956">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三、获取招标文件</w:t>
      </w:r>
      <w:r>
        <w:rPr>
          <w:rFonts w:hint="eastAsia" w:ascii="宋体" w:hAnsi="宋体" w:eastAsia="宋体" w:cs="Times New Roman"/>
          <w:bCs/>
          <w:sz w:val="28"/>
          <w:szCs w:val="28"/>
        </w:rPr>
        <w:tab/>
      </w:r>
    </w:p>
    <w:p w14:paraId="5C6554A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1.时间：2024年10月18日 至 2024年11月06日，每天上午00:00至12:00，下午12:00至23:59（北京时间，法定节假日除外。）</w:t>
      </w:r>
    </w:p>
    <w:p w14:paraId="70A765D8">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2.地点：三门峡市公共资源交易中心（gzjy.smx.gov.cn）</w:t>
      </w:r>
    </w:p>
    <w:p w14:paraId="0DAA6D60">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3.方式：凡有意参加的投标人，须完成市场主体信息库登记并取得CA数字证书，凭CA数字证书登录三门峡市公共资源交易中心网，点击交易平台选择“市场主体登录”，在所参与项目右侧点击参与投标，即可直接下载本项目采购文件。具体操作请查看以下链接：</w:t>
      </w:r>
    </w:p>
    <w:p w14:paraId="2BC81233">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三门峡市公共资源交易平台操作手册：</w:t>
      </w:r>
    </w:p>
    <w:p w14:paraId="21C5F88B">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http://gzjy.smx.gov.cn/bzzx/008001/20200325/1d4d9bd4-82a2-4284-b2f7-428c4c69ef58.html</w:t>
      </w:r>
    </w:p>
    <w:p w14:paraId="67953E07">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4.售价：0元</w:t>
      </w:r>
      <w:r>
        <w:rPr>
          <w:rFonts w:hint="eastAsia" w:ascii="宋体" w:hAnsi="宋体" w:eastAsia="宋体" w:cs="Times New Roman"/>
          <w:bCs/>
          <w:color w:val="000000" w:themeColor="text1"/>
          <w:sz w:val="28"/>
          <w:szCs w:val="28"/>
          <w14:textFill>
            <w14:solidFill>
              <w14:schemeClr w14:val="tx1"/>
            </w14:solidFill>
          </w14:textFill>
        </w:rPr>
        <w:tab/>
      </w:r>
    </w:p>
    <w:p w14:paraId="4312162B">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四、投标截止时间及地点</w:t>
      </w:r>
    </w:p>
    <w:p w14:paraId="2469CE90">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1.时间：2024年11月7日08时30分（北京时间）</w:t>
      </w:r>
      <w:r>
        <w:rPr>
          <w:rFonts w:hint="eastAsia" w:ascii="宋体" w:hAnsi="宋体" w:eastAsia="宋体" w:cs="Times New Roman"/>
          <w:bCs/>
          <w:sz w:val="28"/>
          <w:szCs w:val="28"/>
        </w:rPr>
        <w:tab/>
      </w:r>
    </w:p>
    <w:p w14:paraId="100A0E0E">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2.地点：在三门峡市公共资源交易中心网中上传加密响应文件。</w:t>
      </w:r>
    </w:p>
    <w:p w14:paraId="4E8868FB">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五、开标时间及地点</w:t>
      </w:r>
    </w:p>
    <w:p w14:paraId="00F8A4D5">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1.时间：2024年11月7日08时30分（北京时间）</w:t>
      </w:r>
      <w:r>
        <w:rPr>
          <w:rFonts w:hint="eastAsia" w:ascii="宋体" w:hAnsi="宋体" w:eastAsia="宋体" w:cs="Times New Roman"/>
          <w:bCs/>
          <w:sz w:val="28"/>
          <w:szCs w:val="28"/>
        </w:rPr>
        <w:tab/>
      </w:r>
    </w:p>
    <w:p w14:paraId="28ED411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2.地点：灵宝市公共资源交易中心开标二室</w:t>
      </w:r>
      <w:r>
        <w:rPr>
          <w:rFonts w:hint="eastAsia" w:ascii="宋体" w:hAnsi="宋体" w:eastAsia="宋体" w:cs="Times New Roman"/>
          <w:bCs/>
          <w:sz w:val="28"/>
          <w:szCs w:val="28"/>
        </w:rPr>
        <w:t>（灵宝市金城大道信用合作联社12楼）</w:t>
      </w:r>
      <w:r>
        <w:rPr>
          <w:rFonts w:hint="eastAsia" w:ascii="宋体" w:hAnsi="宋体" w:eastAsia="宋体" w:cs="Times New Roman"/>
          <w:bCs/>
          <w:color w:val="000000" w:themeColor="text1"/>
          <w:sz w:val="28"/>
          <w:szCs w:val="28"/>
          <w14:textFill>
            <w14:solidFill>
              <w14:schemeClr w14:val="tx1"/>
            </w14:solidFill>
          </w14:textFill>
        </w:rPr>
        <w:t>。</w:t>
      </w:r>
      <w:r>
        <w:rPr>
          <w:rFonts w:hint="eastAsia" w:ascii="宋体" w:hAnsi="宋体" w:eastAsia="宋体" w:cs="Times New Roman"/>
          <w:bCs/>
          <w:color w:val="000000" w:themeColor="text1"/>
          <w:sz w:val="28"/>
          <w:szCs w:val="28"/>
          <w14:textFill>
            <w14:solidFill>
              <w14:schemeClr w14:val="tx1"/>
            </w14:solidFill>
          </w14:textFill>
        </w:rPr>
        <w:tab/>
      </w:r>
    </w:p>
    <w:p w14:paraId="416090F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六、发布公告的媒介</w:t>
      </w:r>
      <w:r>
        <w:rPr>
          <w:rFonts w:hint="eastAsia" w:ascii="宋体" w:hAnsi="宋体" w:eastAsia="宋体" w:cs="Times New Roman"/>
          <w:bCs/>
          <w:color w:val="000000" w:themeColor="text1"/>
          <w:sz w:val="28"/>
          <w:szCs w:val="28"/>
          <w14:textFill>
            <w14:solidFill>
              <w14:schemeClr w14:val="tx1"/>
            </w14:solidFill>
          </w14:textFill>
        </w:rPr>
        <w:tab/>
      </w:r>
    </w:p>
    <w:p w14:paraId="01BE5542">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本次招标公告在《中国招标投标公共服务平台》、《河南省政府采购网》、《三门峡市公共资源交易服务平台》上发布。</w:t>
      </w:r>
    </w:p>
    <w:p w14:paraId="60B777DA">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七、其他补充事宜</w:t>
      </w:r>
      <w:r>
        <w:rPr>
          <w:rFonts w:hint="eastAsia" w:ascii="宋体" w:hAnsi="宋体" w:eastAsia="宋体" w:cs="Times New Roman"/>
          <w:bCs/>
          <w:color w:val="000000" w:themeColor="text1"/>
          <w:sz w:val="28"/>
          <w:szCs w:val="28"/>
          <w14:textFill>
            <w14:solidFill>
              <w14:schemeClr w14:val="tx1"/>
            </w14:solidFill>
          </w14:textFill>
        </w:rPr>
        <w:tab/>
      </w:r>
    </w:p>
    <w:p w14:paraId="32ED28E3">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本项目实行资格后审，根据优化营商环境的要求，评标时审查内容以投标文件为准：</w:t>
      </w:r>
    </w:p>
    <w:p w14:paraId="7FCDFCB1">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1、资格评（预）审部分：资格评（预）审以投标文件为准，其上传资料真实性由投标人自行承担，同时，投标人要完善主体库。</w:t>
      </w:r>
    </w:p>
    <w:p w14:paraId="70BC6C1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131B6C34">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6FC3353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4、我单位（采购人）严格按三财购【2021】9号文要求的时限发布中标结果公告，发出中标通知书，签订采购合同，上传采购合同。</w:t>
      </w:r>
    </w:p>
    <w:p w14:paraId="4A2F4258">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5、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541976BF">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八、联系方式</w:t>
      </w:r>
      <w:r>
        <w:rPr>
          <w:rFonts w:hint="eastAsia" w:ascii="宋体" w:hAnsi="宋体" w:eastAsia="宋体" w:cs="Times New Roman"/>
          <w:bCs/>
          <w:color w:val="000000" w:themeColor="text1"/>
          <w:sz w:val="28"/>
          <w:szCs w:val="28"/>
          <w14:textFill>
            <w14:solidFill>
              <w14:schemeClr w14:val="tx1"/>
            </w14:solidFill>
          </w14:textFill>
        </w:rPr>
        <w:tab/>
      </w:r>
    </w:p>
    <w:p w14:paraId="120FA918">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bookmarkStart w:id="1" w:name="OLE_LINK1"/>
      <w:r>
        <w:rPr>
          <w:rFonts w:hint="eastAsia" w:ascii="宋体" w:hAnsi="宋体" w:eastAsia="宋体" w:cs="Times New Roman"/>
          <w:bCs/>
          <w:color w:val="000000" w:themeColor="text1"/>
          <w:sz w:val="28"/>
          <w:szCs w:val="28"/>
          <w14:textFill>
            <w14:solidFill>
              <w14:schemeClr w14:val="tx1"/>
            </w14:solidFill>
          </w14:textFill>
        </w:rPr>
        <w:t>监督单位：灵宝市财政局政府采购监督管理科</w:t>
      </w:r>
    </w:p>
    <w:bookmarkEnd w:id="1"/>
    <w:p w14:paraId="757B2407">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bookmarkStart w:id="2" w:name="OLE_LINK2"/>
      <w:r>
        <w:rPr>
          <w:rFonts w:hint="eastAsia" w:ascii="宋体" w:hAnsi="宋体" w:eastAsia="宋体" w:cs="Times New Roman"/>
          <w:bCs/>
          <w:color w:val="000000" w:themeColor="text1"/>
          <w:sz w:val="28"/>
          <w:szCs w:val="28"/>
          <w14:textFill>
            <w14:solidFill>
              <w14:schemeClr w14:val="tx1"/>
            </w14:solidFill>
          </w14:textFill>
        </w:rPr>
        <w:t>联系方式：0398-8852670</w:t>
      </w:r>
      <w:bookmarkEnd w:id="2"/>
    </w:p>
    <w:p w14:paraId="6D58E132">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采购人：</w:t>
      </w:r>
      <w:r>
        <w:rPr>
          <w:rFonts w:hint="eastAsia" w:ascii="新宋体" w:hAnsi="新宋体" w:eastAsia="新宋体" w:cs="新宋体"/>
          <w:kern w:val="0"/>
          <w:sz w:val="28"/>
          <w:szCs w:val="28"/>
        </w:rPr>
        <w:t>灵宝市高级技工学校</w:t>
      </w:r>
    </w:p>
    <w:p w14:paraId="4DCBDFAC">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地  址：灵宝市鼎塬路中段</w:t>
      </w:r>
    </w:p>
    <w:p w14:paraId="708E43D5">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联系人：</w:t>
      </w:r>
      <w:r>
        <w:rPr>
          <w:rFonts w:hint="eastAsia" w:ascii="新宋体" w:hAnsi="新宋体" w:eastAsia="新宋体" w:cs="新宋体"/>
          <w:kern w:val="0"/>
          <w:sz w:val="28"/>
          <w:szCs w:val="28"/>
        </w:rPr>
        <w:t>冯女士</w:t>
      </w:r>
    </w:p>
    <w:p w14:paraId="5D97FEE1">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联系方式：18639875117</w:t>
      </w:r>
    </w:p>
    <w:p w14:paraId="7862DB89">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代理机构：</w:t>
      </w:r>
      <w:r>
        <w:rPr>
          <w:rFonts w:hint="eastAsia" w:ascii="新宋体" w:hAnsi="新宋体" w:eastAsia="新宋体" w:cs="新宋体"/>
          <w:kern w:val="0"/>
          <w:sz w:val="28"/>
          <w:szCs w:val="28"/>
        </w:rPr>
        <w:t>中科天一工程管理有限公司</w:t>
      </w:r>
    </w:p>
    <w:p w14:paraId="59A7040B">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地    址：三门峡市商会大厦B座410号</w:t>
      </w:r>
    </w:p>
    <w:p w14:paraId="566AEC48">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联 系 人：曾女士、曹女士</w:t>
      </w:r>
      <w:r>
        <w:rPr>
          <w:rFonts w:hint="eastAsia" w:ascii="宋体" w:hAnsi="宋体" w:eastAsia="宋体" w:cs="Times New Roman"/>
          <w:bCs/>
          <w:sz w:val="28"/>
          <w:szCs w:val="28"/>
        </w:rPr>
        <w:tab/>
      </w:r>
    </w:p>
    <w:p w14:paraId="3DC33CC8">
      <w:pPr>
        <w:spacing w:line="360" w:lineRule="auto"/>
        <w:ind w:firstLine="560" w:firstLineChars="200"/>
        <w:rPr>
          <w:rFonts w:ascii="宋体" w:hAnsi="宋体" w:eastAsia="宋体" w:cs="Times New Roman"/>
          <w:bCs/>
          <w:sz w:val="28"/>
          <w:szCs w:val="28"/>
        </w:rPr>
      </w:pPr>
      <w:r>
        <w:rPr>
          <w:rFonts w:hint="eastAsia" w:ascii="宋体" w:hAnsi="宋体" w:eastAsia="宋体" w:cs="Times New Roman"/>
          <w:bCs/>
          <w:sz w:val="28"/>
          <w:szCs w:val="28"/>
        </w:rPr>
        <w:t>联系电话：15039878886、</w:t>
      </w:r>
      <w:r>
        <w:rPr>
          <w:rFonts w:ascii="宋体" w:hAnsi="宋体" w:eastAsia="宋体" w:cs="Times New Roman"/>
          <w:bCs/>
          <w:sz w:val="28"/>
          <w:szCs w:val="28"/>
        </w:rPr>
        <w:t>15639812027</w:t>
      </w:r>
      <w:bookmarkEnd w:id="0"/>
    </w:p>
    <w:p w14:paraId="5B1282C3"/>
    <w:p w14:paraId="1B0C195A">
      <w:pPr>
        <w:widowControl/>
        <w:jc w:val="left"/>
        <w:rPr>
          <w:rFonts w:ascii="宋体" w:hAnsi="宋体" w:eastAsia="宋体" w:cs="Times New Roman"/>
          <w:b/>
          <w:bCs/>
          <w:color w:val="000000" w:themeColor="text1"/>
          <w:kern w:val="0"/>
          <w:sz w:val="44"/>
          <w:szCs w:val="44"/>
          <w14:textFill>
            <w14:solidFill>
              <w14:schemeClr w14:val="tx1"/>
            </w14:solidFill>
          </w14:textFill>
        </w:rPr>
      </w:pPr>
      <w:r>
        <w:rPr>
          <w:rFonts w:ascii="宋体" w:hAnsi="宋体" w:eastAsia="宋体" w:cs="Times New Roman"/>
          <w:b/>
          <w:bCs/>
          <w:color w:val="000000" w:themeColor="text1"/>
          <w:kern w:val="0"/>
          <w:sz w:val="44"/>
          <w:szCs w:val="44"/>
          <w14:textFill>
            <w14:solidFill>
              <w14:schemeClr w14:val="tx1"/>
            </w14:solidFill>
          </w14:textFill>
        </w:rPr>
        <w:br w:type="page"/>
      </w:r>
    </w:p>
    <w:p w14:paraId="2B866D85">
      <w:pPr>
        <w:jc w:val="center"/>
        <w:rPr>
          <w:rFonts w:ascii="宋体" w:hAnsi="宋体" w:eastAsia="宋体" w:cs="Times New Roman"/>
          <w:color w:val="000000" w:themeColor="text1"/>
          <w:sz w:val="36"/>
          <w:szCs w:val="36"/>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第二章 投标供应商须知</w:t>
      </w:r>
    </w:p>
    <w:p w14:paraId="2C16D8F5">
      <w:pPr>
        <w:widowControl/>
        <w:spacing w:line="720" w:lineRule="auto"/>
        <w:ind w:left="220" w:hanging="220"/>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投标供应商须知前附表</w:t>
      </w:r>
    </w:p>
    <w:tbl>
      <w:tblPr>
        <w:tblStyle w:val="89"/>
        <w:tblW w:w="8916" w:type="dxa"/>
        <w:jc w:val="center"/>
        <w:tblLayout w:type="fixed"/>
        <w:tblCellMar>
          <w:top w:w="0" w:type="dxa"/>
          <w:left w:w="108" w:type="dxa"/>
          <w:bottom w:w="0" w:type="dxa"/>
          <w:right w:w="108" w:type="dxa"/>
        </w:tblCellMar>
      </w:tblPr>
      <w:tblGrid>
        <w:gridCol w:w="1014"/>
        <w:gridCol w:w="1985"/>
        <w:gridCol w:w="5917"/>
      </w:tblGrid>
      <w:tr w14:paraId="6169ABD9">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8831BA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条款号</w:t>
            </w:r>
          </w:p>
        </w:tc>
        <w:tc>
          <w:tcPr>
            <w:tcW w:w="1985" w:type="dxa"/>
            <w:tcBorders>
              <w:top w:val="single" w:color="auto" w:sz="4" w:space="0"/>
              <w:left w:val="nil"/>
              <w:bottom w:val="single" w:color="auto" w:sz="4" w:space="0"/>
              <w:right w:val="single" w:color="auto" w:sz="4" w:space="0"/>
            </w:tcBorders>
            <w:vAlign w:val="center"/>
          </w:tcPr>
          <w:p w14:paraId="7AFF83F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条款</w:t>
            </w:r>
          </w:p>
          <w:p w14:paraId="3AF131D8">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名称</w:t>
            </w:r>
          </w:p>
        </w:tc>
        <w:tc>
          <w:tcPr>
            <w:tcW w:w="5917" w:type="dxa"/>
            <w:tcBorders>
              <w:top w:val="single" w:color="auto" w:sz="4" w:space="0"/>
              <w:left w:val="nil"/>
              <w:bottom w:val="single" w:color="auto" w:sz="4" w:space="0"/>
              <w:right w:val="single" w:color="auto" w:sz="4" w:space="0"/>
            </w:tcBorders>
            <w:vAlign w:val="center"/>
          </w:tcPr>
          <w:p w14:paraId="3C9ED86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编列内容</w:t>
            </w:r>
          </w:p>
        </w:tc>
      </w:tr>
      <w:tr w14:paraId="14897D20">
        <w:tblPrEx>
          <w:tblCellMar>
            <w:top w:w="0" w:type="dxa"/>
            <w:left w:w="108" w:type="dxa"/>
            <w:bottom w:w="0" w:type="dxa"/>
            <w:right w:w="108" w:type="dxa"/>
          </w:tblCellMar>
        </w:tblPrEx>
        <w:trPr>
          <w:trHeight w:val="57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7B95E66">
            <w:pPr>
              <w:spacing w:line="360" w:lineRule="auto"/>
              <w:ind w:firstLine="280" w:firstLineChars="1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1.1</w:t>
            </w:r>
          </w:p>
        </w:tc>
        <w:tc>
          <w:tcPr>
            <w:tcW w:w="1985" w:type="dxa"/>
            <w:tcBorders>
              <w:top w:val="single" w:color="auto" w:sz="4" w:space="0"/>
              <w:left w:val="nil"/>
              <w:bottom w:val="single" w:color="auto" w:sz="4" w:space="0"/>
              <w:right w:val="single" w:color="auto" w:sz="4" w:space="0"/>
            </w:tcBorders>
            <w:vAlign w:val="center"/>
          </w:tcPr>
          <w:p w14:paraId="2654EEAB">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采购人</w:t>
            </w:r>
          </w:p>
        </w:tc>
        <w:tc>
          <w:tcPr>
            <w:tcW w:w="5917" w:type="dxa"/>
            <w:tcBorders>
              <w:top w:val="single" w:color="auto" w:sz="4" w:space="0"/>
              <w:left w:val="nil"/>
              <w:bottom w:val="single" w:color="auto" w:sz="4" w:space="0"/>
              <w:right w:val="single" w:color="auto" w:sz="4" w:space="0"/>
            </w:tcBorders>
            <w:vAlign w:val="center"/>
          </w:tcPr>
          <w:p w14:paraId="063DF615">
            <w:pPr>
              <w:spacing w:line="360" w:lineRule="auto"/>
              <w:rPr>
                <w:rFonts w:ascii="宋体" w:hAnsi="宋体" w:eastAsia="宋体" w:cs="Times New Roman"/>
                <w:bCs/>
                <w:sz w:val="28"/>
                <w:szCs w:val="28"/>
              </w:rPr>
            </w:pPr>
            <w:r>
              <w:rPr>
                <w:rFonts w:hint="eastAsia" w:ascii="宋体" w:hAnsi="宋体" w:eastAsia="宋体" w:cs="Times New Roman"/>
                <w:bCs/>
                <w:sz w:val="28"/>
                <w:szCs w:val="28"/>
              </w:rPr>
              <w:t>名  称：灵宝市高级技工学校</w:t>
            </w:r>
          </w:p>
          <w:p w14:paraId="31B8D6A9">
            <w:pPr>
              <w:spacing w:line="360" w:lineRule="auto"/>
              <w:rPr>
                <w:rFonts w:ascii="宋体" w:hAnsi="宋体" w:eastAsia="宋体" w:cs="Times New Roman"/>
                <w:bCs/>
                <w:sz w:val="28"/>
                <w:szCs w:val="28"/>
              </w:rPr>
            </w:pPr>
            <w:r>
              <w:rPr>
                <w:rFonts w:hint="eastAsia" w:ascii="宋体" w:hAnsi="宋体" w:eastAsia="宋体" w:cs="Times New Roman"/>
                <w:bCs/>
                <w:sz w:val="28"/>
                <w:szCs w:val="28"/>
              </w:rPr>
              <w:t>联系人：</w:t>
            </w:r>
            <w:r>
              <w:rPr>
                <w:rFonts w:hint="eastAsia" w:ascii="新宋体" w:hAnsi="新宋体" w:eastAsia="新宋体" w:cs="新宋体"/>
                <w:kern w:val="0"/>
                <w:sz w:val="28"/>
                <w:szCs w:val="28"/>
              </w:rPr>
              <w:t>冯女士</w:t>
            </w:r>
          </w:p>
          <w:p w14:paraId="106849E8">
            <w:pPr>
              <w:spacing w:line="360" w:lineRule="auto"/>
              <w:rPr>
                <w:rFonts w:ascii="宋体" w:hAnsi="宋体" w:eastAsia="宋体" w:cs="Times New Roman"/>
                <w:bCs/>
                <w:sz w:val="28"/>
                <w:szCs w:val="28"/>
              </w:rPr>
            </w:pPr>
            <w:r>
              <w:rPr>
                <w:rFonts w:hint="eastAsia" w:ascii="宋体" w:hAnsi="宋体" w:eastAsia="宋体" w:cs="Times New Roman"/>
                <w:bCs/>
                <w:sz w:val="28"/>
                <w:szCs w:val="28"/>
              </w:rPr>
              <w:t>地  址：灵宝市鼎塬路中段</w:t>
            </w:r>
          </w:p>
          <w:p w14:paraId="606EC32E">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sz w:val="28"/>
                <w:szCs w:val="28"/>
              </w:rPr>
              <w:t>电  话：</w:t>
            </w:r>
            <w:r>
              <w:rPr>
                <w:rFonts w:hint="eastAsia" w:ascii="宋体" w:hAnsi="宋体" w:eastAsia="宋体" w:cs="Times New Roman"/>
                <w:bCs/>
                <w:color w:val="000000" w:themeColor="text1"/>
                <w:sz w:val="28"/>
                <w:szCs w:val="28"/>
                <w14:textFill>
                  <w14:solidFill>
                    <w14:schemeClr w14:val="tx1"/>
                  </w14:solidFill>
                </w14:textFill>
              </w:rPr>
              <w:t>18639875117</w:t>
            </w:r>
          </w:p>
        </w:tc>
      </w:tr>
      <w:tr w14:paraId="2A82FDA0">
        <w:tblPrEx>
          <w:tblCellMar>
            <w:top w:w="0" w:type="dxa"/>
            <w:left w:w="108" w:type="dxa"/>
            <w:bottom w:w="0" w:type="dxa"/>
            <w:right w:w="108" w:type="dxa"/>
          </w:tblCellMar>
        </w:tblPrEx>
        <w:trPr>
          <w:trHeight w:val="57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59EC4F3">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1.2</w:t>
            </w:r>
          </w:p>
        </w:tc>
        <w:tc>
          <w:tcPr>
            <w:tcW w:w="1985" w:type="dxa"/>
            <w:tcBorders>
              <w:top w:val="single" w:color="auto" w:sz="4" w:space="0"/>
              <w:left w:val="nil"/>
              <w:bottom w:val="single" w:color="auto" w:sz="4" w:space="0"/>
              <w:right w:val="single" w:color="auto" w:sz="4" w:space="0"/>
            </w:tcBorders>
            <w:vAlign w:val="center"/>
          </w:tcPr>
          <w:p w14:paraId="12AF03D7">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采购代理机构</w:t>
            </w:r>
          </w:p>
        </w:tc>
        <w:tc>
          <w:tcPr>
            <w:tcW w:w="5917" w:type="dxa"/>
            <w:tcBorders>
              <w:top w:val="single" w:color="auto" w:sz="4" w:space="0"/>
              <w:left w:val="nil"/>
              <w:bottom w:val="single" w:color="auto" w:sz="4" w:space="0"/>
              <w:right w:val="single" w:color="auto" w:sz="4" w:space="0"/>
            </w:tcBorders>
            <w:vAlign w:val="center"/>
          </w:tcPr>
          <w:p w14:paraId="101E40B5">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名  称：中科天一工程管理有限公司</w:t>
            </w:r>
          </w:p>
          <w:p w14:paraId="3754E6E5">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地  址：三门峡商会大厦B座410号</w:t>
            </w:r>
          </w:p>
          <w:p w14:paraId="1EB02630">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联系人：曾女士、曹女士</w:t>
            </w:r>
            <w:r>
              <w:rPr>
                <w:rFonts w:hint="eastAsia" w:ascii="新宋体" w:hAnsi="新宋体" w:eastAsia="新宋体" w:cs="新宋体"/>
                <w:kern w:val="0"/>
                <w:sz w:val="28"/>
                <w:szCs w:val="28"/>
              </w:rPr>
              <w:tab/>
            </w:r>
          </w:p>
          <w:p w14:paraId="43B9E29A">
            <w:pPr>
              <w:spacing w:line="360" w:lineRule="auto"/>
              <w:rPr>
                <w:rFonts w:ascii="新宋体" w:hAnsi="新宋体" w:eastAsia="新宋体" w:cs="新宋体"/>
                <w:kern w:val="0"/>
                <w:sz w:val="28"/>
                <w:szCs w:val="28"/>
              </w:rPr>
            </w:pPr>
            <w:r>
              <w:rPr>
                <w:rFonts w:hint="eastAsia" w:ascii="新宋体" w:hAnsi="新宋体" w:eastAsia="新宋体" w:cs="新宋体"/>
                <w:kern w:val="0"/>
                <w:sz w:val="28"/>
                <w:szCs w:val="28"/>
              </w:rPr>
              <w:t>联系电话：15039878886、15639812027</w:t>
            </w:r>
          </w:p>
        </w:tc>
      </w:tr>
      <w:tr w14:paraId="7857F682">
        <w:tblPrEx>
          <w:tblCellMar>
            <w:top w:w="0" w:type="dxa"/>
            <w:left w:w="108" w:type="dxa"/>
            <w:bottom w:w="0" w:type="dxa"/>
            <w:right w:w="108" w:type="dxa"/>
          </w:tblCellMar>
        </w:tblPrEx>
        <w:trPr>
          <w:trHeight w:val="84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88D6573">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1.3</w:t>
            </w:r>
          </w:p>
        </w:tc>
        <w:tc>
          <w:tcPr>
            <w:tcW w:w="1985" w:type="dxa"/>
            <w:tcBorders>
              <w:top w:val="single" w:color="auto" w:sz="4" w:space="0"/>
              <w:left w:val="nil"/>
              <w:bottom w:val="single" w:color="auto" w:sz="4" w:space="0"/>
              <w:right w:val="single" w:color="auto" w:sz="4" w:space="0"/>
            </w:tcBorders>
            <w:vAlign w:val="center"/>
          </w:tcPr>
          <w:p w14:paraId="531744AC">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w:t>
            </w:r>
          </w:p>
          <w:p w14:paraId="06100800">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名称</w:t>
            </w:r>
          </w:p>
        </w:tc>
        <w:tc>
          <w:tcPr>
            <w:tcW w:w="5917" w:type="dxa"/>
            <w:tcBorders>
              <w:top w:val="single" w:color="auto" w:sz="4" w:space="0"/>
              <w:left w:val="nil"/>
              <w:bottom w:val="single" w:color="auto" w:sz="4" w:space="0"/>
              <w:right w:val="single" w:color="auto" w:sz="4" w:space="0"/>
            </w:tcBorders>
            <w:vAlign w:val="center"/>
          </w:tcPr>
          <w:p w14:paraId="4B17BE68">
            <w:pPr>
              <w:spacing w:line="360" w:lineRule="auto"/>
              <w:rPr>
                <w:rFonts w:ascii="宋体" w:hAnsi="宋体" w:eastAsia="宋体" w:cs="Times New Roman"/>
                <w:bCs/>
                <w:iCs/>
                <w:color w:val="000000" w:themeColor="text1"/>
                <w:sz w:val="28"/>
                <w:szCs w:val="28"/>
                <w14:textFill>
                  <w14:solidFill>
                    <w14:schemeClr w14:val="tx1"/>
                  </w14:solidFill>
                </w14:textFill>
              </w:rPr>
            </w:pPr>
            <w:r>
              <w:rPr>
                <w:rFonts w:hint="eastAsia" w:ascii="新宋体" w:hAnsi="新宋体" w:eastAsia="新宋体" w:cs="新宋体"/>
                <w:kern w:val="0"/>
                <w:sz w:val="28"/>
                <w:szCs w:val="28"/>
              </w:rPr>
              <w:t>灵宝市高级技工学校灵宝市公共就业创业服务驿站项目</w:t>
            </w:r>
          </w:p>
        </w:tc>
      </w:tr>
      <w:tr w14:paraId="4608C44E">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D9CC9C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1.4</w:t>
            </w:r>
          </w:p>
        </w:tc>
        <w:tc>
          <w:tcPr>
            <w:tcW w:w="1985" w:type="dxa"/>
            <w:tcBorders>
              <w:top w:val="single" w:color="auto" w:sz="4" w:space="0"/>
              <w:left w:val="nil"/>
              <w:bottom w:val="single" w:color="auto" w:sz="4" w:space="0"/>
              <w:right w:val="single" w:color="auto" w:sz="4" w:space="0"/>
            </w:tcBorders>
            <w:vAlign w:val="center"/>
          </w:tcPr>
          <w:p w14:paraId="6ACA67C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交货</w:t>
            </w:r>
          </w:p>
          <w:p w14:paraId="1ED206EE">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地点</w:t>
            </w:r>
          </w:p>
        </w:tc>
        <w:tc>
          <w:tcPr>
            <w:tcW w:w="5917" w:type="dxa"/>
            <w:tcBorders>
              <w:top w:val="single" w:color="auto" w:sz="4" w:space="0"/>
              <w:left w:val="nil"/>
              <w:bottom w:val="single" w:color="auto" w:sz="4" w:space="0"/>
              <w:right w:val="single" w:color="auto" w:sz="4" w:space="0"/>
            </w:tcBorders>
            <w:vAlign w:val="center"/>
          </w:tcPr>
          <w:p w14:paraId="6BD5D4C4">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采购人指定地点</w:t>
            </w:r>
          </w:p>
        </w:tc>
      </w:tr>
      <w:tr w14:paraId="5183A671">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7CE4D2E">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1.5</w:t>
            </w:r>
          </w:p>
        </w:tc>
        <w:tc>
          <w:tcPr>
            <w:tcW w:w="1985" w:type="dxa"/>
            <w:tcBorders>
              <w:top w:val="single" w:color="auto" w:sz="4" w:space="0"/>
              <w:left w:val="nil"/>
              <w:bottom w:val="single" w:color="auto" w:sz="4" w:space="0"/>
              <w:right w:val="single" w:color="auto" w:sz="4" w:space="0"/>
            </w:tcBorders>
            <w:vAlign w:val="center"/>
          </w:tcPr>
          <w:p w14:paraId="60DC07A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资金</w:t>
            </w:r>
          </w:p>
          <w:p w14:paraId="03556364">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来源</w:t>
            </w:r>
          </w:p>
        </w:tc>
        <w:tc>
          <w:tcPr>
            <w:tcW w:w="5917" w:type="dxa"/>
            <w:tcBorders>
              <w:top w:val="single" w:color="auto" w:sz="4" w:space="0"/>
              <w:left w:val="nil"/>
              <w:bottom w:val="single" w:color="auto" w:sz="4" w:space="0"/>
              <w:right w:val="single" w:color="auto" w:sz="4" w:space="0"/>
            </w:tcBorders>
            <w:vAlign w:val="center"/>
          </w:tcPr>
          <w:p w14:paraId="1C9D0FD2">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新宋体" w:hAnsi="新宋体" w:eastAsia="新宋体" w:cs="新宋体"/>
                <w:kern w:val="0"/>
                <w:sz w:val="28"/>
                <w:szCs w:val="28"/>
              </w:rPr>
              <w:t>财政</w:t>
            </w:r>
            <w:r>
              <w:rPr>
                <w:rFonts w:hint="eastAsia" w:ascii="宋体" w:hAnsi="宋体" w:eastAsia="宋体" w:cs="Times New Roman"/>
                <w:color w:val="000000" w:themeColor="text1"/>
                <w:sz w:val="28"/>
                <w:szCs w:val="28"/>
                <w14:textFill>
                  <w14:solidFill>
                    <w14:schemeClr w14:val="tx1"/>
                  </w14:solidFill>
                </w14:textFill>
              </w:rPr>
              <w:t>资金，已落实；</w:t>
            </w:r>
          </w:p>
        </w:tc>
      </w:tr>
      <w:tr w14:paraId="1D7E41B4">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8FEF79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1.7</w:t>
            </w:r>
          </w:p>
        </w:tc>
        <w:tc>
          <w:tcPr>
            <w:tcW w:w="1985" w:type="dxa"/>
            <w:tcBorders>
              <w:top w:val="single" w:color="auto" w:sz="4" w:space="0"/>
              <w:left w:val="nil"/>
              <w:bottom w:val="single" w:color="auto" w:sz="4" w:space="0"/>
              <w:right w:val="single" w:color="auto" w:sz="4" w:space="0"/>
            </w:tcBorders>
            <w:vAlign w:val="center"/>
          </w:tcPr>
          <w:p w14:paraId="5C7DF387">
            <w:pPr>
              <w:widowControl/>
              <w:spacing w:line="360" w:lineRule="auto"/>
              <w:jc w:val="center"/>
              <w:rPr>
                <w:rFonts w:ascii="宋体" w:hAnsi="宋体" w:eastAsia="宋体" w:cs="Times New Roman"/>
                <w:kern w:val="0"/>
                <w:sz w:val="28"/>
                <w:szCs w:val="28"/>
              </w:rPr>
            </w:pPr>
            <w:r>
              <w:rPr>
                <w:rFonts w:hint="eastAsia" w:ascii="宋体" w:hAnsi="宋体" w:eastAsia="宋体" w:cs="Times New Roman"/>
                <w:kern w:val="0"/>
                <w:sz w:val="28"/>
                <w:szCs w:val="28"/>
              </w:rPr>
              <w:t>采购</w:t>
            </w:r>
          </w:p>
          <w:p w14:paraId="51A9A8F9">
            <w:pPr>
              <w:widowControl/>
              <w:spacing w:line="360" w:lineRule="auto"/>
              <w:jc w:val="center"/>
              <w:rPr>
                <w:rFonts w:ascii="宋体" w:hAnsi="宋体" w:eastAsia="宋体" w:cs="Times New Roman"/>
                <w:kern w:val="0"/>
                <w:sz w:val="28"/>
                <w:szCs w:val="28"/>
              </w:rPr>
            </w:pPr>
            <w:r>
              <w:rPr>
                <w:rFonts w:hint="eastAsia" w:ascii="宋体" w:hAnsi="宋体" w:eastAsia="宋体" w:cs="Times New Roman"/>
                <w:kern w:val="0"/>
                <w:sz w:val="28"/>
                <w:szCs w:val="28"/>
              </w:rPr>
              <w:t>内容</w:t>
            </w:r>
          </w:p>
        </w:tc>
        <w:tc>
          <w:tcPr>
            <w:tcW w:w="5917" w:type="dxa"/>
            <w:tcBorders>
              <w:top w:val="single" w:color="auto" w:sz="4" w:space="0"/>
              <w:left w:val="nil"/>
              <w:bottom w:val="single" w:color="auto" w:sz="4" w:space="0"/>
              <w:right w:val="single" w:color="auto" w:sz="4" w:space="0"/>
            </w:tcBorders>
            <w:vAlign w:val="center"/>
          </w:tcPr>
          <w:p w14:paraId="5125EC77">
            <w:pPr>
              <w:spacing w:line="360" w:lineRule="auto"/>
              <w:ind w:firstLine="560" w:firstLineChars="200"/>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灵宝市高级技工学校灵宝市公共就业创业服务驿站项目，包括驿站接待大厅、创业孵化项目展示厅、创业培训教室、直播带岗直播间、融合洽谈功能区、路演大厅、移动就业创业会务设施、信息化工程和培训基地综合功能提升等内容；具体内容详见采购清单及招标文件。</w:t>
            </w:r>
          </w:p>
        </w:tc>
      </w:tr>
      <w:tr w14:paraId="151613A8">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9A23B6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1.8</w:t>
            </w:r>
          </w:p>
        </w:tc>
        <w:tc>
          <w:tcPr>
            <w:tcW w:w="1985" w:type="dxa"/>
            <w:tcBorders>
              <w:top w:val="single" w:color="auto" w:sz="4" w:space="0"/>
              <w:left w:val="nil"/>
              <w:bottom w:val="single" w:color="auto" w:sz="4" w:space="0"/>
              <w:right w:val="single" w:color="auto" w:sz="4" w:space="0"/>
            </w:tcBorders>
            <w:vAlign w:val="center"/>
          </w:tcPr>
          <w:p w14:paraId="3CC25D6E">
            <w:pPr>
              <w:widowControl/>
              <w:spacing w:line="360" w:lineRule="auto"/>
              <w:jc w:val="center"/>
              <w:rPr>
                <w:rFonts w:ascii="宋体" w:hAnsi="宋体" w:eastAsia="宋体" w:cs="Times New Roman"/>
                <w:sz w:val="28"/>
                <w:szCs w:val="28"/>
              </w:rPr>
            </w:pPr>
            <w:r>
              <w:rPr>
                <w:rFonts w:hint="eastAsia" w:ascii="宋体" w:hAnsi="宋体" w:eastAsia="宋体" w:cs="Times New Roman"/>
                <w:sz w:val="28"/>
                <w:szCs w:val="28"/>
              </w:rPr>
              <w:t>供货期</w:t>
            </w:r>
          </w:p>
        </w:tc>
        <w:tc>
          <w:tcPr>
            <w:tcW w:w="5917" w:type="dxa"/>
            <w:tcBorders>
              <w:top w:val="single" w:color="auto" w:sz="4" w:space="0"/>
              <w:left w:val="nil"/>
              <w:bottom w:val="single" w:color="auto" w:sz="4" w:space="0"/>
              <w:right w:val="single" w:color="auto" w:sz="4" w:space="0"/>
            </w:tcBorders>
            <w:vAlign w:val="center"/>
          </w:tcPr>
          <w:p w14:paraId="5C0B350D">
            <w:pPr>
              <w:spacing w:line="360" w:lineRule="auto"/>
              <w:rPr>
                <w:rFonts w:ascii="宋体" w:hAnsi="宋体" w:eastAsia="宋体" w:cs="Times New Roman"/>
                <w:sz w:val="28"/>
                <w:szCs w:val="28"/>
              </w:rPr>
            </w:pPr>
            <w:r>
              <w:rPr>
                <w:rFonts w:hint="eastAsia" w:ascii="宋体" w:hAnsi="宋体" w:eastAsia="宋体" w:cs="Times New Roman"/>
                <w:bCs/>
                <w:color w:val="000000" w:themeColor="text1"/>
                <w:sz w:val="28"/>
                <w:szCs w:val="28"/>
                <w14:textFill>
                  <w14:solidFill>
                    <w14:schemeClr w14:val="tx1"/>
                  </w14:solidFill>
                </w14:textFill>
              </w:rPr>
              <w:t>90日历天</w:t>
            </w:r>
          </w:p>
        </w:tc>
      </w:tr>
      <w:tr w14:paraId="71E17761">
        <w:tblPrEx>
          <w:tblCellMar>
            <w:top w:w="0" w:type="dxa"/>
            <w:left w:w="108" w:type="dxa"/>
            <w:bottom w:w="0" w:type="dxa"/>
            <w:right w:w="108" w:type="dxa"/>
          </w:tblCellMar>
        </w:tblPrEx>
        <w:trPr>
          <w:trHeight w:val="43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6268C9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1.9</w:t>
            </w:r>
          </w:p>
        </w:tc>
        <w:tc>
          <w:tcPr>
            <w:tcW w:w="1985" w:type="dxa"/>
            <w:tcBorders>
              <w:top w:val="single" w:color="auto" w:sz="4" w:space="0"/>
              <w:left w:val="nil"/>
              <w:bottom w:val="single" w:color="auto" w:sz="4" w:space="0"/>
              <w:right w:val="single" w:color="auto" w:sz="4" w:space="0"/>
            </w:tcBorders>
            <w:vAlign w:val="center"/>
          </w:tcPr>
          <w:p w14:paraId="7B438C38">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质量</w:t>
            </w:r>
          </w:p>
          <w:p w14:paraId="4F6B402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要求</w:t>
            </w:r>
          </w:p>
        </w:tc>
        <w:tc>
          <w:tcPr>
            <w:tcW w:w="5917" w:type="dxa"/>
            <w:tcBorders>
              <w:top w:val="single" w:color="auto" w:sz="4" w:space="0"/>
              <w:left w:val="nil"/>
              <w:bottom w:val="single" w:color="auto" w:sz="4" w:space="0"/>
              <w:right w:val="single" w:color="auto" w:sz="4" w:space="0"/>
            </w:tcBorders>
            <w:vAlign w:val="center"/>
          </w:tcPr>
          <w:p w14:paraId="62F38999">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合格，符合相关法律、规范及采购人要求</w:t>
            </w:r>
            <w:r>
              <w:rPr>
                <w:rFonts w:hint="eastAsia" w:ascii="宋体" w:hAnsi="宋体" w:eastAsia="宋体" w:cs="Times New Roman"/>
                <w:color w:val="000000" w:themeColor="text1"/>
                <w:sz w:val="28"/>
                <w:szCs w:val="28"/>
                <w14:textFill>
                  <w14:solidFill>
                    <w14:schemeClr w14:val="tx1"/>
                  </w14:solidFill>
                </w14:textFill>
              </w:rPr>
              <w:t>；</w:t>
            </w:r>
          </w:p>
        </w:tc>
      </w:tr>
      <w:tr w14:paraId="1EFDB17B">
        <w:tblPrEx>
          <w:tblCellMar>
            <w:top w:w="0" w:type="dxa"/>
            <w:left w:w="108" w:type="dxa"/>
            <w:bottom w:w="0" w:type="dxa"/>
            <w:right w:w="108" w:type="dxa"/>
          </w:tblCellMar>
        </w:tblPrEx>
        <w:trPr>
          <w:trHeight w:val="54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84A1A03">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w:t>
            </w:r>
          </w:p>
        </w:tc>
        <w:tc>
          <w:tcPr>
            <w:tcW w:w="1985" w:type="dxa"/>
            <w:tcBorders>
              <w:top w:val="single" w:color="auto" w:sz="4" w:space="0"/>
              <w:left w:val="nil"/>
              <w:bottom w:val="single" w:color="auto" w:sz="4" w:space="0"/>
              <w:right w:val="single" w:color="auto" w:sz="4" w:space="0"/>
            </w:tcBorders>
            <w:vAlign w:val="center"/>
          </w:tcPr>
          <w:p w14:paraId="5C18439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供应商资格要求</w:t>
            </w:r>
          </w:p>
        </w:tc>
        <w:tc>
          <w:tcPr>
            <w:tcW w:w="5917" w:type="dxa"/>
            <w:tcBorders>
              <w:top w:val="single" w:color="auto" w:sz="4" w:space="0"/>
              <w:left w:val="nil"/>
              <w:bottom w:val="single" w:color="auto" w:sz="4" w:space="0"/>
              <w:right w:val="single" w:color="auto" w:sz="4" w:space="0"/>
            </w:tcBorders>
            <w:vAlign w:val="center"/>
          </w:tcPr>
          <w:p w14:paraId="7CA4DB0E">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1、满足《中华人民共和国政府采购法》第二十二条规定；</w:t>
            </w:r>
          </w:p>
          <w:p w14:paraId="17CAA7CC">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2、落实政府采购政策满足的资格要求：</w:t>
            </w:r>
          </w:p>
          <w:p w14:paraId="1B47B7B4">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本项目执行优先采购节能环保、环境标志性产品，促进中小企业（监狱企业、残疾人福利性企业）发展等政策。</w:t>
            </w:r>
          </w:p>
          <w:p w14:paraId="64658F00">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3、本项目的特定资格要求</w:t>
            </w:r>
          </w:p>
          <w:p w14:paraId="3C00F9E8">
            <w:pPr>
              <w:spacing w:line="360" w:lineRule="auto"/>
              <w:ind w:firstLine="560" w:firstLineChars="200"/>
              <w:rPr>
                <w:rFonts w:ascii="宋体" w:hAnsi="宋体" w:eastAsia="宋体" w:cs="Times New Roman"/>
                <w:sz w:val="28"/>
                <w:szCs w:val="28"/>
                <w:u w:val="single"/>
              </w:rPr>
            </w:pPr>
            <w:r>
              <w:rPr>
                <w:rFonts w:hint="eastAsia" w:ascii="宋体" w:hAnsi="宋体" w:eastAsia="宋体" w:cs="Times New Roman"/>
                <w:sz w:val="28"/>
                <w:szCs w:val="28"/>
              </w:rPr>
              <w:t>（1）供应商须具有独立承担民事责任能力的法人或其他组织，同时具有有效的营业执照、税务登记证、组织机构代码证或三证合一的营业执照；</w:t>
            </w:r>
          </w:p>
          <w:p w14:paraId="2DA0C1FF">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（2）供应商出具企业及法人代表无商业贿赂及无不正当竞争行为的承诺书；</w:t>
            </w:r>
          </w:p>
          <w:p w14:paraId="2D9C7D42">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（3）提供供应商企业、法定代表人无行贿犯罪记录，在中国裁判文书网查询（提供网页查询截图）或供应商自行承诺；</w:t>
            </w:r>
          </w:p>
          <w:p w14:paraId="54810A00">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（4）供应商出具企业三年内未受到主管部门行政处罚或通报批评承诺书。</w:t>
            </w:r>
          </w:p>
          <w:p w14:paraId="3753AABA">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p w14:paraId="0BD28C27">
            <w:pPr>
              <w:spacing w:line="360" w:lineRule="auto"/>
              <w:ind w:firstLine="560" w:firstLineChars="200"/>
              <w:rPr>
                <w:rFonts w:ascii="宋体" w:hAnsi="宋体" w:eastAsia="宋体" w:cs="Times New Roman"/>
                <w:sz w:val="28"/>
                <w:szCs w:val="28"/>
              </w:rPr>
            </w:pPr>
            <w:r>
              <w:rPr>
                <w:rFonts w:hint="eastAsia" w:ascii="宋体" w:hAnsi="宋体" w:eastAsia="宋体" w:cs="Times New Roman"/>
                <w:sz w:val="28"/>
                <w:szCs w:val="28"/>
              </w:rPr>
              <w:t>（6）本项目不接受联合体投标。</w:t>
            </w:r>
          </w:p>
          <w:p w14:paraId="38A7896F">
            <w:pPr>
              <w:spacing w:line="360" w:lineRule="auto"/>
              <w:ind w:firstLine="562" w:firstLineChars="200"/>
              <w:rPr>
                <w:rFonts w:ascii="宋体" w:hAnsi="宋体" w:eastAsia="宋体" w:cs="Times New Roman"/>
                <w:b/>
                <w:sz w:val="28"/>
                <w:szCs w:val="28"/>
              </w:rPr>
            </w:pPr>
            <w:r>
              <w:rPr>
                <w:rFonts w:hint="eastAsia" w:ascii="宋体" w:hAnsi="宋体" w:eastAsia="宋体" w:cs="Times New Roman"/>
                <w:b/>
                <w:sz w:val="28"/>
                <w:szCs w:val="28"/>
              </w:rPr>
              <w:t>备注：供应商可同时报名多个标段，但只能中一个标段。若出现两个或两个以上标段同时被推荐为第一中标候选人，则只能选择标段顺序最靠前的标段作为中标标段；</w:t>
            </w:r>
          </w:p>
        </w:tc>
      </w:tr>
      <w:tr w14:paraId="708C4991">
        <w:tblPrEx>
          <w:tblCellMar>
            <w:top w:w="0" w:type="dxa"/>
            <w:left w:w="108" w:type="dxa"/>
            <w:bottom w:w="0" w:type="dxa"/>
            <w:right w:w="108" w:type="dxa"/>
          </w:tblCellMar>
        </w:tblPrEx>
        <w:trPr>
          <w:trHeight w:val="147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589B49F">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w:t>
            </w:r>
          </w:p>
        </w:tc>
        <w:tc>
          <w:tcPr>
            <w:tcW w:w="1985" w:type="dxa"/>
            <w:tcBorders>
              <w:top w:val="single" w:color="auto" w:sz="4" w:space="0"/>
              <w:left w:val="nil"/>
              <w:bottom w:val="single" w:color="auto" w:sz="4" w:space="0"/>
              <w:right w:val="single" w:color="auto" w:sz="4" w:space="0"/>
            </w:tcBorders>
            <w:vAlign w:val="center"/>
          </w:tcPr>
          <w:p w14:paraId="378DB61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招标文件的异议提出时间</w:t>
            </w:r>
          </w:p>
        </w:tc>
        <w:tc>
          <w:tcPr>
            <w:tcW w:w="5917" w:type="dxa"/>
            <w:tcBorders>
              <w:top w:val="single" w:color="auto" w:sz="4" w:space="0"/>
              <w:left w:val="nil"/>
              <w:bottom w:val="single" w:color="auto" w:sz="4" w:space="0"/>
              <w:right w:val="single" w:color="auto" w:sz="4" w:space="0"/>
            </w:tcBorders>
            <w:vAlign w:val="center"/>
          </w:tcPr>
          <w:p w14:paraId="360DA926">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递交投标文件的截止之日10日前</w:t>
            </w:r>
          </w:p>
        </w:tc>
      </w:tr>
      <w:tr w14:paraId="585498F5">
        <w:tblPrEx>
          <w:tblCellMar>
            <w:top w:w="0" w:type="dxa"/>
            <w:left w:w="108" w:type="dxa"/>
            <w:bottom w:w="0" w:type="dxa"/>
            <w:right w:w="108" w:type="dxa"/>
          </w:tblCellMar>
        </w:tblPrEx>
        <w:trPr>
          <w:trHeight w:val="1132"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150FAECF">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2.2</w:t>
            </w:r>
          </w:p>
        </w:tc>
        <w:tc>
          <w:tcPr>
            <w:tcW w:w="1985" w:type="dxa"/>
            <w:tcBorders>
              <w:top w:val="single" w:color="auto" w:sz="4" w:space="0"/>
              <w:left w:val="nil"/>
              <w:bottom w:val="single" w:color="auto" w:sz="4" w:space="0"/>
              <w:right w:val="single" w:color="auto" w:sz="4" w:space="0"/>
            </w:tcBorders>
            <w:vAlign w:val="center"/>
          </w:tcPr>
          <w:p w14:paraId="2E97373A">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投标人要求澄清招标文件的截止时间</w:t>
            </w:r>
          </w:p>
        </w:tc>
        <w:tc>
          <w:tcPr>
            <w:tcW w:w="5917" w:type="dxa"/>
            <w:tcBorders>
              <w:top w:val="single" w:color="auto" w:sz="4" w:space="0"/>
              <w:left w:val="nil"/>
              <w:bottom w:val="single" w:color="auto" w:sz="4" w:space="0"/>
              <w:right w:val="single" w:color="auto" w:sz="4" w:space="0"/>
            </w:tcBorders>
            <w:vAlign w:val="center"/>
          </w:tcPr>
          <w:p w14:paraId="10F3FE54">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投标截止时间15天前</w:t>
            </w:r>
          </w:p>
        </w:tc>
      </w:tr>
      <w:tr w14:paraId="115D02CD">
        <w:tblPrEx>
          <w:tblCellMar>
            <w:top w:w="0" w:type="dxa"/>
            <w:left w:w="108" w:type="dxa"/>
            <w:bottom w:w="0" w:type="dxa"/>
            <w:right w:w="108" w:type="dxa"/>
          </w:tblCellMar>
        </w:tblPrEx>
        <w:trPr>
          <w:trHeight w:val="60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1A15F5A">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w:t>
            </w:r>
          </w:p>
        </w:tc>
        <w:tc>
          <w:tcPr>
            <w:tcW w:w="1985" w:type="dxa"/>
            <w:tcBorders>
              <w:top w:val="single" w:color="auto" w:sz="4" w:space="0"/>
              <w:left w:val="nil"/>
              <w:bottom w:val="single" w:color="auto" w:sz="4" w:space="0"/>
              <w:right w:val="single" w:color="auto" w:sz="4" w:space="0"/>
            </w:tcBorders>
            <w:vAlign w:val="center"/>
          </w:tcPr>
          <w:p w14:paraId="3486B2D2">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偏离</w:t>
            </w:r>
          </w:p>
        </w:tc>
        <w:tc>
          <w:tcPr>
            <w:tcW w:w="5917" w:type="dxa"/>
            <w:tcBorders>
              <w:top w:val="single" w:color="auto" w:sz="4" w:space="0"/>
              <w:left w:val="nil"/>
              <w:bottom w:val="single" w:color="auto" w:sz="4" w:space="0"/>
              <w:right w:val="single" w:color="auto" w:sz="4" w:space="0"/>
            </w:tcBorders>
            <w:vAlign w:val="center"/>
          </w:tcPr>
          <w:p w14:paraId="06FCD582">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允许</w:t>
            </w:r>
          </w:p>
        </w:tc>
      </w:tr>
      <w:tr w14:paraId="20DC9BCB">
        <w:tblPrEx>
          <w:tblCellMar>
            <w:top w:w="0" w:type="dxa"/>
            <w:left w:w="108" w:type="dxa"/>
            <w:bottom w:w="0" w:type="dxa"/>
            <w:right w:w="108" w:type="dxa"/>
          </w:tblCellMar>
        </w:tblPrEx>
        <w:trPr>
          <w:trHeight w:val="450"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CEA5FBE">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2.4</w:t>
            </w:r>
          </w:p>
        </w:tc>
        <w:tc>
          <w:tcPr>
            <w:tcW w:w="1985" w:type="dxa"/>
            <w:tcBorders>
              <w:top w:val="single" w:color="auto" w:sz="4" w:space="0"/>
              <w:left w:val="nil"/>
              <w:bottom w:val="single" w:color="auto" w:sz="4" w:space="0"/>
              <w:right w:val="single" w:color="auto" w:sz="4" w:space="0"/>
            </w:tcBorders>
            <w:vAlign w:val="center"/>
          </w:tcPr>
          <w:p w14:paraId="2ED8568D">
            <w:pPr>
              <w:widowControl/>
              <w:spacing w:line="360" w:lineRule="auto"/>
              <w:jc w:val="center"/>
              <w:rPr>
                <w:rFonts w:ascii="宋体" w:hAnsi="宋体" w:eastAsia="宋体" w:cs="Times New Roman"/>
                <w:sz w:val="28"/>
                <w:szCs w:val="28"/>
              </w:rPr>
            </w:pPr>
            <w:r>
              <w:rPr>
                <w:rFonts w:hint="eastAsia" w:ascii="宋体" w:hAnsi="宋体" w:eastAsia="宋体" w:cs="Times New Roman"/>
                <w:sz w:val="28"/>
                <w:szCs w:val="28"/>
              </w:rPr>
              <w:t>投标截止时间</w:t>
            </w:r>
          </w:p>
        </w:tc>
        <w:tc>
          <w:tcPr>
            <w:tcW w:w="5917" w:type="dxa"/>
            <w:tcBorders>
              <w:top w:val="single" w:color="auto" w:sz="4" w:space="0"/>
              <w:left w:val="nil"/>
              <w:bottom w:val="single" w:color="auto" w:sz="4" w:space="0"/>
              <w:right w:val="single" w:color="auto" w:sz="4" w:space="0"/>
            </w:tcBorders>
            <w:vAlign w:val="center"/>
          </w:tcPr>
          <w:p w14:paraId="05FB2010">
            <w:pPr>
              <w:spacing w:line="360" w:lineRule="auto"/>
              <w:rPr>
                <w:rFonts w:ascii="宋体" w:hAnsi="宋体" w:eastAsia="宋体" w:cs="Times New Roman"/>
                <w:sz w:val="28"/>
                <w:szCs w:val="28"/>
              </w:rPr>
            </w:pPr>
            <w:r>
              <w:rPr>
                <w:rFonts w:hint="eastAsia" w:ascii="宋体" w:hAnsi="宋体" w:eastAsia="宋体" w:cs="Times New Roman"/>
                <w:bCs/>
                <w:sz w:val="28"/>
                <w:szCs w:val="28"/>
              </w:rPr>
              <w:t>2024年11月7日08时30分（北京时间）</w:t>
            </w:r>
            <w:r>
              <w:rPr>
                <w:rFonts w:hint="eastAsia" w:ascii="宋体" w:hAnsi="宋体" w:eastAsia="宋体" w:cs="Times New Roman"/>
                <w:bCs/>
                <w:sz w:val="28"/>
                <w:szCs w:val="28"/>
              </w:rPr>
              <w:tab/>
            </w:r>
          </w:p>
        </w:tc>
      </w:tr>
      <w:tr w14:paraId="00664606">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ECB7B30">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2.5</w:t>
            </w:r>
          </w:p>
        </w:tc>
        <w:tc>
          <w:tcPr>
            <w:tcW w:w="1985" w:type="dxa"/>
            <w:tcBorders>
              <w:top w:val="single" w:color="auto" w:sz="4" w:space="0"/>
              <w:left w:val="nil"/>
              <w:bottom w:val="single" w:color="auto" w:sz="4" w:space="0"/>
              <w:right w:val="single" w:color="auto" w:sz="4" w:space="0"/>
            </w:tcBorders>
            <w:vAlign w:val="center"/>
          </w:tcPr>
          <w:p w14:paraId="535270A7">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投标有效期</w:t>
            </w:r>
          </w:p>
        </w:tc>
        <w:tc>
          <w:tcPr>
            <w:tcW w:w="5917" w:type="dxa"/>
            <w:tcBorders>
              <w:top w:val="single" w:color="auto" w:sz="4" w:space="0"/>
              <w:left w:val="nil"/>
              <w:bottom w:val="single" w:color="auto" w:sz="4" w:space="0"/>
              <w:right w:val="single" w:color="auto" w:sz="4" w:space="0"/>
            </w:tcBorders>
            <w:vAlign w:val="center"/>
          </w:tcPr>
          <w:p w14:paraId="26EECB98">
            <w:pPr>
              <w:widowControl/>
              <w:spacing w:line="360" w:lineRule="auto"/>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60日历天</w:t>
            </w:r>
          </w:p>
        </w:tc>
      </w:tr>
      <w:tr w14:paraId="748745A6">
        <w:tblPrEx>
          <w:tblCellMar>
            <w:top w:w="0" w:type="dxa"/>
            <w:left w:w="108" w:type="dxa"/>
            <w:bottom w:w="0" w:type="dxa"/>
            <w:right w:w="108" w:type="dxa"/>
          </w:tblCellMar>
        </w:tblPrEx>
        <w:trPr>
          <w:trHeight w:val="1641" w:hRule="atLeast"/>
          <w:jc w:val="center"/>
        </w:trPr>
        <w:tc>
          <w:tcPr>
            <w:tcW w:w="1014" w:type="dxa"/>
            <w:tcBorders>
              <w:top w:val="nil"/>
              <w:left w:val="single" w:color="auto" w:sz="4" w:space="0"/>
              <w:bottom w:val="single" w:color="auto" w:sz="4" w:space="0"/>
              <w:right w:val="single" w:color="auto" w:sz="4" w:space="0"/>
            </w:tcBorders>
            <w:vAlign w:val="center"/>
          </w:tcPr>
          <w:p w14:paraId="4C3BBE26">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2.6</w:t>
            </w:r>
          </w:p>
        </w:tc>
        <w:tc>
          <w:tcPr>
            <w:tcW w:w="1985" w:type="dxa"/>
            <w:tcBorders>
              <w:top w:val="nil"/>
              <w:left w:val="nil"/>
              <w:bottom w:val="single" w:color="auto" w:sz="4" w:space="0"/>
              <w:right w:val="single" w:color="auto" w:sz="4" w:space="0"/>
            </w:tcBorders>
            <w:vAlign w:val="center"/>
          </w:tcPr>
          <w:p w14:paraId="002CD14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投标保证金</w:t>
            </w:r>
          </w:p>
        </w:tc>
        <w:tc>
          <w:tcPr>
            <w:tcW w:w="5917" w:type="dxa"/>
            <w:tcBorders>
              <w:top w:val="single" w:color="auto" w:sz="4" w:space="0"/>
              <w:left w:val="nil"/>
              <w:bottom w:val="single" w:color="auto" w:sz="4" w:space="0"/>
              <w:right w:val="single" w:color="auto" w:sz="4" w:space="0"/>
            </w:tcBorders>
            <w:vAlign w:val="center"/>
          </w:tcPr>
          <w:p w14:paraId="75F910E1">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根据《河南省财政厅关于优化政府采购营商环境有关问题的通知》（豫财购【2019】4号）第6条的规定，投标保证金不再收取。</w:t>
            </w:r>
          </w:p>
        </w:tc>
      </w:tr>
      <w:tr w14:paraId="5C2071C8">
        <w:tblPrEx>
          <w:tblCellMar>
            <w:top w:w="0" w:type="dxa"/>
            <w:left w:w="108" w:type="dxa"/>
            <w:bottom w:w="0" w:type="dxa"/>
            <w:right w:w="108" w:type="dxa"/>
          </w:tblCellMar>
        </w:tblPrEx>
        <w:trPr>
          <w:trHeight w:val="1641" w:hRule="atLeast"/>
          <w:jc w:val="center"/>
        </w:trPr>
        <w:tc>
          <w:tcPr>
            <w:tcW w:w="1014" w:type="dxa"/>
            <w:tcBorders>
              <w:top w:val="nil"/>
              <w:left w:val="single" w:color="auto" w:sz="4" w:space="0"/>
              <w:bottom w:val="single" w:color="auto" w:sz="4" w:space="0"/>
              <w:right w:val="single" w:color="auto" w:sz="4" w:space="0"/>
            </w:tcBorders>
            <w:vAlign w:val="center"/>
          </w:tcPr>
          <w:p w14:paraId="779BDC5A">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2.7</w:t>
            </w:r>
          </w:p>
        </w:tc>
        <w:tc>
          <w:tcPr>
            <w:tcW w:w="1985" w:type="dxa"/>
            <w:tcBorders>
              <w:top w:val="nil"/>
              <w:left w:val="nil"/>
              <w:bottom w:val="single" w:color="auto" w:sz="4" w:space="0"/>
              <w:right w:val="single" w:color="auto" w:sz="4" w:space="0"/>
            </w:tcBorders>
            <w:vAlign w:val="center"/>
          </w:tcPr>
          <w:p w14:paraId="37513C4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近年财务状况的年份要求</w:t>
            </w:r>
          </w:p>
        </w:tc>
        <w:tc>
          <w:tcPr>
            <w:tcW w:w="5917" w:type="dxa"/>
            <w:tcBorders>
              <w:top w:val="single" w:color="auto" w:sz="4" w:space="0"/>
              <w:left w:val="nil"/>
              <w:bottom w:val="single" w:color="auto" w:sz="4" w:space="0"/>
              <w:right w:val="single" w:color="auto" w:sz="4" w:space="0"/>
            </w:tcBorders>
            <w:vAlign w:val="center"/>
          </w:tcPr>
          <w:p w14:paraId="20A32B11">
            <w:pP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提供2023年度经审计的财务状况报告（成立时间不足一年的，可提供成立时间至当前时间节点的财务状况报告）</w:t>
            </w:r>
          </w:p>
        </w:tc>
      </w:tr>
      <w:tr w14:paraId="61199BAF">
        <w:tblPrEx>
          <w:tblCellMar>
            <w:top w:w="0" w:type="dxa"/>
            <w:left w:w="108" w:type="dxa"/>
            <w:bottom w:w="0" w:type="dxa"/>
            <w:right w:w="108" w:type="dxa"/>
          </w:tblCellMar>
        </w:tblPrEx>
        <w:trPr>
          <w:trHeight w:val="1641" w:hRule="atLeast"/>
          <w:jc w:val="center"/>
        </w:trPr>
        <w:tc>
          <w:tcPr>
            <w:tcW w:w="1014" w:type="dxa"/>
            <w:tcBorders>
              <w:top w:val="nil"/>
              <w:left w:val="single" w:color="auto" w:sz="4" w:space="0"/>
              <w:bottom w:val="single" w:color="auto" w:sz="4" w:space="0"/>
              <w:right w:val="single" w:color="auto" w:sz="4" w:space="0"/>
            </w:tcBorders>
            <w:vAlign w:val="center"/>
          </w:tcPr>
          <w:p w14:paraId="2205301E">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2.8</w:t>
            </w:r>
          </w:p>
        </w:tc>
        <w:tc>
          <w:tcPr>
            <w:tcW w:w="1985" w:type="dxa"/>
            <w:tcBorders>
              <w:top w:val="nil"/>
              <w:left w:val="nil"/>
              <w:bottom w:val="single" w:color="auto" w:sz="4" w:space="0"/>
              <w:right w:val="single" w:color="auto" w:sz="4" w:space="0"/>
            </w:tcBorders>
          </w:tcPr>
          <w:p w14:paraId="564DA116">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近年完成的类似项目的年份要求</w:t>
            </w:r>
          </w:p>
        </w:tc>
        <w:tc>
          <w:tcPr>
            <w:tcW w:w="5917" w:type="dxa"/>
            <w:tcBorders>
              <w:top w:val="single" w:color="auto" w:sz="4" w:space="0"/>
              <w:left w:val="nil"/>
              <w:bottom w:val="single" w:color="auto" w:sz="4" w:space="0"/>
              <w:right w:val="single" w:color="auto" w:sz="4" w:space="0"/>
            </w:tcBorders>
            <w:vAlign w:val="center"/>
          </w:tcPr>
          <w:p w14:paraId="1A33ECDB">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2021年1月1日以来至今。</w:t>
            </w:r>
          </w:p>
        </w:tc>
      </w:tr>
      <w:tr w14:paraId="67C8BBF2">
        <w:tblPrEx>
          <w:tblCellMar>
            <w:top w:w="0" w:type="dxa"/>
            <w:left w:w="108" w:type="dxa"/>
            <w:bottom w:w="0" w:type="dxa"/>
            <w:right w:w="108" w:type="dxa"/>
          </w:tblCellMar>
        </w:tblPrEx>
        <w:trPr>
          <w:trHeight w:val="164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340E0C2">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2.9</w:t>
            </w:r>
          </w:p>
        </w:tc>
        <w:tc>
          <w:tcPr>
            <w:tcW w:w="1985" w:type="dxa"/>
            <w:tcBorders>
              <w:top w:val="single" w:color="auto" w:sz="4" w:space="0"/>
              <w:left w:val="single" w:color="auto" w:sz="4" w:space="0"/>
              <w:bottom w:val="single" w:color="auto" w:sz="4" w:space="0"/>
              <w:right w:val="single" w:color="auto" w:sz="4" w:space="0"/>
            </w:tcBorders>
          </w:tcPr>
          <w:p w14:paraId="69595D7F">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近年发生的诉讼及仲裁情况的年份要求</w:t>
            </w:r>
          </w:p>
        </w:tc>
        <w:tc>
          <w:tcPr>
            <w:tcW w:w="5917" w:type="dxa"/>
            <w:tcBorders>
              <w:top w:val="single" w:color="auto" w:sz="4" w:space="0"/>
              <w:left w:val="single" w:color="auto" w:sz="4" w:space="0"/>
              <w:bottom w:val="single" w:color="auto" w:sz="4" w:space="0"/>
              <w:right w:val="single" w:color="auto" w:sz="4" w:space="0"/>
            </w:tcBorders>
            <w:vAlign w:val="center"/>
          </w:tcPr>
          <w:p w14:paraId="18F3E753">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2021年1月1日以来至今。</w:t>
            </w:r>
          </w:p>
        </w:tc>
      </w:tr>
      <w:tr w14:paraId="50500ABC">
        <w:tblPrEx>
          <w:tblCellMar>
            <w:top w:w="0" w:type="dxa"/>
            <w:left w:w="108" w:type="dxa"/>
            <w:bottom w:w="0" w:type="dxa"/>
            <w:right w:w="108" w:type="dxa"/>
          </w:tblCellMar>
        </w:tblPrEx>
        <w:trPr>
          <w:trHeight w:val="164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AF0F014">
            <w:pPr>
              <w:widowControl/>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3.0</w:t>
            </w:r>
          </w:p>
        </w:tc>
        <w:tc>
          <w:tcPr>
            <w:tcW w:w="1985" w:type="dxa"/>
            <w:tcBorders>
              <w:top w:val="single" w:color="auto" w:sz="4" w:space="0"/>
              <w:left w:val="single" w:color="auto" w:sz="4" w:space="0"/>
              <w:bottom w:val="single" w:color="auto" w:sz="4" w:space="0"/>
              <w:right w:val="single" w:color="auto" w:sz="4" w:space="0"/>
            </w:tcBorders>
            <w:vAlign w:val="center"/>
          </w:tcPr>
          <w:p w14:paraId="4070D64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其他</w:t>
            </w:r>
          </w:p>
          <w:p w14:paraId="0CF2C797">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要求</w:t>
            </w:r>
          </w:p>
        </w:tc>
        <w:tc>
          <w:tcPr>
            <w:tcW w:w="5917" w:type="dxa"/>
            <w:tcBorders>
              <w:top w:val="single" w:color="auto" w:sz="4" w:space="0"/>
              <w:left w:val="single" w:color="auto" w:sz="4" w:space="0"/>
              <w:bottom w:val="single" w:color="auto" w:sz="4" w:space="0"/>
              <w:right w:val="single" w:color="auto" w:sz="4" w:space="0"/>
            </w:tcBorders>
            <w:vAlign w:val="center"/>
          </w:tcPr>
          <w:p w14:paraId="7AB82723">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1、本项目实行资格后审，根据优化营商环境的要求，评标时审查内容以投标文件为准：</w:t>
            </w:r>
          </w:p>
          <w:p w14:paraId="7D863C47">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1.1、本项目实行资格后审，评审中资格审查、评审打分以投标文件为准，其上传资料真实性由供应商自行承担，同时，供应商要完善主体库。</w:t>
            </w:r>
          </w:p>
          <w:p w14:paraId="2F702ED3">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1.2、评标打分部分：评标打分部分仍按照100分制原则进行，涉及到资格审查、企业荣誉、人员业绩、企业业绩等计分部分时，以投标单位自行上传到投标文件中的相应内容为准。</w:t>
            </w:r>
          </w:p>
          <w:p w14:paraId="2E9648CD">
            <w:pPr>
              <w:spacing w:line="360" w:lineRule="auto"/>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1.3、投标文件编制部分：在招标文件中要求投标供应商按照投标文件格式进行投标文件编制，在投标文件编制时，应明确将投标单位企业基本情况、资质情况、人员情况、财务情况、业绩情况编入投标文件，便于进行资格审查及评标打分。</w:t>
            </w:r>
          </w:p>
          <w:p w14:paraId="1ED1BA62">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1.4、我单位（采购人）严格按三财购【2021】9号文要求的时限发布中标结果公告，发出中标通知书，签订采购合同，上传采购合同</w:t>
            </w:r>
            <w:r>
              <w:rPr>
                <w:rFonts w:hint="eastAsia" w:ascii="宋体" w:hAnsi="宋体" w:eastAsia="宋体" w:cs="Times New Roman"/>
                <w:color w:val="000000" w:themeColor="text1"/>
                <w:kern w:val="0"/>
                <w:sz w:val="28"/>
                <w:szCs w:val="28"/>
                <w14:textFill>
                  <w14:solidFill>
                    <w14:schemeClr w14:val="tx1"/>
                  </w14:solidFill>
                </w14:textFill>
              </w:rPr>
              <w:t>。</w:t>
            </w:r>
          </w:p>
        </w:tc>
      </w:tr>
      <w:tr w14:paraId="32158586">
        <w:tblPrEx>
          <w:tblCellMar>
            <w:top w:w="0" w:type="dxa"/>
            <w:left w:w="108" w:type="dxa"/>
            <w:bottom w:w="0" w:type="dxa"/>
            <w:right w:w="108" w:type="dxa"/>
          </w:tblCellMar>
        </w:tblPrEx>
        <w:trPr>
          <w:trHeight w:val="841"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59FB1C0">
            <w:pPr>
              <w:widowControl/>
              <w:spacing w:line="360" w:lineRule="auto"/>
              <w:jc w:val="center"/>
              <w:rPr>
                <w:rFonts w:ascii="宋体" w:hAnsi="宋体" w:eastAsia="宋体" w:cs="Times New Roman"/>
                <w:color w:val="000000" w:themeColor="text1"/>
                <w:kern w:val="0"/>
                <w:sz w:val="28"/>
                <w:szCs w:val="28"/>
                <w:shd w:val="clear" w:color="auto" w:fill="FFFFFF"/>
                <w14:textFill>
                  <w14:solidFill>
                    <w14:schemeClr w14:val="tx1"/>
                  </w14:solidFill>
                </w14:textFill>
              </w:rPr>
            </w:pPr>
          </w:p>
          <w:p w14:paraId="6E39411C">
            <w:pPr>
              <w:widowControl/>
              <w:spacing w:line="360" w:lineRule="auto"/>
              <w:jc w:val="center"/>
              <w:rPr>
                <w:rFonts w:ascii="宋体" w:hAnsi="宋体" w:eastAsia="宋体" w:cs="Times New Roman"/>
                <w:color w:val="000000" w:themeColor="text1"/>
                <w:kern w:val="0"/>
                <w:sz w:val="28"/>
                <w:szCs w:val="28"/>
                <w:shd w:val="clear" w:color="auto" w:fill="FFFFFF"/>
                <w14:textFill>
                  <w14:solidFill>
                    <w14:schemeClr w14:val="tx1"/>
                  </w14:solidFill>
                </w14:textFill>
              </w:rPr>
            </w:pPr>
            <w:r>
              <w:rPr>
                <w:rFonts w:hint="eastAsia" w:ascii="宋体" w:hAnsi="宋体" w:eastAsia="宋体" w:cs="Times New Roman"/>
                <w:color w:val="000000" w:themeColor="text1"/>
                <w:kern w:val="0"/>
                <w:sz w:val="28"/>
                <w:szCs w:val="28"/>
                <w:shd w:val="clear" w:color="auto" w:fill="FFFFFF"/>
                <w14:textFill>
                  <w14:solidFill>
                    <w14:schemeClr w14:val="tx1"/>
                  </w14:solidFill>
                </w14:textFill>
              </w:rPr>
              <w:t>3.1</w:t>
            </w:r>
          </w:p>
        </w:tc>
        <w:tc>
          <w:tcPr>
            <w:tcW w:w="1985" w:type="dxa"/>
            <w:tcBorders>
              <w:top w:val="single" w:color="auto" w:sz="4" w:space="0"/>
              <w:left w:val="nil"/>
              <w:bottom w:val="single" w:color="auto" w:sz="4" w:space="0"/>
              <w:right w:val="single" w:color="auto" w:sz="4" w:space="0"/>
            </w:tcBorders>
            <w:vAlign w:val="center"/>
          </w:tcPr>
          <w:p w14:paraId="2EE70E8F">
            <w:pPr>
              <w:widowControl/>
              <w:spacing w:line="360" w:lineRule="auto"/>
              <w:jc w:val="center"/>
              <w:rPr>
                <w:rFonts w:ascii="宋体" w:hAnsi="宋体" w:eastAsia="宋体" w:cs="Times New Roman"/>
                <w:color w:val="000000" w:themeColor="text1"/>
                <w:kern w:val="0"/>
                <w:sz w:val="28"/>
                <w:szCs w:val="28"/>
                <w:shd w:val="clear" w:color="auto" w:fill="FFFFFF"/>
                <w14:textFill>
                  <w14:solidFill>
                    <w14:schemeClr w14:val="tx1"/>
                  </w14:solidFill>
                </w14:textFill>
              </w:rPr>
            </w:pPr>
            <w:r>
              <w:rPr>
                <w:rFonts w:hint="eastAsia" w:ascii="宋体" w:hAnsi="宋体" w:eastAsia="宋体" w:cs="Times New Roman"/>
                <w:color w:val="000000" w:themeColor="text1"/>
                <w:kern w:val="0"/>
                <w:sz w:val="28"/>
                <w:szCs w:val="28"/>
                <w:shd w:val="clear" w:color="auto" w:fill="FFFFFF"/>
                <w14:textFill>
                  <w14:solidFill>
                    <w14:schemeClr w14:val="tx1"/>
                  </w14:solidFill>
                </w14:textFill>
              </w:rPr>
              <w:t>递交投标文件地点和时间</w:t>
            </w:r>
          </w:p>
        </w:tc>
        <w:tc>
          <w:tcPr>
            <w:tcW w:w="5917" w:type="dxa"/>
            <w:tcBorders>
              <w:top w:val="single" w:color="auto" w:sz="4" w:space="0"/>
              <w:left w:val="nil"/>
              <w:bottom w:val="single" w:color="auto" w:sz="4" w:space="0"/>
              <w:right w:val="single" w:color="auto" w:sz="4" w:space="0"/>
            </w:tcBorders>
            <w:vAlign w:val="center"/>
          </w:tcPr>
          <w:p w14:paraId="776069E4">
            <w:pPr>
              <w:widowControl/>
              <w:spacing w:line="360" w:lineRule="auto"/>
              <w:jc w:val="left"/>
              <w:rPr>
                <w:rFonts w:ascii="宋体" w:hAnsi="宋体" w:eastAsia="宋体" w:cs="Times New Roman"/>
                <w:kern w:val="0"/>
                <w:sz w:val="28"/>
                <w:szCs w:val="28"/>
              </w:rPr>
            </w:pPr>
            <w:r>
              <w:rPr>
                <w:rFonts w:hint="eastAsia" w:ascii="宋体" w:hAnsi="宋体" w:eastAsia="宋体" w:cs="Times New Roman"/>
                <w:kern w:val="0"/>
                <w:sz w:val="28"/>
                <w:szCs w:val="28"/>
              </w:rPr>
              <w:t>1、时间</w:t>
            </w:r>
            <w:r>
              <w:rPr>
                <w:rFonts w:ascii="宋体" w:hAnsi="宋体" w:eastAsia="宋体" w:cs="Times New Roman"/>
                <w:kern w:val="0"/>
                <w:sz w:val="28"/>
                <w:szCs w:val="28"/>
              </w:rPr>
              <w:t>:</w:t>
            </w:r>
            <w:r>
              <w:rPr>
                <w:rFonts w:hint="eastAsia" w:ascii="宋体" w:hAnsi="宋体" w:eastAsia="宋体" w:cs="Times New Roman"/>
                <w:bCs/>
                <w:sz w:val="28"/>
                <w:szCs w:val="28"/>
              </w:rPr>
              <w:t xml:space="preserve"> 2024年11月7日08时30分</w:t>
            </w:r>
            <w:r>
              <w:rPr>
                <w:rFonts w:hint="eastAsia" w:ascii="宋体" w:hAnsi="宋体" w:eastAsia="宋体" w:cs="Times New Roman"/>
                <w:kern w:val="0"/>
                <w:sz w:val="28"/>
                <w:szCs w:val="28"/>
              </w:rPr>
              <w:t>（北京时间）</w:t>
            </w:r>
          </w:p>
          <w:p w14:paraId="0174B1FF">
            <w:pPr>
              <w:spacing w:line="360" w:lineRule="auto"/>
              <w:rPr>
                <w:rFonts w:ascii="宋体" w:hAnsi="宋体" w:eastAsia="宋体" w:cs="Times New Roman"/>
                <w:bCs/>
                <w:color w:val="000000" w:themeColor="text1"/>
                <w:sz w:val="28"/>
                <w:szCs w:val="28"/>
                <w14:textFill>
                  <w14:solidFill>
                    <w14:schemeClr w14:val="tx1"/>
                  </w14:solidFill>
                </w14:textFill>
              </w:rPr>
            </w:pPr>
            <w:r>
              <w:rPr>
                <w:rFonts w:ascii="宋体" w:hAnsi="宋体" w:eastAsia="宋体" w:cs="Times New Roman"/>
                <w:bCs/>
                <w:color w:val="000000" w:themeColor="text1"/>
                <w:sz w:val="28"/>
                <w:szCs w:val="28"/>
                <w14:textFill>
                  <w14:solidFill>
                    <w14:schemeClr w14:val="tx1"/>
                  </w14:solidFill>
                </w14:textFill>
              </w:rPr>
              <w:t>2</w:t>
            </w:r>
            <w:r>
              <w:rPr>
                <w:rFonts w:hint="eastAsia" w:ascii="宋体" w:hAnsi="宋体" w:eastAsia="宋体" w:cs="Times New Roman"/>
                <w:bCs/>
                <w:color w:val="000000" w:themeColor="text1"/>
                <w:sz w:val="28"/>
                <w:szCs w:val="28"/>
                <w14:textFill>
                  <w14:solidFill>
                    <w14:schemeClr w14:val="tx1"/>
                  </w14:solidFill>
                </w14:textFill>
              </w:rPr>
              <w:t>、地点</w:t>
            </w:r>
            <w:r>
              <w:rPr>
                <w:rFonts w:ascii="宋体" w:hAnsi="宋体" w:eastAsia="宋体" w:cs="Times New Roman"/>
                <w:bCs/>
                <w:color w:val="000000" w:themeColor="text1"/>
                <w:sz w:val="28"/>
                <w:szCs w:val="28"/>
                <w14:textFill>
                  <w14:solidFill>
                    <w14:schemeClr w14:val="tx1"/>
                  </w14:solidFill>
                </w14:textFill>
              </w:rPr>
              <w:t>：</w:t>
            </w:r>
            <w:r>
              <w:rPr>
                <w:rFonts w:hint="eastAsia" w:ascii="宋体" w:hAnsi="宋体" w:eastAsia="宋体" w:cs="Times New Roman"/>
                <w:bCs/>
                <w:color w:val="000000" w:themeColor="text1"/>
                <w:sz w:val="28"/>
                <w:szCs w:val="28"/>
                <w14:textFill>
                  <w14:solidFill>
                    <w14:schemeClr w14:val="tx1"/>
                  </w14:solidFill>
                </w14:textFill>
              </w:rPr>
              <w:t>电子投标文件在开标截止时间前上传至“三门峡市公共资源交易中心网站”</w:t>
            </w:r>
          </w:p>
        </w:tc>
      </w:tr>
      <w:tr w14:paraId="09D70106">
        <w:tblPrEx>
          <w:tblCellMar>
            <w:top w:w="0" w:type="dxa"/>
            <w:left w:w="108" w:type="dxa"/>
            <w:bottom w:w="0" w:type="dxa"/>
            <w:right w:w="108" w:type="dxa"/>
          </w:tblCellMar>
        </w:tblPrEx>
        <w:trPr>
          <w:trHeight w:val="124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44563D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3.2</w:t>
            </w:r>
          </w:p>
        </w:tc>
        <w:tc>
          <w:tcPr>
            <w:tcW w:w="1985" w:type="dxa"/>
            <w:tcBorders>
              <w:top w:val="single" w:color="auto" w:sz="4" w:space="0"/>
              <w:left w:val="nil"/>
              <w:bottom w:val="single" w:color="auto" w:sz="4" w:space="0"/>
              <w:right w:val="single" w:color="auto" w:sz="4" w:space="0"/>
            </w:tcBorders>
            <w:vAlign w:val="center"/>
          </w:tcPr>
          <w:p w14:paraId="0EB5AF7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w:t>
            </w:r>
          </w:p>
          <w:p w14:paraId="6AC6B477">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报价</w:t>
            </w:r>
          </w:p>
        </w:tc>
        <w:tc>
          <w:tcPr>
            <w:tcW w:w="5917" w:type="dxa"/>
            <w:tcBorders>
              <w:top w:val="single" w:color="auto" w:sz="4" w:space="0"/>
              <w:left w:val="nil"/>
              <w:bottom w:val="single" w:color="auto" w:sz="4" w:space="0"/>
              <w:right w:val="single" w:color="auto" w:sz="4" w:space="0"/>
            </w:tcBorders>
            <w:vAlign w:val="center"/>
          </w:tcPr>
          <w:p w14:paraId="685FD5F7">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投标报价：投标供应商应按标段报出“投标函附表”中所载的各项货物的单价及价格合计</w:t>
            </w:r>
          </w:p>
          <w:p w14:paraId="456E2376">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1、投标报价应完全包括招标文件规定的货物和服务范围，不得任意分割或合并所规定的分项；</w:t>
            </w:r>
          </w:p>
          <w:p w14:paraId="1544BFEF">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2、投标供应商对每项货物只允许有一个报价，采购人和采购代理机构不接受有任何选择报价的投标。（注：单价的合计须等于各项物的价格之和，本项目不允许提交备选方案）；</w:t>
            </w:r>
          </w:p>
          <w:p w14:paraId="16B39069">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3、投标供应商不得以任何理由在开标后对投标报价予以修改，报价在投标有效期内是固定的，不因任何原因而改变。任何包含价格调整要求和条件的投标，将被视为非实质性响应投标而予以拒绝；</w:t>
            </w:r>
          </w:p>
        </w:tc>
      </w:tr>
      <w:tr w14:paraId="75BCFEC9">
        <w:tblPrEx>
          <w:tblCellMar>
            <w:top w:w="0" w:type="dxa"/>
            <w:left w:w="108" w:type="dxa"/>
            <w:bottom w:w="0" w:type="dxa"/>
            <w:right w:w="108" w:type="dxa"/>
          </w:tblCellMar>
        </w:tblPrEx>
        <w:trPr>
          <w:trHeight w:val="69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C682E7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3.3</w:t>
            </w:r>
          </w:p>
        </w:tc>
        <w:tc>
          <w:tcPr>
            <w:tcW w:w="1985" w:type="dxa"/>
            <w:tcBorders>
              <w:top w:val="single" w:color="auto" w:sz="4" w:space="0"/>
              <w:left w:val="nil"/>
              <w:bottom w:val="single" w:color="auto" w:sz="4" w:space="0"/>
              <w:right w:val="single" w:color="auto" w:sz="4" w:space="0"/>
            </w:tcBorders>
            <w:vAlign w:val="center"/>
          </w:tcPr>
          <w:p w14:paraId="1AA300B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w:t>
            </w:r>
          </w:p>
          <w:p w14:paraId="22866B56">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货币</w:t>
            </w:r>
          </w:p>
        </w:tc>
        <w:tc>
          <w:tcPr>
            <w:tcW w:w="5917" w:type="dxa"/>
            <w:tcBorders>
              <w:top w:val="single" w:color="auto" w:sz="4" w:space="0"/>
              <w:left w:val="nil"/>
              <w:bottom w:val="single" w:color="auto" w:sz="4" w:space="0"/>
              <w:right w:val="single" w:color="auto" w:sz="4" w:space="0"/>
            </w:tcBorders>
            <w:vAlign w:val="center"/>
          </w:tcPr>
          <w:p w14:paraId="5AE804B6">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1、除非另有规定，投标供应商提供的所有货物和服务用人民币报价；</w:t>
            </w:r>
          </w:p>
          <w:p w14:paraId="4D07F99A">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2、投标供应商提供从中华人民共和国境外取得的货物和服务应同时提供相应的CIF/CIP美元价格，该价格在任何情况下都不对约定投标货币产生影响。</w:t>
            </w:r>
          </w:p>
        </w:tc>
      </w:tr>
      <w:tr w14:paraId="5D2BE12C">
        <w:tblPrEx>
          <w:tblCellMar>
            <w:top w:w="0" w:type="dxa"/>
            <w:left w:w="108" w:type="dxa"/>
            <w:bottom w:w="0" w:type="dxa"/>
            <w:right w:w="108" w:type="dxa"/>
          </w:tblCellMar>
        </w:tblPrEx>
        <w:trPr>
          <w:trHeight w:val="150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0F1F7FD7">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3.4</w:t>
            </w:r>
          </w:p>
        </w:tc>
        <w:tc>
          <w:tcPr>
            <w:tcW w:w="1985" w:type="dxa"/>
            <w:tcBorders>
              <w:top w:val="single" w:color="auto" w:sz="4" w:space="0"/>
              <w:left w:val="nil"/>
              <w:bottom w:val="single" w:color="auto" w:sz="4" w:space="0"/>
              <w:right w:val="single" w:color="auto" w:sz="4" w:space="0"/>
            </w:tcBorders>
            <w:vAlign w:val="center"/>
          </w:tcPr>
          <w:p w14:paraId="2AC0876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开标时间和地点</w:t>
            </w:r>
          </w:p>
        </w:tc>
        <w:tc>
          <w:tcPr>
            <w:tcW w:w="5917" w:type="dxa"/>
            <w:tcBorders>
              <w:top w:val="single" w:color="auto" w:sz="4" w:space="0"/>
              <w:left w:val="nil"/>
              <w:bottom w:val="single" w:color="auto" w:sz="4" w:space="0"/>
              <w:right w:val="single" w:color="auto" w:sz="4" w:space="0"/>
            </w:tcBorders>
            <w:vAlign w:val="center"/>
          </w:tcPr>
          <w:p w14:paraId="1CF6C5C7">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时间</w:t>
            </w:r>
            <w:r>
              <w:rPr>
                <w:rFonts w:hint="eastAsia" w:ascii="宋体" w:hAnsi="宋体" w:eastAsia="宋体" w:cs="Times New Roman"/>
                <w:kern w:val="0"/>
                <w:sz w:val="28"/>
                <w:szCs w:val="28"/>
              </w:rPr>
              <w:t>：</w:t>
            </w:r>
            <w:r>
              <w:rPr>
                <w:rFonts w:hint="eastAsia" w:ascii="宋体" w:hAnsi="宋体" w:eastAsia="宋体" w:cs="Times New Roman"/>
                <w:bCs/>
                <w:sz w:val="28"/>
                <w:szCs w:val="28"/>
              </w:rPr>
              <w:t>2024年11月7日08时30分（北京时间）</w:t>
            </w:r>
          </w:p>
          <w:p w14:paraId="0E3A350E">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地点：</w:t>
            </w:r>
            <w:r>
              <w:rPr>
                <w:rFonts w:hint="eastAsia" w:ascii="宋体" w:hAnsi="宋体" w:eastAsia="宋体" w:cs="Times New Roman"/>
                <w:bCs/>
                <w:color w:val="000000" w:themeColor="text1"/>
                <w:sz w:val="28"/>
                <w:szCs w:val="28"/>
                <w14:textFill>
                  <w14:solidFill>
                    <w14:schemeClr w14:val="tx1"/>
                  </w14:solidFill>
                </w14:textFill>
              </w:rPr>
              <w:t xml:space="preserve">灵宝市公共资源交易中心开标二室（灵宝市金城大道信用合作联社12楼） </w:t>
            </w:r>
          </w:p>
        </w:tc>
      </w:tr>
      <w:tr w14:paraId="458D8F15">
        <w:tblPrEx>
          <w:tblCellMar>
            <w:top w:w="0" w:type="dxa"/>
            <w:left w:w="108" w:type="dxa"/>
            <w:bottom w:w="0" w:type="dxa"/>
            <w:right w:w="108" w:type="dxa"/>
          </w:tblCellMar>
        </w:tblPrEx>
        <w:trPr>
          <w:trHeight w:val="124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A7E8997">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3.5</w:t>
            </w:r>
          </w:p>
        </w:tc>
        <w:tc>
          <w:tcPr>
            <w:tcW w:w="1985" w:type="dxa"/>
            <w:tcBorders>
              <w:top w:val="single" w:color="auto" w:sz="4" w:space="0"/>
              <w:left w:val="nil"/>
              <w:bottom w:val="single" w:color="auto" w:sz="4" w:space="0"/>
              <w:right w:val="single" w:color="auto" w:sz="4" w:space="0"/>
            </w:tcBorders>
            <w:vAlign w:val="center"/>
          </w:tcPr>
          <w:p w14:paraId="52E96DD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开标</w:t>
            </w:r>
          </w:p>
          <w:p w14:paraId="43C79FEB">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程序</w:t>
            </w:r>
          </w:p>
        </w:tc>
        <w:tc>
          <w:tcPr>
            <w:tcW w:w="5917" w:type="dxa"/>
            <w:tcBorders>
              <w:top w:val="single" w:color="auto" w:sz="4" w:space="0"/>
              <w:left w:val="nil"/>
              <w:bottom w:val="single" w:color="auto" w:sz="4" w:space="0"/>
              <w:right w:val="single" w:color="auto" w:sz="4" w:space="0"/>
            </w:tcBorders>
            <w:vAlign w:val="center"/>
          </w:tcPr>
          <w:p w14:paraId="28D12F7D">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w:t>
            </w:r>
            <w:r>
              <w:rPr>
                <w:rFonts w:hint="eastAsia" w:ascii="宋体" w:hAnsi="宋体" w:eastAsia="宋体" w:cs="宋体"/>
                <w:color w:val="000000" w:themeColor="text1"/>
                <w:sz w:val="28"/>
                <w:szCs w:val="28"/>
                <w14:textFill>
                  <w14:solidFill>
                    <w14:schemeClr w14:val="tx1"/>
                  </w14:solidFill>
                </w14:textFill>
              </w:rPr>
              <w:t>电子化投标文件应在投标截止时间前成功上传至三门峡市公共资源电子化交易系统。至投标截止时间止，仍未上传成功的电子化投标文件将不予接收。</w:t>
            </w:r>
          </w:p>
          <w:p w14:paraId="214A490D">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w:t>
            </w:r>
            <w:r>
              <w:rPr>
                <w:rFonts w:hint="eastAsia" w:ascii="宋体" w:hAnsi="宋体" w:eastAsia="宋体" w:cs="宋体"/>
                <w:color w:val="000000" w:themeColor="text1"/>
                <w:sz w:val="28"/>
                <w:szCs w:val="28"/>
                <w14:textFill>
                  <w14:solidFill>
                    <w14:schemeClr w14:val="tx1"/>
                  </w14:solidFill>
                </w14:textFill>
              </w:rPr>
              <w:t>本项目采用</w:t>
            </w:r>
            <w:r>
              <w:rPr>
                <w:rFonts w:hint="eastAsia" w:ascii="宋体" w:hAnsi="宋体" w:eastAsia="宋体" w:cs="宋体"/>
                <w:b/>
                <w:color w:val="000000" w:themeColor="text1"/>
                <w:sz w:val="28"/>
                <w:szCs w:val="28"/>
                <w14:textFill>
                  <w14:solidFill>
                    <w14:schemeClr w14:val="tx1"/>
                  </w14:solidFill>
                </w14:textFill>
              </w:rPr>
              <w:t>电子化、无纸化</w:t>
            </w:r>
            <w:r>
              <w:rPr>
                <w:rFonts w:hint="eastAsia" w:ascii="宋体" w:hAnsi="宋体" w:eastAsia="宋体" w:cs="宋体"/>
                <w:color w:val="000000" w:themeColor="text1"/>
                <w:sz w:val="28"/>
                <w:szCs w:val="28"/>
                <w14:textFill>
                  <w14:solidFill>
                    <w14:schemeClr w14:val="tx1"/>
                  </w14:solidFill>
                </w14:textFill>
              </w:rPr>
              <w:t>进行招标，开标当日，投标供应商无需到开标现场参加开标会议，投标供应商应当在投标截止时间前，登陆不见面开标大厅选择登陆三门峡市公共资源电子招投标系统进行登陆（网址为</w:t>
            </w:r>
            <w:r>
              <w:fldChar w:fldCharType="begin"/>
            </w:r>
            <w:r>
              <w:instrText xml:space="preserve"> HYPERLINK "http://120.194.249.36:10094/BidOpening/bidopeninghallaction/hall/login" </w:instrText>
            </w:r>
            <w:r>
              <w:fldChar w:fldCharType="separate"/>
            </w:r>
            <w:r>
              <w:rPr>
                <w:rStyle w:val="100"/>
                <w:rFonts w:hint="eastAsia" w:ascii="宋体" w:hAnsi="宋体" w:eastAsia="宋体" w:cs="宋体"/>
                <w:color w:val="000000" w:themeColor="text1"/>
                <w:sz w:val="28"/>
                <w:szCs w:val="28"/>
                <w14:textFill>
                  <w14:solidFill>
                    <w14:schemeClr w14:val="tx1"/>
                  </w14:solidFill>
                </w14:textFill>
              </w:rPr>
              <w:t>http://120.194.249.36:10094/BidOpening/bidopeninghallaction/hall/login</w:t>
            </w:r>
            <w:r>
              <w:rPr>
                <w:rStyle w:val="100"/>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）,在线准时参加开标活动并进行投标文件解密等。</w:t>
            </w:r>
          </w:p>
        </w:tc>
      </w:tr>
      <w:tr w14:paraId="47266877">
        <w:tblPrEx>
          <w:tblCellMar>
            <w:top w:w="0" w:type="dxa"/>
            <w:left w:w="108" w:type="dxa"/>
            <w:bottom w:w="0" w:type="dxa"/>
            <w:right w:w="108" w:type="dxa"/>
          </w:tblCellMar>
        </w:tblPrEx>
        <w:trPr>
          <w:trHeight w:val="130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631A0C99">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3.6</w:t>
            </w:r>
          </w:p>
        </w:tc>
        <w:tc>
          <w:tcPr>
            <w:tcW w:w="1985" w:type="dxa"/>
            <w:tcBorders>
              <w:top w:val="single" w:color="auto" w:sz="4" w:space="0"/>
              <w:left w:val="nil"/>
              <w:bottom w:val="single" w:color="auto" w:sz="4" w:space="0"/>
              <w:right w:val="single" w:color="auto" w:sz="4" w:space="0"/>
            </w:tcBorders>
            <w:vAlign w:val="center"/>
          </w:tcPr>
          <w:p w14:paraId="31912D03">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评标委员会的组建</w:t>
            </w:r>
          </w:p>
        </w:tc>
        <w:tc>
          <w:tcPr>
            <w:tcW w:w="5917" w:type="dxa"/>
            <w:tcBorders>
              <w:top w:val="single" w:color="auto" w:sz="4" w:space="0"/>
              <w:left w:val="nil"/>
              <w:bottom w:val="single" w:color="auto" w:sz="4" w:space="0"/>
              <w:right w:val="single" w:color="auto" w:sz="4" w:space="0"/>
            </w:tcBorders>
            <w:vAlign w:val="center"/>
          </w:tcPr>
          <w:p w14:paraId="050421E9">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评标委员会成员为5人，采购人代表1人，其余专家4人从河南省综合评标专家库中随机抽取。根据省政府关于评标专家的有关管理规定，业主评委不能获取评标劳务费。</w:t>
            </w:r>
          </w:p>
        </w:tc>
      </w:tr>
      <w:tr w14:paraId="401AD984">
        <w:tblPrEx>
          <w:tblCellMar>
            <w:top w:w="0" w:type="dxa"/>
            <w:left w:w="108" w:type="dxa"/>
            <w:bottom w:w="0" w:type="dxa"/>
            <w:right w:w="108" w:type="dxa"/>
          </w:tblCellMar>
        </w:tblPrEx>
        <w:trPr>
          <w:trHeight w:val="69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80EAC4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3.7</w:t>
            </w:r>
          </w:p>
        </w:tc>
        <w:tc>
          <w:tcPr>
            <w:tcW w:w="1985" w:type="dxa"/>
            <w:tcBorders>
              <w:top w:val="single" w:color="auto" w:sz="4" w:space="0"/>
              <w:left w:val="nil"/>
              <w:bottom w:val="single" w:color="auto" w:sz="4" w:space="0"/>
              <w:right w:val="single" w:color="auto" w:sz="4" w:space="0"/>
            </w:tcBorders>
            <w:vAlign w:val="center"/>
          </w:tcPr>
          <w:p w14:paraId="2D9D076C">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是否授权评标委员会确定中标候选供应商</w:t>
            </w:r>
          </w:p>
        </w:tc>
        <w:tc>
          <w:tcPr>
            <w:tcW w:w="5917" w:type="dxa"/>
            <w:tcBorders>
              <w:top w:val="single" w:color="auto" w:sz="4" w:space="0"/>
              <w:left w:val="nil"/>
              <w:bottom w:val="single" w:color="auto" w:sz="4" w:space="0"/>
              <w:right w:val="single" w:color="auto" w:sz="4" w:space="0"/>
            </w:tcBorders>
            <w:vAlign w:val="center"/>
          </w:tcPr>
          <w:p w14:paraId="505E7A16">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否，推荐3名候选供应商。</w:t>
            </w:r>
          </w:p>
        </w:tc>
      </w:tr>
      <w:tr w14:paraId="2AA4ACA5">
        <w:tblPrEx>
          <w:tblCellMar>
            <w:top w:w="0" w:type="dxa"/>
            <w:left w:w="108" w:type="dxa"/>
            <w:bottom w:w="0" w:type="dxa"/>
            <w:right w:w="108" w:type="dxa"/>
          </w:tblCellMar>
        </w:tblPrEx>
        <w:trPr>
          <w:trHeight w:val="699"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70A28707">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3.8</w:t>
            </w:r>
          </w:p>
        </w:tc>
        <w:tc>
          <w:tcPr>
            <w:tcW w:w="1985" w:type="dxa"/>
            <w:tcBorders>
              <w:top w:val="single" w:color="auto" w:sz="4" w:space="0"/>
              <w:left w:val="nil"/>
              <w:bottom w:val="single" w:color="auto" w:sz="4" w:space="0"/>
              <w:right w:val="single" w:color="auto" w:sz="4" w:space="0"/>
            </w:tcBorders>
            <w:vAlign w:val="center"/>
          </w:tcPr>
          <w:p w14:paraId="112674B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付款方式</w:t>
            </w:r>
          </w:p>
        </w:tc>
        <w:tc>
          <w:tcPr>
            <w:tcW w:w="5917" w:type="dxa"/>
            <w:tcBorders>
              <w:top w:val="single" w:color="auto" w:sz="4" w:space="0"/>
              <w:left w:val="nil"/>
              <w:bottom w:val="single" w:color="auto" w:sz="4" w:space="0"/>
              <w:right w:val="single" w:color="auto" w:sz="4" w:space="0"/>
            </w:tcBorders>
            <w:vAlign w:val="center"/>
          </w:tcPr>
          <w:p w14:paraId="65706DEB">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双方协商</w:t>
            </w:r>
          </w:p>
        </w:tc>
      </w:tr>
      <w:tr w14:paraId="5F1A18A5">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768A2EE">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3.9</w:t>
            </w:r>
          </w:p>
        </w:tc>
        <w:tc>
          <w:tcPr>
            <w:tcW w:w="1985" w:type="dxa"/>
            <w:tcBorders>
              <w:top w:val="single" w:color="auto" w:sz="4" w:space="0"/>
              <w:left w:val="nil"/>
              <w:bottom w:val="single" w:color="auto" w:sz="4" w:space="0"/>
              <w:right w:val="single" w:color="auto" w:sz="4" w:space="0"/>
            </w:tcBorders>
            <w:vAlign w:val="center"/>
          </w:tcPr>
          <w:p w14:paraId="6CFB85B5">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履约保证金</w:t>
            </w:r>
          </w:p>
        </w:tc>
        <w:tc>
          <w:tcPr>
            <w:tcW w:w="5917" w:type="dxa"/>
            <w:tcBorders>
              <w:top w:val="single" w:color="auto" w:sz="4" w:space="0"/>
              <w:left w:val="nil"/>
              <w:bottom w:val="single" w:color="auto" w:sz="4" w:space="0"/>
              <w:right w:val="single" w:color="auto" w:sz="4" w:space="0"/>
            </w:tcBorders>
            <w:vAlign w:val="center"/>
          </w:tcPr>
          <w:p w14:paraId="6E999C14">
            <w:pPr>
              <w:widowControl/>
              <w:spacing w:line="360" w:lineRule="auto"/>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无</w:t>
            </w:r>
          </w:p>
        </w:tc>
      </w:tr>
      <w:tr w14:paraId="62579BF4">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8875673">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4.0</w:t>
            </w:r>
          </w:p>
        </w:tc>
        <w:tc>
          <w:tcPr>
            <w:tcW w:w="1985" w:type="dxa"/>
            <w:tcBorders>
              <w:top w:val="single" w:color="auto" w:sz="4" w:space="0"/>
              <w:left w:val="nil"/>
              <w:bottom w:val="single" w:color="auto" w:sz="4" w:space="0"/>
              <w:right w:val="single" w:color="auto" w:sz="4" w:space="0"/>
            </w:tcBorders>
            <w:vAlign w:val="center"/>
          </w:tcPr>
          <w:p w14:paraId="32B43A61">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最高</w:t>
            </w:r>
          </w:p>
          <w:p w14:paraId="48E4928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限价</w:t>
            </w:r>
          </w:p>
        </w:tc>
        <w:tc>
          <w:tcPr>
            <w:tcW w:w="5917" w:type="dxa"/>
            <w:tcBorders>
              <w:top w:val="single" w:color="auto" w:sz="4" w:space="0"/>
              <w:left w:val="nil"/>
              <w:bottom w:val="single" w:color="auto" w:sz="4" w:space="0"/>
              <w:right w:val="single" w:color="auto" w:sz="4" w:space="0"/>
            </w:tcBorders>
            <w:vAlign w:val="center"/>
          </w:tcPr>
          <w:p w14:paraId="00090706">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本项目采购最高限价</w:t>
            </w:r>
            <w:r>
              <w:rPr>
                <w:rFonts w:hint="eastAsia" w:ascii="宋体" w:hAnsi="宋体" w:eastAsia="宋体" w:cs="Times New Roman"/>
                <w:color w:val="000000" w:themeColor="text1"/>
                <w:sz w:val="28"/>
                <w:szCs w:val="28"/>
                <w14:textFill>
                  <w14:solidFill>
                    <w14:schemeClr w14:val="tx1"/>
                  </w14:solidFill>
                </w14:textFill>
              </w:rPr>
              <w:t>：</w:t>
            </w:r>
            <w:r>
              <w:rPr>
                <w:rFonts w:hint="eastAsia" w:ascii="宋体" w:hAnsi="宋体"/>
                <w:bCs/>
                <w:color w:val="000000" w:themeColor="text1"/>
                <w:sz w:val="28"/>
                <w:szCs w:val="28"/>
                <w14:textFill>
                  <w14:solidFill>
                    <w14:schemeClr w14:val="tx1"/>
                  </w14:solidFill>
                </w14:textFill>
              </w:rPr>
              <w:t>6000000.00元</w:t>
            </w:r>
          </w:p>
          <w:p w14:paraId="03763B05">
            <w:pPr>
              <w:spacing w:line="360" w:lineRule="auto"/>
              <w:rPr>
                <w:rFonts w:ascii="新宋体" w:hAnsi="新宋体" w:eastAsia="新宋体" w:cs="新宋体"/>
                <w:kern w:val="0"/>
                <w:sz w:val="28"/>
                <w:szCs w:val="28"/>
              </w:rPr>
            </w:pPr>
            <w:r>
              <w:rPr>
                <w:rFonts w:hint="eastAsia" w:ascii="宋体" w:hAnsi="宋体" w:eastAsia="宋体" w:cs="Times New Roman"/>
                <w:bCs/>
                <w:color w:val="000000" w:themeColor="text1"/>
                <w:sz w:val="28"/>
                <w:szCs w:val="28"/>
                <w14:textFill>
                  <w14:solidFill>
                    <w14:schemeClr w14:val="tx1"/>
                  </w14:solidFill>
                </w14:textFill>
              </w:rPr>
              <w:t>一标段:</w:t>
            </w:r>
            <w:r>
              <w:rPr>
                <w:rFonts w:hint="eastAsia" w:ascii="宋体" w:hAnsi="宋体"/>
                <w:bCs/>
                <w:color w:val="000000" w:themeColor="text1"/>
                <w:sz w:val="28"/>
                <w:szCs w:val="28"/>
                <w14:textFill>
                  <w14:solidFill>
                    <w14:schemeClr w14:val="tx1"/>
                  </w14:solidFill>
                </w14:textFill>
              </w:rPr>
              <w:t xml:space="preserve"> 3000000.</w:t>
            </w:r>
            <w:r>
              <w:rPr>
                <w:rFonts w:hint="eastAsia" w:ascii="宋体" w:hAnsi="宋体" w:eastAsia="宋体" w:cs="Times New Roman"/>
                <w:bCs/>
                <w:color w:val="000000" w:themeColor="text1"/>
                <w:sz w:val="28"/>
                <w:szCs w:val="28"/>
                <w14:textFill>
                  <w14:solidFill>
                    <w14:schemeClr w14:val="tx1"/>
                  </w14:solidFill>
                </w14:textFill>
              </w:rPr>
              <w:t>00元，二标段:</w:t>
            </w:r>
            <w:r>
              <w:rPr>
                <w:rFonts w:hint="eastAsia" w:ascii="宋体" w:hAnsi="宋体"/>
                <w:bCs/>
                <w:color w:val="000000" w:themeColor="text1"/>
                <w:sz w:val="28"/>
                <w:szCs w:val="28"/>
                <w14:textFill>
                  <w14:solidFill>
                    <w14:schemeClr w14:val="tx1"/>
                  </w14:solidFill>
                </w14:textFill>
              </w:rPr>
              <w:t xml:space="preserve"> 3000000.</w:t>
            </w:r>
            <w:r>
              <w:rPr>
                <w:rFonts w:hint="eastAsia" w:ascii="宋体" w:hAnsi="宋体" w:eastAsia="宋体" w:cs="Times New Roman"/>
                <w:bCs/>
                <w:color w:val="000000" w:themeColor="text1"/>
                <w:sz w:val="28"/>
                <w:szCs w:val="28"/>
                <w14:textFill>
                  <w14:solidFill>
                    <w14:schemeClr w14:val="tx1"/>
                  </w14:solidFill>
                </w14:textFill>
              </w:rPr>
              <w:t>00元</w:t>
            </w:r>
          </w:p>
          <w:p w14:paraId="414D3CAE">
            <w:pPr>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投标供应商投标报价超出“最高限价”的，该投标供应商的投标按无效处理。</w:t>
            </w:r>
          </w:p>
        </w:tc>
      </w:tr>
      <w:tr w14:paraId="1EBE967E">
        <w:tblPrEx>
          <w:tblCellMar>
            <w:top w:w="0" w:type="dxa"/>
            <w:left w:w="108" w:type="dxa"/>
            <w:bottom w:w="0" w:type="dxa"/>
            <w:right w:w="108" w:type="dxa"/>
          </w:tblCellMar>
        </w:tblPrEx>
        <w:trPr>
          <w:trHeight w:val="4814"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7BF178D">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4.1</w:t>
            </w:r>
          </w:p>
        </w:tc>
        <w:tc>
          <w:tcPr>
            <w:tcW w:w="1985" w:type="dxa"/>
            <w:tcBorders>
              <w:top w:val="single" w:color="auto" w:sz="4" w:space="0"/>
              <w:left w:val="nil"/>
              <w:bottom w:val="single" w:color="auto" w:sz="4" w:space="0"/>
              <w:right w:val="single" w:color="auto" w:sz="4" w:space="0"/>
            </w:tcBorders>
            <w:vAlign w:val="center"/>
          </w:tcPr>
          <w:p w14:paraId="5AEC0AB8">
            <w:pPr>
              <w:autoSpaceDE w:val="0"/>
              <w:autoSpaceDN w:val="0"/>
              <w:adjustRightInd w:val="0"/>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重新</w:t>
            </w:r>
          </w:p>
          <w:p w14:paraId="728F6D72">
            <w:pPr>
              <w:autoSpaceDE w:val="0"/>
              <w:autoSpaceDN w:val="0"/>
              <w:adjustRightInd w:val="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w:t>
            </w:r>
          </w:p>
        </w:tc>
        <w:tc>
          <w:tcPr>
            <w:tcW w:w="5917" w:type="dxa"/>
            <w:tcBorders>
              <w:top w:val="single" w:color="auto" w:sz="4" w:space="0"/>
              <w:left w:val="nil"/>
              <w:bottom w:val="single" w:color="auto" w:sz="4" w:space="0"/>
              <w:right w:val="single" w:color="auto" w:sz="4" w:space="0"/>
            </w:tcBorders>
            <w:vAlign w:val="center"/>
          </w:tcPr>
          <w:p w14:paraId="09394821">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有下列情形之一的，招标人将重新采购：</w:t>
            </w:r>
          </w:p>
          <w:p w14:paraId="4D1CA6BB">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1、投标截止时间止，供应商少于3个的；</w:t>
            </w:r>
          </w:p>
          <w:p w14:paraId="5DF87CFB">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2、经评标委员会评审后否决所有投标的；</w:t>
            </w:r>
          </w:p>
          <w:p w14:paraId="4E4B0EC7">
            <w:pPr>
              <w:spacing w:line="36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3、中标或者成交供应商拒绝与采购人签订合同的，采购人可以按照评审报告推荐的中标或者成交候选人名单排序，确定下一候选人为中标或者成交供应商，也可以重新开展政府采购活动。</w:t>
            </w:r>
          </w:p>
        </w:tc>
      </w:tr>
      <w:tr w14:paraId="15A6B243">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4EBB992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4.2</w:t>
            </w:r>
          </w:p>
        </w:tc>
        <w:tc>
          <w:tcPr>
            <w:tcW w:w="1985" w:type="dxa"/>
            <w:tcBorders>
              <w:top w:val="single" w:color="auto" w:sz="4" w:space="0"/>
              <w:left w:val="nil"/>
              <w:bottom w:val="single" w:color="auto" w:sz="4" w:space="0"/>
              <w:right w:val="single" w:color="auto" w:sz="4" w:space="0"/>
            </w:tcBorders>
            <w:vAlign w:val="center"/>
          </w:tcPr>
          <w:p w14:paraId="5C7A1BC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代理</w:t>
            </w:r>
          </w:p>
          <w:p w14:paraId="56EE4B9B">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服务费</w:t>
            </w:r>
          </w:p>
        </w:tc>
        <w:tc>
          <w:tcPr>
            <w:tcW w:w="5917" w:type="dxa"/>
            <w:tcBorders>
              <w:top w:val="single" w:color="auto" w:sz="4" w:space="0"/>
              <w:left w:val="nil"/>
              <w:bottom w:val="single" w:color="auto" w:sz="4" w:space="0"/>
              <w:right w:val="single" w:color="auto" w:sz="4" w:space="0"/>
            </w:tcBorders>
            <w:vAlign w:val="center"/>
          </w:tcPr>
          <w:p w14:paraId="64E6DF21">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1.收取标准：参考河南省招标代理服务收费指导意见（豫招协[2023]002号）规定的收费标准计算。</w:t>
            </w:r>
          </w:p>
          <w:p w14:paraId="4089CAD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2.收取方式：中标人在领取通知书时，以现金或转账的方式一次性向代理机构缴纳代理服务费。</w:t>
            </w:r>
          </w:p>
        </w:tc>
      </w:tr>
      <w:tr w14:paraId="14540214">
        <w:tblPrEx>
          <w:tblCellMar>
            <w:top w:w="0" w:type="dxa"/>
            <w:left w:w="108" w:type="dxa"/>
            <w:bottom w:w="0" w:type="dxa"/>
            <w:right w:w="108" w:type="dxa"/>
          </w:tblCellMar>
        </w:tblPrEx>
        <w:trPr>
          <w:trHeight w:val="825"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5059DA73">
            <w:pPr>
              <w:spacing w:line="360" w:lineRule="auto"/>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4.3</w:t>
            </w:r>
          </w:p>
        </w:tc>
        <w:tc>
          <w:tcPr>
            <w:tcW w:w="1985" w:type="dxa"/>
            <w:tcBorders>
              <w:top w:val="single" w:color="auto" w:sz="4" w:space="0"/>
              <w:left w:val="nil"/>
              <w:bottom w:val="single" w:color="auto" w:sz="4" w:space="0"/>
              <w:right w:val="single" w:color="auto" w:sz="4" w:space="0"/>
            </w:tcBorders>
            <w:vAlign w:val="center"/>
          </w:tcPr>
          <w:p w14:paraId="2E02CDCA">
            <w:pPr>
              <w:adjustRightInd w:val="0"/>
              <w:snapToGrid w:val="0"/>
              <w:spacing w:line="360" w:lineRule="auto"/>
              <w:jc w:val="center"/>
              <w:rPr>
                <w:rFonts w:ascii="宋体" w:hAnsi="宋体" w:cs="Courier New"/>
                <w:kern w:val="0"/>
                <w:sz w:val="28"/>
                <w:szCs w:val="28"/>
              </w:rPr>
            </w:pPr>
            <w:r>
              <w:rPr>
                <w:rFonts w:hint="eastAsia" w:ascii="宋体" w:hAnsi="宋体" w:cs="Courier New"/>
                <w:kern w:val="0"/>
                <w:sz w:val="28"/>
                <w:szCs w:val="28"/>
              </w:rPr>
              <w:t>中标人须补充投标文件要求</w:t>
            </w:r>
          </w:p>
        </w:tc>
        <w:tc>
          <w:tcPr>
            <w:tcW w:w="5917" w:type="dxa"/>
            <w:tcBorders>
              <w:top w:val="single" w:color="auto" w:sz="4" w:space="0"/>
              <w:left w:val="nil"/>
              <w:bottom w:val="single" w:color="auto" w:sz="4" w:space="0"/>
              <w:right w:val="single" w:color="auto" w:sz="4" w:space="0"/>
            </w:tcBorders>
            <w:vAlign w:val="center"/>
          </w:tcPr>
          <w:p w14:paraId="640C5B7B">
            <w:pPr>
              <w:adjustRightInd w:val="0"/>
              <w:snapToGrid w:val="0"/>
              <w:spacing w:line="360" w:lineRule="auto"/>
              <w:rPr>
                <w:rFonts w:ascii="宋体" w:hAnsi="宋体" w:cs="Courier New"/>
                <w:kern w:val="0"/>
                <w:sz w:val="28"/>
                <w:szCs w:val="28"/>
              </w:rPr>
            </w:pPr>
            <w:r>
              <w:rPr>
                <w:rFonts w:hint="eastAsia" w:ascii="宋体" w:hAnsi="宋体" w:cs="Courier New"/>
                <w:kern w:val="0"/>
                <w:sz w:val="28"/>
                <w:szCs w:val="28"/>
              </w:rPr>
              <w:t>中标人收到中标通知书后三日内，向招标人提供与上传三门峡公共资源交易中心系统一致的电子投标文件的纸质版投标文件2份。</w:t>
            </w:r>
          </w:p>
        </w:tc>
      </w:tr>
      <w:tr w14:paraId="5B8CA2D9">
        <w:tblPrEx>
          <w:tblCellMar>
            <w:top w:w="0" w:type="dxa"/>
            <w:left w:w="108" w:type="dxa"/>
            <w:bottom w:w="0" w:type="dxa"/>
            <w:right w:w="108" w:type="dxa"/>
          </w:tblCellMar>
        </w:tblPrEx>
        <w:trPr>
          <w:trHeight w:val="126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3E4D4B90">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4.4</w:t>
            </w:r>
          </w:p>
        </w:tc>
        <w:tc>
          <w:tcPr>
            <w:tcW w:w="1985" w:type="dxa"/>
            <w:tcBorders>
              <w:top w:val="single" w:color="auto" w:sz="4" w:space="0"/>
              <w:left w:val="nil"/>
              <w:bottom w:val="single" w:color="auto" w:sz="4" w:space="0"/>
              <w:right w:val="single" w:color="auto" w:sz="4" w:space="0"/>
            </w:tcBorders>
            <w:vAlign w:val="center"/>
          </w:tcPr>
          <w:p w14:paraId="102FDFB0">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电子化注意事项</w:t>
            </w:r>
          </w:p>
        </w:tc>
        <w:tc>
          <w:tcPr>
            <w:tcW w:w="5917" w:type="dxa"/>
            <w:tcBorders>
              <w:top w:val="single" w:color="auto" w:sz="4" w:space="0"/>
              <w:left w:val="nil"/>
              <w:bottom w:val="single" w:color="auto" w:sz="4" w:space="0"/>
              <w:right w:val="single" w:color="auto" w:sz="4" w:space="0"/>
            </w:tcBorders>
            <w:vAlign w:val="center"/>
          </w:tcPr>
          <w:p w14:paraId="2EABE36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具</w:t>
            </w:r>
            <w:r>
              <w:rPr>
                <w:rFonts w:hint="eastAsia" w:ascii="宋体" w:hAnsi="宋体" w:eastAsia="宋体" w:cs="Times New Roman"/>
                <w:color w:val="000000" w:themeColor="text1"/>
                <w:sz w:val="28"/>
                <w:szCs w:val="28"/>
                <w14:textFill>
                  <w14:solidFill>
                    <w14:schemeClr w14:val="tx1"/>
                  </w14:solidFill>
                </w14:textFill>
              </w:rPr>
              <w:t>体要求：本项目为电子化、无纸化交易项目，投标文件是投标人、供应商（以下简称“投标人”）通过中心投标文件制作系统制作，并经过签章和加密后生成的电子版投标文件。</w:t>
            </w:r>
          </w:p>
          <w:p w14:paraId="7EF5349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电子化投标文件具体制作文件请点击</w:t>
            </w:r>
            <w:r>
              <w:fldChar w:fldCharType="begin"/>
            </w:r>
            <w:r>
              <w:instrText xml:space="preserve"> HYPERLINK "https://download.bqpoint.com/download/downloaddetail.html?SourceFrom=Ztb&amp;ZtbSoftXiaQuCode=1506&amp;ZtbSoftType=tballinclusive" </w:instrText>
            </w:r>
            <w:r>
              <w:fldChar w:fldCharType="separate"/>
            </w:r>
            <w:r>
              <w:rPr>
                <w:rFonts w:ascii="宋体" w:hAnsi="宋体" w:eastAsia="宋体" w:cs="Times New Roman"/>
                <w:color w:val="000000" w:themeColor="text1"/>
                <w:sz w:val="28"/>
                <w:szCs w:val="28"/>
                <w14:textFill>
                  <w14:solidFill>
                    <w14:schemeClr w14:val="tx1"/>
                  </w14:solidFill>
                </w14:textFill>
              </w:rPr>
              <w:t>https://download.bqpoint.com/download/downloaddetail.html?SourceFrom=Ztb&amp;ZtbSoftXiaQuCode=1506&amp;ZtbSoftType=tballinclusive</w:t>
            </w:r>
            <w:r>
              <w:rPr>
                <w:rFonts w:ascii="宋体" w:hAnsi="宋体" w:eastAsia="宋体" w:cs="Times New Roman"/>
                <w:color w:val="000000" w:themeColor="text1"/>
                <w:sz w:val="28"/>
                <w:szCs w:val="28"/>
                <w14:textFill>
                  <w14:solidFill>
                    <w14:schemeClr w14:val="tx1"/>
                  </w14:solidFill>
                </w14:textFill>
              </w:rPr>
              <w:fldChar w:fldCharType="end"/>
            </w:r>
            <w:r>
              <w:rPr>
                <w:rFonts w:hint="eastAsia" w:ascii="宋体" w:hAnsi="宋体" w:eastAsia="宋体" w:cs="Times New Roman"/>
                <w:color w:val="000000" w:themeColor="text1"/>
                <w:sz w:val="28"/>
                <w:szCs w:val="28"/>
                <w14:textFill>
                  <w14:solidFill>
                    <w14:schemeClr w14:val="tx1"/>
                  </w14:solidFill>
                </w14:textFill>
              </w:rPr>
              <w:t>进行下载。</w:t>
            </w:r>
          </w:p>
          <w:p w14:paraId="6112C707">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温馨提示：本项目为电子化、无纸化交易项目，为保证您能投标成功，请需仔细阅读以下条款。</w:t>
            </w:r>
          </w:p>
          <w:p w14:paraId="0ED48C98">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一、电子化投标</w:t>
            </w:r>
          </w:p>
          <w:p w14:paraId="31C6FAA6">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（一）电子化投标文件的签章</w:t>
            </w:r>
          </w:p>
          <w:p w14:paraId="16CAA8DF">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1、投标供应商在生成电子化投标文件后，应对电子化投标文件进行签章，未进行签章的视为无效投标。</w:t>
            </w:r>
          </w:p>
          <w:p w14:paraId="2930FBF5">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2、招标文件中要求法定代表人或授权委托人签字或盖章的，投标供应商在进行电子化投标文件签章时，以签盖法定代表人签章为准。</w:t>
            </w:r>
          </w:p>
          <w:p w14:paraId="343C59C6">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（三）电子化投标文件的格式及上传投标</w:t>
            </w:r>
          </w:p>
          <w:p w14:paraId="4B796410">
            <w:pPr>
              <w:spacing w:line="360" w:lineRule="auto"/>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1、投标供应商所上传的电子化投标文件，应是通过中心投标文件制作系统制作的（投标文件制作工具下载地址：</w:t>
            </w:r>
            <w:r>
              <w:fldChar w:fldCharType="begin"/>
            </w:r>
            <w:r>
              <w:instrText xml:space="preserve"> HYPERLINK "https://download.bqpoint.com/download/downloaddetail.html?SourceFrom=Ztb&amp;ZtbSoftXiaQuCode=1506&amp;ZtbSoftType=tballinclusive" </w:instrText>
            </w:r>
            <w:r>
              <w:fldChar w:fldCharType="separate"/>
            </w:r>
            <w:r>
              <w:rPr>
                <w:rFonts w:ascii="宋体" w:hAnsi="宋体" w:eastAsia="宋体" w:cs="Times New Roman"/>
                <w:color w:val="000000" w:themeColor="text1"/>
                <w:sz w:val="28"/>
                <w:szCs w:val="28"/>
                <w14:textFill>
                  <w14:solidFill>
                    <w14:schemeClr w14:val="tx1"/>
                  </w14:solidFill>
                </w14:textFill>
              </w:rPr>
              <w:t>https://download.bqpoint.com/download/downloaddetail.html?SourceFrom=Ztb&amp;ZtbSoftXiaQuCode=1506&amp;ZtbSoftType=tballinclusive</w:t>
            </w:r>
            <w:r>
              <w:rPr>
                <w:rFonts w:ascii="宋体" w:hAnsi="宋体" w:eastAsia="宋体" w:cs="Times New Roman"/>
                <w:color w:val="000000" w:themeColor="text1"/>
                <w:sz w:val="28"/>
                <w:szCs w:val="28"/>
                <w14:textFill>
                  <w14:solidFill>
                    <w14:schemeClr w14:val="tx1"/>
                  </w14:solidFill>
                </w14:textFill>
              </w:rPr>
              <w:fldChar w:fldCharType="end"/>
            </w:r>
            <w:r>
              <w:rPr>
                <w:rFonts w:hint="eastAsia" w:ascii="宋体" w:hAnsi="宋体" w:eastAsia="宋体" w:cs="Times New Roman"/>
                <w:color w:val="000000" w:themeColor="text1"/>
                <w:sz w:val="28"/>
                <w:szCs w:val="28"/>
                <w14:textFill>
                  <w14:solidFill>
                    <w14:schemeClr w14:val="tx1"/>
                  </w14:solidFill>
                </w14:textFill>
              </w:rPr>
              <w:t>），经过签章和加密后生成的电子版投标文件。其中包含用于投标文件上传的主文件（后缀为.smxtf）和用于应急补救的投标文件备份文件（后缀为.nsmxtf）。备份文件主要用于电子化开标出现技术问题后的补救，请投标供应商随身携带。</w:t>
            </w:r>
          </w:p>
          <w:p w14:paraId="27BBFDC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注：投标供应商投报多个标段的，需要每个标段单独制作电子投标文件。</w:t>
            </w:r>
          </w:p>
          <w:p w14:paraId="58A5927B">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2、电子化投标文件应在投标截止时间前成功上传至三门峡市公共资源电子化交易系统。至投标截止时间止，仍未上传成功的电子化投标文件将不予接收。</w:t>
            </w:r>
          </w:p>
          <w:p w14:paraId="5AC6D7DE">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注：如按照电子化投标操作教材制作完成的电子化投标文件无法上传的，投标供应商应在投标截止时间前尽早的联系中心技术人员，以便有充分的时间进行处理。投标供应商应充分考虑到处理技术问题和上传数据等工作所需的时间问题，投标文件未在投标截止时间前成功上传的，其投标文件不予接收。</w:t>
            </w:r>
          </w:p>
          <w:p w14:paraId="253584D2">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技术联系电话：</w:t>
            </w:r>
            <w:r>
              <w:rPr>
                <w:rFonts w:ascii="宋体" w:hAnsi="宋体" w:eastAsia="宋体" w:cs="Times New Roman"/>
                <w:color w:val="000000" w:themeColor="text1"/>
                <w:sz w:val="28"/>
                <w:szCs w:val="28"/>
                <w14:textFill>
                  <w14:solidFill>
                    <w14:schemeClr w14:val="tx1"/>
                  </w14:solidFill>
                </w14:textFill>
              </w:rPr>
              <w:t>0398-3117095</w:t>
            </w:r>
            <w:r>
              <w:rPr>
                <w:rFonts w:hint="eastAsia" w:ascii="宋体" w:hAnsi="宋体" w:eastAsia="宋体" w:cs="Times New Roman"/>
                <w:color w:val="000000" w:themeColor="text1"/>
                <w:sz w:val="28"/>
                <w:szCs w:val="28"/>
                <w14:textFill>
                  <w14:solidFill>
                    <w14:schemeClr w14:val="tx1"/>
                  </w14:solidFill>
                </w14:textFill>
              </w:rPr>
              <w:t xml:space="preserve">   3117080</w:t>
            </w:r>
          </w:p>
          <w:p w14:paraId="05AF592E">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新点客服电话: 4009980000</w:t>
            </w:r>
          </w:p>
          <w:p w14:paraId="1D306E4E">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（四）电子化项目开标、解密、唱标、评标</w:t>
            </w:r>
          </w:p>
          <w:p w14:paraId="1A7458FA">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1、本项目采用无纸化进行招标，开标当日，投标供应商无需到开标现场参加开标会议，投标供应商应当在投标截止时间前，登陆不见面开标大厅选择登陆三门峡市公共资源电子招投标系统进行登陆（网址为</w:t>
            </w:r>
            <w:r>
              <w:fldChar w:fldCharType="begin"/>
            </w:r>
            <w:r>
              <w:instrText xml:space="preserve"> HYPERLINK "http://122.112.246.33/BidOpening/bidopeninghallaction/hall/login" </w:instrText>
            </w:r>
            <w:r>
              <w:fldChar w:fldCharType="separate"/>
            </w:r>
            <w:r>
              <w:rPr>
                <w:rFonts w:cs="Times New Roman"/>
                <w:color w:val="000000" w:themeColor="text1"/>
                <w:sz w:val="28"/>
                <w:szCs w:val="28"/>
                <w14:textFill>
                  <w14:solidFill>
                    <w14:schemeClr w14:val="tx1"/>
                  </w14:solidFill>
                </w14:textFill>
              </w:rPr>
              <w:t>http://122.112.246.33/BidOpening/bidopeninghallaction/hall/login</w:t>
            </w:r>
            <w:r>
              <w:rPr>
                <w:rFonts w:cs="Times New Roman"/>
                <w:color w:val="000000" w:themeColor="text1"/>
                <w:sz w:val="28"/>
                <w:szCs w:val="28"/>
                <w14:textFill>
                  <w14:solidFill>
                    <w14:schemeClr w14:val="tx1"/>
                  </w14:solidFill>
                </w14:textFill>
              </w:rPr>
              <w:fldChar w:fldCharType="end"/>
            </w:r>
            <w:r>
              <w:rPr>
                <w:rFonts w:hint="eastAsia" w:ascii="宋体" w:hAnsi="宋体" w:eastAsia="宋体" w:cs="Times New Roman"/>
                <w:color w:val="000000" w:themeColor="text1"/>
                <w:sz w:val="28"/>
                <w:szCs w:val="28"/>
                <w14:textFill>
                  <w14:solidFill>
                    <w14:schemeClr w14:val="tx1"/>
                  </w14:solidFill>
                </w14:textFill>
              </w:rPr>
              <w:t>）,在线准时参加开标活动并进行投标文件解密等</w:t>
            </w:r>
          </w:p>
          <w:p w14:paraId="4A52D45E">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2、电子化投标文件采用一次加密方式。开标时，由投标供应商使用CA 证书，在规定时间内对其电子化投标文件进行解密。每位投标供应商的解密时间为开标时间起30 分钟内，如在规定时间内未完成解密的，其投标文件不予开标、唱标。</w:t>
            </w:r>
          </w:p>
          <w:p w14:paraId="25E327E3">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3、电子化投标文件解密异常的处理</w:t>
            </w:r>
          </w:p>
          <w:p w14:paraId="75FDAA8B">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如出现投标供应商的电子投标文件无法解密等异常情况，投标供应商应及时致电中介服务机构说明。投标文件异常，按以下步骤进行处理：</w:t>
            </w:r>
          </w:p>
          <w:p w14:paraId="521AAD01">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（1）首先由技术人员进行问题排查。</w:t>
            </w:r>
          </w:p>
          <w:p w14:paraId="31AAC8CC">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（2）经技术人员排查后，是投标供应商文件自身问题导致投标文件无法解密的，该投标文件将不予接收、解密和唱标。开标会议继续进行。</w:t>
            </w:r>
          </w:p>
          <w:p w14:paraId="46DC012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51C31552">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4、待所有投标供应商投标文件解密完成后，由中介服务机构操作，对所有已解密投标文件进行唱标。</w:t>
            </w:r>
          </w:p>
          <w:p w14:paraId="2416961C">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投标供应商应保证在开标期间电话、电脑、网络能够正常工作，投标供应商因停电、电脑病毒、网络堵塞等原因，未在规定的解密时间内对投标文件进行解密的，其投标文件不予接收、唱标。</w:t>
            </w:r>
          </w:p>
          <w:p w14:paraId="2E13107F">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开标时投标供应商可登录到交易系统中在开标解密栏中点击报价一览表查看自己的投标报价。如对自己的唱标内容有异议的，应在投标供应商解密成功后10分钟内向中介服务机构电话质疑。中介服务机构应在监督人员的监督下进行免提通话接受投标供应商的质疑并做好书面记录。投标供应商未在规定时间内提出质疑的，视为认可唱标内容。</w:t>
            </w:r>
          </w:p>
          <w:p w14:paraId="56E9F02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6、评标时，评标委员会对电子化投标文件有质疑的，将通过电子化交易系统对投标供应商发起质疑，并在监督人员的监督下，用免提模式致电需要答复的投标供应商对质疑进行回复。投标供应商的回复文件必须以经过投标供应商和其法定代表人签章的PDF格式文件为准，并通过电子化交易系统提交至评标委员会。</w:t>
            </w:r>
          </w:p>
          <w:p w14:paraId="3B75238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7、如评标委员会对需要回复的投标供应商连续三次致电未接通的，视为投标供应商放弃回复，评标委员会将自行对需要回复的内容进行认定。</w:t>
            </w:r>
          </w:p>
          <w:p w14:paraId="1D65E943">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提示：</w:t>
            </w:r>
          </w:p>
          <w:p w14:paraId="0925ABBD">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1、本项目为电子化、无纸化交易项目，开标时不再接受任何纸质资料，为保证您能投标成功，需仔细阅读以上条款。</w:t>
            </w:r>
          </w:p>
          <w:p w14:paraId="20F78A33">
            <w:pPr>
              <w:spacing w:line="360" w:lineRule="auto"/>
              <w:rPr>
                <w:rFonts w:ascii="宋体" w:hAnsi="宋体" w:eastAsia="宋体" w:cs="宋体"/>
                <w:b/>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2、CA证书延期激活后，已经报名为开标的项目，请重新下载制作投标文件并上传，否则开标时文件将无法解密。</w:t>
            </w:r>
          </w:p>
        </w:tc>
      </w:tr>
      <w:tr w14:paraId="34CCB5B1">
        <w:tblPrEx>
          <w:tblCellMar>
            <w:top w:w="0" w:type="dxa"/>
            <w:left w:w="108" w:type="dxa"/>
            <w:bottom w:w="0" w:type="dxa"/>
            <w:right w:w="108" w:type="dxa"/>
          </w:tblCellMar>
        </w:tblPrEx>
        <w:trPr>
          <w:trHeight w:val="1266" w:hRule="atLeast"/>
          <w:jc w:val="center"/>
        </w:trPr>
        <w:tc>
          <w:tcPr>
            <w:tcW w:w="1014" w:type="dxa"/>
            <w:tcBorders>
              <w:top w:val="single" w:color="auto" w:sz="4" w:space="0"/>
              <w:left w:val="single" w:color="auto" w:sz="4" w:space="0"/>
              <w:bottom w:val="single" w:color="auto" w:sz="4" w:space="0"/>
              <w:right w:val="single" w:color="auto" w:sz="4" w:space="0"/>
            </w:tcBorders>
            <w:vAlign w:val="center"/>
          </w:tcPr>
          <w:p w14:paraId="27D00F93">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4.5</w:t>
            </w:r>
          </w:p>
        </w:tc>
        <w:tc>
          <w:tcPr>
            <w:tcW w:w="1985" w:type="dxa"/>
            <w:tcBorders>
              <w:top w:val="single" w:color="auto" w:sz="4" w:space="0"/>
              <w:left w:val="nil"/>
              <w:bottom w:val="single" w:color="auto" w:sz="4" w:space="0"/>
              <w:right w:val="single" w:color="auto" w:sz="4" w:space="0"/>
            </w:tcBorders>
            <w:vAlign w:val="center"/>
          </w:tcPr>
          <w:p w14:paraId="0874053C">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政府采购政策</w:t>
            </w:r>
          </w:p>
        </w:tc>
        <w:tc>
          <w:tcPr>
            <w:tcW w:w="5917" w:type="dxa"/>
            <w:tcBorders>
              <w:top w:val="single" w:color="auto" w:sz="4" w:space="0"/>
              <w:left w:val="nil"/>
              <w:bottom w:val="single" w:color="auto" w:sz="4" w:space="0"/>
              <w:right w:val="single" w:color="auto" w:sz="4" w:space="0"/>
            </w:tcBorders>
            <w:vAlign w:val="center"/>
          </w:tcPr>
          <w:p w14:paraId="783F4BE4">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根据《政府采购促进中小企业发展管理办法》（财库﹝2020﹞46 号）的规定本项目对中小微企业扶持政策按以下规定落实：</w:t>
            </w:r>
          </w:p>
          <w:p w14:paraId="714286F9">
            <w:pPr>
              <w:spacing w:line="360" w:lineRule="auto"/>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（1）采购标的对应的中小企业划分标准所属行业：根据工信部联企业[2011]300号文的规定，本项目涉及中小企业的行业划型属于“其他未列明行业”；</w:t>
            </w:r>
          </w:p>
          <w:p w14:paraId="73572509">
            <w:pPr>
              <w:pStyle w:val="81"/>
              <w:spacing w:line="15" w:lineRule="atLeas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从业人员300人以下的为中小微型企业。其中，从业人员100人及以上的为中型企业；从业人员10人及以上的为小型企业；从业人员10人以下的为微型企业。</w:t>
            </w:r>
          </w:p>
        </w:tc>
      </w:tr>
    </w:tbl>
    <w:p w14:paraId="0BB95C8E">
      <w:pPr>
        <w:widowControl/>
        <w:spacing w:line="360" w:lineRule="auto"/>
        <w:ind w:firstLine="562" w:firstLineChars="200"/>
        <w:jc w:val="cente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28"/>
          <w:szCs w:val="28"/>
          <w14:textFill>
            <w14:solidFill>
              <w14:schemeClr w14:val="tx1"/>
            </w14:solidFill>
          </w14:textFill>
        </w:rPr>
        <w:t>一、总则</w:t>
      </w:r>
    </w:p>
    <w:p w14:paraId="6B88E10B">
      <w:pPr>
        <w:widowControl/>
        <w:spacing w:line="360" w:lineRule="auto"/>
        <w:ind w:firstLine="694" w:firstLineChars="247"/>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1、项目概况</w:t>
      </w:r>
    </w:p>
    <w:p w14:paraId="5FAF2151">
      <w:pPr>
        <w:widowControl/>
        <w:spacing w:line="360" w:lineRule="auto"/>
        <w:ind w:firstLine="200"/>
        <w:jc w:val="left"/>
        <w:rPr>
          <w:rFonts w:ascii="宋体" w:hAnsi="宋体" w:eastAsia="宋体" w:cs="Times New Roman"/>
          <w:bCs/>
          <w:iCs/>
          <w:color w:val="000000" w:themeColor="text1"/>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新宋体" w:hAnsi="新宋体" w:eastAsia="新宋体" w:cs="新宋体"/>
          <w:kern w:val="0"/>
          <w:sz w:val="28"/>
          <w:szCs w:val="28"/>
        </w:rPr>
        <w:t>中科天一工程管理有限公司</w:t>
      </w:r>
      <w:r>
        <w:rPr>
          <w:rFonts w:hint="eastAsia" w:ascii="宋体" w:hAnsi="宋体" w:eastAsia="宋体" w:cs="Times New Roman"/>
          <w:color w:val="000000" w:themeColor="text1"/>
          <w:kern w:val="0"/>
          <w:sz w:val="28"/>
          <w:szCs w:val="28"/>
          <w14:textFill>
            <w14:solidFill>
              <w14:schemeClr w14:val="tx1"/>
            </w14:solidFill>
          </w14:textFill>
        </w:rPr>
        <w:t>受</w:t>
      </w:r>
      <w:r>
        <w:rPr>
          <w:rFonts w:hint="eastAsia" w:ascii="新宋体" w:hAnsi="新宋体" w:eastAsia="新宋体" w:cs="新宋体"/>
          <w:kern w:val="0"/>
          <w:sz w:val="28"/>
          <w:szCs w:val="28"/>
        </w:rPr>
        <w:t>灵宝市高级技工学校</w:t>
      </w:r>
      <w:r>
        <w:rPr>
          <w:rFonts w:hint="eastAsia" w:ascii="宋体" w:hAnsi="宋体" w:eastAsia="宋体" w:cs="Times New Roman"/>
          <w:color w:val="000000" w:themeColor="text1"/>
          <w:kern w:val="0"/>
          <w:sz w:val="28"/>
          <w:szCs w:val="28"/>
          <w14:textFill>
            <w14:solidFill>
              <w14:schemeClr w14:val="tx1"/>
            </w14:solidFill>
          </w14:textFill>
        </w:rPr>
        <w:t>的委托，就</w:t>
      </w:r>
      <w:r>
        <w:rPr>
          <w:rFonts w:hint="eastAsia" w:ascii="新宋体" w:hAnsi="新宋体" w:eastAsia="新宋体" w:cs="新宋体"/>
          <w:bCs/>
          <w:kern w:val="0"/>
          <w:sz w:val="28"/>
          <w:szCs w:val="28"/>
        </w:rPr>
        <w:t>灵宝市高级技工学校灵宝市公共就业创业服务驿站项目</w:t>
      </w:r>
      <w:r>
        <w:rPr>
          <w:rFonts w:hint="eastAsia" w:ascii="宋体" w:hAnsi="宋体" w:eastAsia="宋体" w:cs="Times New Roman"/>
          <w:color w:val="000000" w:themeColor="text1"/>
          <w:kern w:val="0"/>
          <w:sz w:val="28"/>
          <w:szCs w:val="28"/>
          <w:shd w:val="clear" w:color="auto" w:fill="FFFFFF"/>
          <w14:textFill>
            <w14:solidFill>
              <w14:schemeClr w14:val="tx1"/>
            </w14:solidFill>
          </w14:textFill>
        </w:rPr>
        <w:t>进行公开招标，现欢迎有能力的供应商参加投标。</w:t>
      </w:r>
    </w:p>
    <w:p w14:paraId="580EB382">
      <w:pPr>
        <w:widowControl/>
        <w:spacing w:line="360" w:lineRule="auto"/>
        <w:ind w:firstLine="691" w:firstLineChars="24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2、投标费用</w:t>
      </w:r>
    </w:p>
    <w:p w14:paraId="505B7F2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投标供应商承担其投标文件编制与递交所涉及的一切费用。在任何情况下采购人和采购代理机构对上述费用均不承担任何责任。</w:t>
      </w:r>
    </w:p>
    <w:p w14:paraId="47692129">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3、定义及解释</w:t>
      </w:r>
    </w:p>
    <w:p w14:paraId="74BB877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3.1货物：系指投标供应商按招标文件规定而提供的设备、工具、备品备件、手册及其他有关技术资料和材料。</w:t>
      </w:r>
    </w:p>
    <w:p w14:paraId="237272B4">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3.2 服务：系指投标供应商提供的安装、调试、验收、培训、质保期服务、与货物有关的运输和保险及其他伴随服务。</w:t>
      </w:r>
    </w:p>
    <w:p w14:paraId="5CF06515">
      <w:pPr>
        <w:widowControl/>
        <w:spacing w:line="360" w:lineRule="auto"/>
        <w:ind w:right="-480" w:firstLine="554" w:firstLineChars="198"/>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3.3 采购人：灵宝市高级技工学校　</w:t>
      </w:r>
    </w:p>
    <w:p w14:paraId="0D4AD4AE">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3.4 投标供应商：是指响应招标、参加投标竞争的法人或者其他组织。</w:t>
      </w:r>
    </w:p>
    <w:p w14:paraId="2F181735">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3.5 采购代理机构：</w:t>
      </w:r>
      <w:r>
        <w:rPr>
          <w:rFonts w:hint="eastAsia" w:ascii="新宋体" w:hAnsi="新宋体" w:eastAsia="新宋体" w:cs="新宋体"/>
          <w:kern w:val="0"/>
          <w:sz w:val="28"/>
          <w:szCs w:val="28"/>
        </w:rPr>
        <w:t>中科天一工程管理有限公司</w:t>
      </w:r>
    </w:p>
    <w:p w14:paraId="2B4EE54B">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3.6 评标委员会：是指按照《中华人民共和国政府采购法》和《评标委员会和评标方法暂行规定》的规定组建的专门负责本次招标的评标工作的临时机构。</w:t>
      </w:r>
    </w:p>
    <w:p w14:paraId="3E6A8671">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3.7 日期：指公历日。</w:t>
      </w:r>
    </w:p>
    <w:p w14:paraId="6CD1C7C9">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4、合格的投标供应商（详见投标供应商须知前附表2.0）</w:t>
      </w:r>
    </w:p>
    <w:p w14:paraId="684A8E0E">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5、保证</w:t>
      </w:r>
    </w:p>
    <w:p w14:paraId="46FB4722">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投标供应商应保证在投标文件中所提交的资料和数据是真实的。</w:t>
      </w:r>
    </w:p>
    <w:p w14:paraId="0DBFE1D0">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二、招 标 文 件</w:t>
      </w:r>
    </w:p>
    <w:p w14:paraId="72BF8244">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6、招标文件的组成</w:t>
      </w:r>
    </w:p>
    <w:p w14:paraId="706EB684">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6.1 招标文件包括下列内容及按投标供应商须知第7条款内容发出的答疑文件和第8条款内容发出的补充文件。</w:t>
      </w:r>
    </w:p>
    <w:p w14:paraId="06409F9F">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color w:val="000000" w:themeColor="text1"/>
          <w:kern w:val="0"/>
          <w:sz w:val="28"/>
          <w:szCs w:val="28"/>
          <w14:textFill>
            <w14:solidFill>
              <w14:schemeClr w14:val="tx1"/>
            </w14:solidFill>
          </w14:textFill>
        </w:rPr>
        <w:t xml:space="preserve"> </w:t>
      </w:r>
      <w:r>
        <w:rPr>
          <w:rFonts w:hint="eastAsia" w:ascii="宋体" w:hAnsi="宋体" w:eastAsia="宋体" w:cs="Times New Roman"/>
          <w:kern w:val="0"/>
          <w:sz w:val="28"/>
          <w:szCs w:val="28"/>
        </w:rPr>
        <w:t xml:space="preserve"> 第一章 招标公告</w:t>
      </w:r>
    </w:p>
    <w:p w14:paraId="77FA4F9C">
      <w:pPr>
        <w:widowControl/>
        <w:spacing w:line="360" w:lineRule="auto"/>
        <w:ind w:firstLine="840" w:firstLineChars="300"/>
        <w:rPr>
          <w:rFonts w:ascii="宋体" w:hAnsi="宋体" w:eastAsia="宋体" w:cs="Times New Roman"/>
          <w:kern w:val="0"/>
          <w:sz w:val="28"/>
          <w:szCs w:val="28"/>
        </w:rPr>
      </w:pPr>
      <w:r>
        <w:rPr>
          <w:rFonts w:hint="eastAsia" w:ascii="宋体" w:hAnsi="宋体" w:eastAsia="宋体" w:cs="Times New Roman"/>
          <w:kern w:val="0"/>
          <w:sz w:val="28"/>
          <w:szCs w:val="28"/>
        </w:rPr>
        <w:t>第二章 投标供应商须知</w:t>
      </w:r>
    </w:p>
    <w:p w14:paraId="5499341C">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 xml:space="preserve">  第三章 采购内容</w:t>
      </w:r>
    </w:p>
    <w:p w14:paraId="14E872D2">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 xml:space="preserve">  第四章 评标办法</w:t>
      </w:r>
    </w:p>
    <w:p w14:paraId="4FC68FD0">
      <w:pPr>
        <w:widowControl/>
        <w:spacing w:line="360" w:lineRule="auto"/>
        <w:ind w:firstLine="560" w:firstLineChars="200"/>
        <w:rPr>
          <w:rFonts w:ascii="宋体" w:hAnsi="宋体" w:eastAsia="宋体" w:cs="Times New Roman"/>
          <w:kern w:val="0"/>
          <w:sz w:val="28"/>
          <w:szCs w:val="28"/>
        </w:rPr>
      </w:pPr>
      <w:r>
        <w:rPr>
          <w:rFonts w:hint="eastAsia" w:ascii="宋体" w:hAnsi="宋体" w:eastAsia="宋体" w:cs="Times New Roman"/>
          <w:kern w:val="0"/>
          <w:sz w:val="28"/>
          <w:szCs w:val="28"/>
        </w:rPr>
        <w:t xml:space="preserve">  第五章 政府采购合同（主要条款）</w:t>
      </w:r>
    </w:p>
    <w:p w14:paraId="4E9063CE">
      <w:pPr>
        <w:widowControl/>
        <w:spacing w:line="360" w:lineRule="auto"/>
        <w:ind w:firstLine="840" w:firstLineChars="300"/>
        <w:rPr>
          <w:rFonts w:ascii="宋体" w:hAnsi="宋体" w:eastAsia="宋体" w:cs="Times New Roman"/>
          <w:kern w:val="0"/>
          <w:sz w:val="28"/>
          <w:szCs w:val="28"/>
        </w:rPr>
      </w:pPr>
      <w:r>
        <w:rPr>
          <w:rFonts w:hint="eastAsia" w:ascii="宋体" w:hAnsi="宋体" w:eastAsia="宋体" w:cs="Times New Roman"/>
          <w:kern w:val="0"/>
          <w:sz w:val="28"/>
          <w:szCs w:val="28"/>
        </w:rPr>
        <w:t>第六章 投标文件格式</w:t>
      </w:r>
    </w:p>
    <w:p w14:paraId="5A30049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6.2投标供应商应详细阅读招标文件中的所有条款内容、格式、表格和所涉及的相关规范。如果投标供应商不按招标文件的要求提交投标文件和资料的，或者投标文件没有对招标文件提出的实质性要求和条件作出响应，将导致投标文件不被接受，其后果由投标供应商自己负责。</w:t>
      </w:r>
    </w:p>
    <w:p w14:paraId="7AE9A63A">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7、招标文件的澄清</w:t>
      </w:r>
    </w:p>
    <w:p w14:paraId="5648DFA8">
      <w:pPr>
        <w:widowControl/>
        <w:spacing w:line="360" w:lineRule="auto"/>
        <w:ind w:firstLine="557" w:firstLineChars="199"/>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7.1投标供应商应仔细阅读和检查招标文件的全部内容。如发现缺页或附件不全，应及时向采购人提出，以便补齐。如有疑问，应在投标供应商须知前附表规定的时间前以书面形式，要求采购人对招标文件予以澄清，并将原件扫描件电子版发送至邮箱。</w:t>
      </w:r>
    </w:p>
    <w:p w14:paraId="7D34AAA9">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7.2招标文件的澄清将在投标供应商须知前附表规定的时间前发给所有购买招标文件的投标供应商，但不指明澄清问题的来源。如果澄清发出的时间距投标截止时间不足15天，相应延长投标截止时间。</w:t>
      </w:r>
    </w:p>
    <w:p w14:paraId="7AAF7D1E">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7.3 投标供应商在收到澄清后，应在24小时内通知采购人，确认已收到该澄清。</w:t>
      </w:r>
    </w:p>
    <w:p w14:paraId="6C131E44">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8、招标文件的修改</w:t>
      </w:r>
    </w:p>
    <w:p w14:paraId="56940C3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8.1在投标截止时间15天前，采购人可修改招标文件，并通知所有已购买招标文件的投标供应商。如果修改招标文件的时间距投标截止时间不足15天，相应延长投标截止时间。 </w:t>
      </w:r>
    </w:p>
    <w:p w14:paraId="2489237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8.2 投标供应商收到修改内容后，应在24小时内通知采购人，确认已收到该澄清。</w:t>
      </w:r>
    </w:p>
    <w:p w14:paraId="3D757A28">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三、投标文件的编制</w:t>
      </w:r>
    </w:p>
    <w:p w14:paraId="07AF2155">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9、特别说明</w:t>
      </w:r>
    </w:p>
    <w:p w14:paraId="7D48542B">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 xml:space="preserve"> 9.1 投标语言</w:t>
      </w:r>
    </w:p>
    <w:p w14:paraId="68FC417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Arial"/>
          <w:color w:val="000000" w:themeColor="text1"/>
          <w:kern w:val="0"/>
          <w:sz w:val="28"/>
          <w:szCs w:val="28"/>
          <w14:textFill>
            <w14:solidFill>
              <w14:schemeClr w14:val="tx1"/>
            </w14:solidFill>
          </w14:textFill>
        </w:rPr>
        <w:t>投标供应商提交的投标文件以及投标供应商与采购代理机构就有关投标的所有往来函电均应使用中文。投标供应商提供的文件可以用英文，但相应内容应附有中文翻译本，在解释时以中文翻译本为准。</w:t>
      </w:r>
    </w:p>
    <w:p w14:paraId="6E552047">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9.2 计量</w:t>
      </w:r>
    </w:p>
    <w:p w14:paraId="7E9D751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在投标文件所有计量单位均采用中华人民共和国法定计量单位。</w:t>
      </w:r>
    </w:p>
    <w:p w14:paraId="21B1604D">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9.3投标供应商在投标文件中所提交的所有资料和文件均应是真实的和有效的，如有作假，则将该投标供应商的投标作无效标处理，若中标后被发现有上述行为的，则采购人有权取消其中标资格，并且该投标供应商应承担由此而造成的一切损失（包括经济损失和法律责任）。</w:t>
      </w:r>
    </w:p>
    <w:p w14:paraId="2DD34693">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10、投标货物和服务的文件</w:t>
      </w:r>
    </w:p>
    <w:p w14:paraId="793D7E8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10.1投标设备合格文件：</w:t>
      </w:r>
    </w:p>
    <w:p w14:paraId="733AB490">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10.1.1投标供应商必须提供有关投标设备符合招标文件要求的证明文件，这些文件可以是说明书、样本和资料等。</w:t>
      </w:r>
    </w:p>
    <w:p w14:paraId="03AFF6C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10.1.2产品生产许可证，有关各种实验报告、鉴定报告、校准证书等。</w:t>
      </w:r>
    </w:p>
    <w:p w14:paraId="45D0738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10.1.3产品样本说明书、主要技术参数、性能说明、部件及材料产地来源表等资料。</w:t>
      </w:r>
    </w:p>
    <w:p w14:paraId="06E4C1C3">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10.1.4投标设备的规格、型号、产地、制造、安装及验收标准。</w:t>
      </w:r>
    </w:p>
    <w:p w14:paraId="1197FC22">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10.1.5设备安装和维修时所需的特殊工具的规格、型号、材质、产地、及所需备品、备件清单。</w:t>
      </w:r>
    </w:p>
    <w:p w14:paraId="2C0B2E0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10.2各投标供应商必须对设备清单中的全部设备进行投标，只投其中部分设备则投标文件无效。</w:t>
      </w:r>
    </w:p>
    <w:p w14:paraId="26B7B0F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10.3投标供应商所投设备的所有部件均为合格产品。</w:t>
      </w:r>
    </w:p>
    <w:p w14:paraId="6BD024D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10.4投标供应商认为应对其设备的性能特点、优越性等有必要进行补充说明的内容。</w:t>
      </w:r>
    </w:p>
    <w:p w14:paraId="7DF6952E">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10.5投标供应商必须对招标文件中设备的技术要求逐项、逐条明确答复；应逐项填写“技术参数偏离表”，投标设备与招标文件中的规定要求有偏离的，应详细说明偏离情况。</w:t>
      </w:r>
    </w:p>
    <w:p w14:paraId="42694A66">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11、投标设备安装及现场服务</w:t>
      </w:r>
    </w:p>
    <w:p w14:paraId="618AD3B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11.1设备由中标人进行安装调试，并按有关规定程序报请有关部门验收合格后交付采购人使用，所发生的仪器校准、检定、搬运、安装、调试等一切费用均由中标人承担。投标供应商投标时需明确现场安装人员组成情况，并按费用计算办法报清全部安装费。</w:t>
      </w:r>
    </w:p>
    <w:p w14:paraId="5D51BC0B">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11.2投标供应商所投货物为国内生产企业的产品，相关进口产品、部件不能少于招标文件规定的内容，并提供相关的产地证明文件。</w:t>
      </w:r>
    </w:p>
    <w:p w14:paraId="23B908C1">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12、投标货物和服务的报价 </w:t>
      </w:r>
    </w:p>
    <w:p w14:paraId="4FCCBD7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12.1投标报价中应包含以下内容。</w:t>
      </w:r>
    </w:p>
    <w:p w14:paraId="2B83E58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方应报出货到交货地点价（交货地点为招标方指定实际安装地点）。其中应包含设备价、备品备件价、检验费、包装费、装卸费、运输费、税金（含关税、增值税）、安装调试费、检测验收费、培训费等各项费用。</w:t>
      </w:r>
    </w:p>
    <w:p w14:paraId="22B5DE6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12.2投标供应商的投标报价应包含验收合格正式交付使用前所发生的一切费用，且投标供应商只能提出一个不变价格，采购人不接受任何选择报价。</w:t>
      </w:r>
    </w:p>
    <w:p w14:paraId="69D31FCE">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12.3该项目类别及取费标准按照国家相关规定执行。</w:t>
      </w:r>
    </w:p>
    <w:p w14:paraId="56BEA52D">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12.4投标文件的投标报价，应是完成本文件所列招标范围的全部内容。投标供应商应认真阅读招标文件，如果投标供应商对最高限价中任何子目和报价遗漏或未计，均被认为已包含在其他子目中，采购人不另行支付。</w:t>
      </w:r>
    </w:p>
    <w:p w14:paraId="13DC2E75">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12.5投标货物如果是部件进口或整机进口，其所有进口手续由投标供应商自己办理，投标供应商还需承担所有的进口关税、一般税务发票等相关费用。</w:t>
      </w:r>
    </w:p>
    <w:p w14:paraId="542DE8B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12.6 如投标报价表中的大写金额和小写金额不一致的，以大写金额为准；总价金额与单价金额不一致的，以单价金额为准，但单价金额小数点有明显错误的除外；对不同文字文本投标文件的解释发生异议的，以中文文本为准。</w:t>
      </w:r>
    </w:p>
    <w:p w14:paraId="3FDB8CF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12.7 全部报价均应以人民币为计量币种，并以人民币进行结算。</w:t>
      </w:r>
    </w:p>
    <w:p w14:paraId="0D97001B">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12.8 采购人对投标供应商提供的货物有权利到生产厂家进行考察和交货前验货，投标供应商应提供便利条件。</w:t>
      </w:r>
    </w:p>
    <w:p w14:paraId="7B9D861B">
      <w:pPr>
        <w:widowControl/>
        <w:spacing w:line="360" w:lineRule="auto"/>
        <w:ind w:firstLine="562" w:firstLineChars="200"/>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12.9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2AB3F7D6">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13、货物现场服务</w:t>
      </w:r>
    </w:p>
    <w:p w14:paraId="781DCA66">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13.1全部设备由中标人进行安装调试，并按有关规定程序报请相关部门验收合格后交付采购人使用，一切费用均由中标人承担。</w:t>
      </w:r>
    </w:p>
    <w:p w14:paraId="3102768E">
      <w:pPr>
        <w:widowControl/>
        <w:spacing w:line="360" w:lineRule="auto"/>
        <w:ind w:firstLine="548" w:firstLineChars="196"/>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13.2采购人应根据中标人的要求给予中标人现场安装服务人员提供食宿方便，费用由中标人自理。</w:t>
      </w:r>
    </w:p>
    <w:p w14:paraId="6EC91D3D">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14、投标保证金</w:t>
      </w:r>
    </w:p>
    <w:p w14:paraId="5F6E67CB">
      <w:pPr>
        <w:spacing w:line="360" w:lineRule="auto"/>
        <w:ind w:left="479" w:leftChars="228"/>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根据《河南省财政厅关于优化政府采购营商环境有关问题的通知》（豫财购【2019】4号）第6条的规定，投标保证金不再收取。</w:t>
      </w:r>
    </w:p>
    <w:p w14:paraId="093C7C42">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15、投标有效期</w:t>
      </w:r>
    </w:p>
    <w:p w14:paraId="450143CF">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15.1投标文件从开标之时起开始生效，投标有效期为60日历天。</w:t>
      </w:r>
    </w:p>
    <w:p w14:paraId="0D74AC88">
      <w:pPr>
        <w:widowControl/>
        <w:spacing w:line="360" w:lineRule="auto"/>
        <w:ind w:firstLine="554" w:firstLineChars="198"/>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15.2在特殊情况下，采购人可征求投标供应商同意延长投标有效期，这种要求和答复均应以信函、传真等形式提交。</w:t>
      </w:r>
    </w:p>
    <w:p w14:paraId="376E4450">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16、投标文件的组成</w:t>
      </w:r>
    </w:p>
    <w:p w14:paraId="5B783D0D">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color w:val="FF0000"/>
          <w:kern w:val="0"/>
          <w:sz w:val="28"/>
          <w:szCs w:val="28"/>
        </w:rPr>
        <w:t>(</w:t>
      </w:r>
      <w:r>
        <w:rPr>
          <w:rFonts w:hint="eastAsia" w:ascii="宋体" w:hAnsi="宋体" w:eastAsia="宋体" w:cs="Times New Roman"/>
          <w:kern w:val="0"/>
          <w:sz w:val="28"/>
          <w:szCs w:val="28"/>
        </w:rPr>
        <w:t>1) 法定代表人身份证明书</w:t>
      </w:r>
    </w:p>
    <w:p w14:paraId="766E31E9">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(2) 授权委托书</w:t>
      </w:r>
    </w:p>
    <w:p w14:paraId="7EA3A878">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(3) 投 标 函</w:t>
      </w:r>
    </w:p>
    <w:p w14:paraId="4E36BD92">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(4) 投标函附表</w:t>
      </w:r>
    </w:p>
    <w:p w14:paraId="74A4113E">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(6) 技术参数偏离表</w:t>
      </w:r>
    </w:p>
    <w:p w14:paraId="0985B50B">
      <w:pPr>
        <w:widowControl/>
        <w:spacing w:line="360" w:lineRule="auto"/>
        <w:ind w:firstLine="280" w:firstLineChars="100"/>
        <w:rPr>
          <w:rFonts w:ascii="宋体" w:hAnsi="宋体" w:eastAsia="宋体" w:cs="Times New Roman"/>
          <w:kern w:val="0"/>
          <w:sz w:val="28"/>
          <w:szCs w:val="28"/>
        </w:rPr>
      </w:pPr>
      <w:r>
        <w:rPr>
          <w:rFonts w:hint="eastAsia" w:ascii="宋体" w:hAnsi="宋体" w:eastAsia="宋体" w:cs="Times New Roman"/>
          <w:kern w:val="0"/>
          <w:sz w:val="28"/>
          <w:szCs w:val="28"/>
        </w:rPr>
        <w:t xml:space="preserve"> (7) 资格证明文件</w:t>
      </w:r>
    </w:p>
    <w:p w14:paraId="446F5E1A">
      <w:pPr>
        <w:widowControl/>
        <w:spacing w:line="360" w:lineRule="auto"/>
        <w:ind w:firstLine="420" w:firstLineChars="150"/>
        <w:rPr>
          <w:rFonts w:ascii="宋体" w:hAnsi="宋体" w:eastAsia="宋体" w:cs="Times New Roman"/>
          <w:kern w:val="0"/>
          <w:sz w:val="28"/>
          <w:szCs w:val="28"/>
        </w:rPr>
      </w:pPr>
      <w:r>
        <w:rPr>
          <w:rFonts w:hint="eastAsia" w:ascii="宋体" w:hAnsi="宋体" w:eastAsia="宋体" w:cs="Times New Roman"/>
          <w:kern w:val="0"/>
          <w:sz w:val="28"/>
          <w:szCs w:val="28"/>
        </w:rPr>
        <w:t>(8)供应商可提交的其他资料</w:t>
      </w:r>
    </w:p>
    <w:p w14:paraId="2E22BC90">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17、投标文件的签署</w:t>
      </w:r>
    </w:p>
    <w:p w14:paraId="1775CDA8">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投标文件投标函应加盖投标供应商单位公章并经法定代表人或其委托代理人签字或盖章。</w:t>
      </w:r>
    </w:p>
    <w:p w14:paraId="0D405B98">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18、投标文件格式</w:t>
      </w:r>
    </w:p>
    <w:p w14:paraId="4D3CA30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18.1投标文件应包括本须知第16条中规定的全部内容，投标供应商提交的投标文件应当使用招标文件所提供的投标文件全部格式（表格可以按同样格式扩展）。</w:t>
      </w:r>
    </w:p>
    <w:p w14:paraId="10C5AF5A">
      <w:pPr>
        <w:widowControl/>
        <w:spacing w:line="360" w:lineRule="auto"/>
        <w:ind w:firstLine="560" w:firstLineChars="200"/>
        <w:rPr>
          <w:rFonts w:ascii="宋体" w:hAnsi="宋体" w:eastAsia="宋体"/>
          <w:bCs/>
          <w:color w:val="000000" w:themeColor="text1"/>
          <w:sz w:val="28"/>
          <w:szCs w:val="28"/>
          <w14:textFill>
            <w14:solidFill>
              <w14:schemeClr w14:val="tx1"/>
            </w14:solidFill>
          </w14:textFill>
        </w:rPr>
      </w:pPr>
      <w:r>
        <w:rPr>
          <w:rFonts w:hint="eastAsia" w:ascii="宋体" w:hAnsi="宋体" w:eastAsia="宋体"/>
          <w:bCs/>
          <w:color w:val="000000" w:themeColor="text1"/>
          <w:sz w:val="28"/>
          <w:szCs w:val="28"/>
          <w14:textFill>
            <w14:solidFill>
              <w14:schemeClr w14:val="tx1"/>
            </w14:solidFill>
          </w14:textFill>
        </w:rPr>
        <w:t>18.2投标文件编制部分。</w:t>
      </w:r>
    </w:p>
    <w:p w14:paraId="6FF791B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在招标文件中要求投标供应商按照投标文件格式进行投标文件编制，在投标文件编制时，应明确将投标单位企业基本情况、资质情况、人员情况、财务情况、业绩情况编入投标文件，便于进行资格审查及评标打分</w:t>
      </w:r>
      <w:r>
        <w:rPr>
          <w:rFonts w:hint="eastAsia" w:ascii="宋体" w:hAnsi="宋体" w:eastAsia="宋体" w:cs="Times New Roman"/>
          <w:color w:val="000000" w:themeColor="text1"/>
          <w:kern w:val="0"/>
          <w:sz w:val="28"/>
          <w:szCs w:val="28"/>
          <w14:textFill>
            <w14:solidFill>
              <w14:schemeClr w14:val="tx1"/>
            </w14:solidFill>
          </w14:textFill>
        </w:rPr>
        <w:t>。</w:t>
      </w:r>
    </w:p>
    <w:p w14:paraId="0E10BAE5">
      <w:pPr>
        <w:widowControl/>
        <w:spacing w:line="360" w:lineRule="auto"/>
        <w:ind w:firstLine="562" w:firstLineChars="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四、投标文件的递交</w:t>
      </w:r>
    </w:p>
    <w:p w14:paraId="7A5E2984">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19、投标文件的递交</w:t>
      </w:r>
    </w:p>
    <w:p w14:paraId="616E6A98">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在规定时间内，上传投标文件至三门峡市公共资源交易中心平台。</w:t>
      </w:r>
    </w:p>
    <w:p w14:paraId="764D1B6D">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20、投标截止时间 </w:t>
      </w:r>
    </w:p>
    <w:p w14:paraId="218B5BD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20.1投标文件的截止时间见本须知前附表规定。</w:t>
      </w:r>
    </w:p>
    <w:p w14:paraId="2737648C">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20.2采购人可按本须知第8条规定以修改补充通知的方式，酌情延长递交投标文件的截止时间。在此情况下，投标供应商的所有权利和义务以及投标供应商受制约的截止时间，均以延长后新的投标截止时间为准。</w:t>
      </w:r>
    </w:p>
    <w:p w14:paraId="29A4A9E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20.3到投标截止时间止，采购人收到的投标文件少于3家的，采购人将依法重新组织招标。</w:t>
      </w:r>
    </w:p>
    <w:p w14:paraId="4B2EC9BF">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20.4迟交的投标文件</w:t>
      </w:r>
    </w:p>
    <w:p w14:paraId="622B0221">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逾期上传并签到的投标文件，采购人不予受理。</w:t>
      </w:r>
    </w:p>
    <w:p w14:paraId="6C122B9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20.5投标文件的补充、修改与撤回</w:t>
      </w:r>
    </w:p>
    <w:p w14:paraId="6D0E469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20.5.1投标供应商在递交投标文件以后，在规定的投标截止时间之前，可以补充修改或撤回已递交的投标文件，并通知采购人。补充、修改的内容为投标文件的组成部分。</w:t>
      </w:r>
    </w:p>
    <w:p w14:paraId="544E590B">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20.5.2在投标截止时间之后，投标供应商不得补充、修改投标文件。</w:t>
      </w:r>
    </w:p>
    <w:p w14:paraId="52FF307D">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五、开标</w:t>
      </w:r>
    </w:p>
    <w:p w14:paraId="5E841ED2">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21、开标</w:t>
      </w:r>
    </w:p>
    <w:p w14:paraId="495469D2">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21.1采购人按本须知前附表所规定的时间和地点公开开标，开标会议由采购代理机构主持，在有关部门监督下进行。</w:t>
      </w:r>
    </w:p>
    <w:p w14:paraId="4A44A6D4">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21.2开标要求事项</w:t>
      </w:r>
    </w:p>
    <w:p w14:paraId="3E60FA99">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21.2.1</w:t>
      </w:r>
      <w:r>
        <w:rPr>
          <w:rFonts w:hint="eastAsia" w:ascii="宋体" w:hAnsi="宋体" w:eastAsia="宋体" w:cs="Times New Roman"/>
          <w:color w:val="000000" w:themeColor="text1"/>
          <w:sz w:val="28"/>
          <w:szCs w:val="28"/>
          <w14:textFill>
            <w14:solidFill>
              <w14:schemeClr w14:val="tx1"/>
            </w14:solidFill>
          </w14:textFill>
        </w:rPr>
        <w:t>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4DEEF998">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21.2.2规定递交合格的撤回通知的投标文件不予解密，并退回给投标供应商；按本须知第21.5.1条规定确定为无效的投标文件，不予送交评审。</w:t>
      </w:r>
    </w:p>
    <w:p w14:paraId="5E930458">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21.3开标程序：</w:t>
      </w:r>
    </w:p>
    <w:p w14:paraId="1BF04F01">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主持人按下列程序进行开标：</w:t>
      </w:r>
    </w:p>
    <w:p w14:paraId="263EA739">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（1）公布在投标截止时间前递交投标文件的投标供应商名称；</w:t>
      </w:r>
    </w:p>
    <w:p w14:paraId="266F55EA">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（2）按照投标供应商须知前附表的规定确定并进行解密；</w:t>
      </w:r>
    </w:p>
    <w:p w14:paraId="53553827">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（3）公布最高限价；</w:t>
      </w:r>
    </w:p>
    <w:p w14:paraId="4B731A78">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（4）按照宣布的开标顺序当众唱标，公布投标供应商名称、投标报价等内容；</w:t>
      </w:r>
    </w:p>
    <w:p w14:paraId="1B6E82DC">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（5）开标结束。</w:t>
      </w:r>
    </w:p>
    <w:p w14:paraId="4043AC05">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21.4合格投标供应商不足3家的，不得评标。</w:t>
      </w:r>
    </w:p>
    <w:p w14:paraId="37C05A67">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21.5投标文件的有效性</w:t>
      </w:r>
    </w:p>
    <w:p w14:paraId="0C7F18A4">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21.5.1投标文件有下列情形之一的为无效投标文件，采购人不予受理：</w:t>
      </w:r>
    </w:p>
    <w:p w14:paraId="7A8AAE9F">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（1）逾期上传的或者未上传指定平台的；</w:t>
      </w:r>
    </w:p>
    <w:p w14:paraId="0F03B8DF">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21.5.2 采购人将有效投标文件，送评标委员会进行评审、比较。</w:t>
      </w:r>
    </w:p>
    <w:p w14:paraId="1710F11A">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六、评标</w:t>
      </w:r>
    </w:p>
    <w:p w14:paraId="7432EF2D">
      <w:pPr>
        <w:widowControl/>
        <w:spacing w:line="360" w:lineRule="auto"/>
        <w:ind w:firstLine="281" w:firstLineChars="1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22.评标委员会</w:t>
      </w:r>
    </w:p>
    <w:p w14:paraId="3BCD412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22.1评标由采购人依法组建的评标委员会负责。评标委员会由采购人熟悉相关业务的代表，以及有关方面的专家组成。评标委员会成员人数以及专家的确定方式见投标供应商须知前附表。</w:t>
      </w:r>
    </w:p>
    <w:p w14:paraId="60B9D8B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22.2评标委员会成员有下列情形之一的，应当回避：</w:t>
      </w:r>
    </w:p>
    <w:p w14:paraId="3BA2BC62">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（1）采购人或投标供应商的主要负责人的近亲属；</w:t>
      </w:r>
    </w:p>
    <w:p w14:paraId="26890AB8">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（2）项目主管部门或者行政监督部门的人员；</w:t>
      </w:r>
    </w:p>
    <w:p w14:paraId="4DFB4957">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（3）与投标供应商有经济利益关系，可能影响对投标公正评审的；</w:t>
      </w:r>
    </w:p>
    <w:p w14:paraId="72032A16">
      <w:pPr>
        <w:widowControl/>
        <w:spacing w:line="360" w:lineRule="auto"/>
        <w:ind w:firstLine="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（4）曾因在招标、评标以及其他与招标投标有关活动中从事违法行为而受过行政处罚或刑事处罚的。</w:t>
      </w:r>
    </w:p>
    <w:p w14:paraId="23F706A8">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23.评标过程的保密</w:t>
      </w:r>
    </w:p>
    <w:p w14:paraId="399749A5">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23.1开标后，直至授予中标人合同为止，凡属于对投标文件的审查、澄清、评价和比较有关的资料，中标候选人的推荐情况，及其他任何与评标有关的情况均应严格保密。</w:t>
      </w:r>
    </w:p>
    <w:p w14:paraId="35EFE4B1">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23.2在投标文件的评审和比较、中标候选人推荐以及授予合同的过程中，投标供应商向采购人和评标委员会施加影响的任何行为，都将会导致其投标被拒绝。</w:t>
      </w:r>
    </w:p>
    <w:p w14:paraId="71B5F6E3">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23.3中标人确定后，采购人不对未中标单位就评标过程以及未能中标原因作出任何解释。未中标人不得向评标委员会组成人员或其他有关人员索问评标过程的情况和材料。</w:t>
      </w:r>
    </w:p>
    <w:p w14:paraId="2D1D1F21">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24. 评标原则</w:t>
      </w:r>
      <w:r>
        <w:rPr>
          <w:rFonts w:hint="eastAsia" w:ascii="宋体" w:hAnsi="宋体" w:eastAsia="宋体" w:cs="Times New Roman"/>
          <w:b/>
          <w:bCs/>
          <w:color w:val="000000" w:themeColor="text1"/>
          <w:kern w:val="0"/>
          <w:sz w:val="28"/>
          <w:szCs w:val="28"/>
          <w14:textFill>
            <w14:solidFill>
              <w14:schemeClr w14:val="tx1"/>
            </w14:solidFill>
          </w14:textFill>
        </w:rPr>
        <w:tab/>
      </w:r>
    </w:p>
    <w:p w14:paraId="4DC24FD2">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评标活动遵循公平、公正、科学和择优的原则。</w:t>
      </w:r>
    </w:p>
    <w:p w14:paraId="618E88E1">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25、投标文件的澄清</w:t>
      </w:r>
    </w:p>
    <w:p w14:paraId="7B93F9CD">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为有助于投标文件的审查、评价和比较，评标委员会可以通知投标供应商对投标文件含义不明确的内容作必要的澄清或说明，投标供应商应进行澄清或说明，但不得超出投标文件的范围或改变投标文件的实质性内容。根据本须知规定，凡属于评标委员会在评标中发现的计算错误并进行核实的修改不在此列。</w:t>
      </w:r>
    </w:p>
    <w:p w14:paraId="5C76A7A4">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26、投标文件的初步评审</w:t>
      </w:r>
    </w:p>
    <w:p w14:paraId="1F75E12D">
      <w:pPr>
        <w:widowControl/>
        <w:spacing w:line="360" w:lineRule="auto"/>
        <w:ind w:firstLine="604" w:firstLineChars="216"/>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26.1评标委员会应当对符合资格的投标供应商的投标文件进行符合性审查，以确定其是否满足招标文件的实质性要求。</w:t>
      </w:r>
    </w:p>
    <w:p w14:paraId="231171A4">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26.2投标价超出采购人最高限价的投标将会被拒绝。</w:t>
      </w:r>
    </w:p>
    <w:p w14:paraId="5CF35B19">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26.3实质上没有响应招标文件要求的投标将被拒绝，投标供应商不得通过修正或撤消不符之处而使其投标成为实质上响应投标。</w:t>
      </w:r>
    </w:p>
    <w:p w14:paraId="25F2A833">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26.4评标中有下列情形之一的，其投标将会被拒绝：</w:t>
      </w:r>
    </w:p>
    <w:p w14:paraId="6A9EEEBC">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(1) 投标文件未按招标文件要求签署、盖章的；</w:t>
      </w:r>
    </w:p>
    <w:p w14:paraId="266C32AF">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 不具备招标文件中规定的资质要求的；</w:t>
      </w:r>
    </w:p>
    <w:p w14:paraId="788BEF48">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 报价超过招标文件中规定的最高限价金额的；</w:t>
      </w:r>
    </w:p>
    <w:p w14:paraId="65AE130C">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(4) 投标文件含有采购人不能接受的附加条件的；</w:t>
      </w:r>
    </w:p>
    <w:p w14:paraId="6C5F833B">
      <w:pPr>
        <w:widowControl/>
        <w:spacing w:line="360" w:lineRule="auto"/>
        <w:ind w:firstLine="280" w:firstLineChars="1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(5) 法律、法规和招标文件规定的其他无效情形。</w:t>
      </w:r>
    </w:p>
    <w:p w14:paraId="5CB315F9">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27、投标文件计算错误的修正</w:t>
      </w:r>
    </w:p>
    <w:p w14:paraId="71EF3C61">
      <w:pPr>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对于投标文件中含义不明确、同类问题表述不一致或者有明显文字和计算错误的内容，评标委员会应当以书面形式要求投标供应商作出必要的澄清、说明或者补正。投标文件报价出现前后不一致的按以下方法修正：</w:t>
      </w:r>
    </w:p>
    <w:p w14:paraId="7DEF325A">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27.1.1</w:t>
      </w:r>
      <w:r>
        <w:rPr>
          <w:rFonts w:hint="eastAsia" w:ascii="宋体" w:hAnsi="宋体" w:eastAsia="宋体" w:cs="Times New Roman"/>
          <w:color w:val="000000" w:themeColor="text1"/>
          <w:sz w:val="28"/>
          <w:szCs w:val="28"/>
          <w14:textFill>
            <w14:solidFill>
              <w14:schemeClr w14:val="tx1"/>
            </w14:solidFill>
          </w14:textFill>
        </w:rPr>
        <w:t>投标文件中投标函（报价表）内容与投标文件中相应内容不一致的，以投标函（报价表）为准；</w:t>
      </w:r>
    </w:p>
    <w:p w14:paraId="2182A329">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t>27.1.2</w:t>
      </w:r>
      <w:r>
        <w:rPr>
          <w:rFonts w:hint="eastAsia" w:ascii="宋体" w:hAnsi="宋体" w:eastAsia="宋体" w:cs="Times New Roman"/>
          <w:color w:val="000000" w:themeColor="text1"/>
          <w:kern w:val="0"/>
          <w:sz w:val="28"/>
          <w:szCs w:val="28"/>
          <w14:textFill>
            <w14:solidFill>
              <w14:schemeClr w14:val="tx1"/>
            </w14:solidFill>
          </w14:textFill>
        </w:rPr>
        <w:t>大写金额和小写金额不一致的，以大写金额为准；</w:t>
      </w:r>
    </w:p>
    <w:p w14:paraId="229D346D">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27.1.3单价金额小数点或者百分比有明显错位的，以开标一览表的总价为准，并修改单价；</w:t>
      </w:r>
    </w:p>
    <w:p w14:paraId="1EBD8E99">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27.1.4总价金额与按单价汇总金额不一致的，以单价金额计算结果为准。</w:t>
      </w:r>
    </w:p>
    <w:p w14:paraId="169815D5">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同时出现两种以上不一致的，按照顺序修正。投标供应商不确认的，其投标无效。</w:t>
      </w:r>
    </w:p>
    <w:p w14:paraId="7B505467">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28. 投标文件的评审、比较和否决</w:t>
      </w:r>
    </w:p>
    <w:p w14:paraId="2F26BFD3">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28.1评标委员会将按照招标文件的规定，仅对在实质上响应招标文件要求的投标文件进行评估和比较。</w:t>
      </w:r>
    </w:p>
    <w:p w14:paraId="16B5C2C8">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28.2根据相关法律法规，结合本项目具体情况，制定本次招标评标办法。并按照“公平、公正、科学、择优”的原则进行评标。</w:t>
      </w:r>
    </w:p>
    <w:p w14:paraId="56A10109">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28.3在评审过程中，评标委员会可以要求投标供应商就投标文件中含义不明确的内容进行说明并提供相关材料。</w:t>
      </w:r>
    </w:p>
    <w:p w14:paraId="28A86554">
      <w:pPr>
        <w:widowControl/>
        <w:spacing w:line="360" w:lineRule="auto"/>
        <w:ind w:firstLine="560"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28.4评标时，投标报价是评标的重要依据，但不是唯一依据，采购人不承诺将合同授予报价最低或最高的投标供应商。</w:t>
      </w:r>
    </w:p>
    <w:p w14:paraId="3E9F2A10">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28.5评标委员会依据本须知规定的评标标准和方法，对投标文件进行评审和比较，向采购人提出书面评标报告，并推荐合格的中标候选人。采购人根据评标委员会提出的书面评标报告和推荐的中标候选人按序确定中标人。</w:t>
      </w:r>
    </w:p>
    <w:p w14:paraId="31838E08">
      <w:pPr>
        <w:widowControl/>
        <w:spacing w:line="360" w:lineRule="auto"/>
        <w:ind w:firstLine="200"/>
        <w:jc w:val="center"/>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七、授予合同</w:t>
      </w:r>
    </w:p>
    <w:p w14:paraId="322EEA94">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29、合同授予标准</w:t>
      </w:r>
    </w:p>
    <w:p w14:paraId="50679AC4">
      <w:pPr>
        <w:widowControl/>
        <w:spacing w:line="360" w:lineRule="auto"/>
        <w:ind w:firstLine="557" w:firstLineChars="19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29.1本招标项目的合同将授予按本评标办法确定的中标供应商。</w:t>
      </w:r>
    </w:p>
    <w:p w14:paraId="06949D65">
      <w:pPr>
        <w:widowControl/>
        <w:spacing w:line="360" w:lineRule="auto"/>
        <w:ind w:firstLine="557" w:firstLineChars="19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29.2评标委员会经采购人授权，确定排名第一的中标候选人为中标供应商。</w:t>
      </w:r>
    </w:p>
    <w:p w14:paraId="66696874">
      <w:pPr>
        <w:widowControl/>
        <w:spacing w:line="360" w:lineRule="auto"/>
        <w:ind w:firstLine="137" w:firstLineChars="4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中标或者成交供应商拒绝与采购人签订合同的，采购人可以按照评审报告推荐的中标或者成交候选人名单排序，确定下一候选人为中标或者成交供应商，也可以重新开展政府采购活动。</w:t>
      </w:r>
    </w:p>
    <w:p w14:paraId="061DE760">
      <w:pPr>
        <w:widowControl/>
        <w:spacing w:line="360" w:lineRule="auto"/>
        <w:ind w:firstLine="562"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30、采购人拒绝投标的权力</w:t>
      </w:r>
    </w:p>
    <w:p w14:paraId="4A2CBE32">
      <w:pPr>
        <w:widowControl/>
        <w:spacing w:line="36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采购人不承诺将合同授予报价最低的或最高的中标（中标）候选人。</w:t>
      </w:r>
    </w:p>
    <w:p w14:paraId="73591B79">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31、中标通知</w:t>
      </w:r>
    </w:p>
    <w:p w14:paraId="5AE9B776">
      <w:pPr>
        <w:widowControl/>
        <w:spacing w:line="360" w:lineRule="auto"/>
        <w:ind w:firstLine="554" w:firstLineChars="198"/>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31.1中标单位确定后，在发布本项目招标公告的媒介上发布中标公告。</w:t>
      </w:r>
    </w:p>
    <w:p w14:paraId="285AF6DC">
      <w:pPr>
        <w:widowControl/>
        <w:spacing w:line="360" w:lineRule="auto"/>
        <w:ind w:firstLine="137" w:firstLineChars="49"/>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31.2中标通知书是合同的组成部分。</w:t>
      </w:r>
    </w:p>
    <w:p w14:paraId="30196BB0">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31.3对未中标的投标供应商，不做任何未中标原因的解释。所有投标文件不予退还。</w:t>
      </w:r>
    </w:p>
    <w:p w14:paraId="563EBC55">
      <w:pPr>
        <w:widowControl/>
        <w:spacing w:line="360" w:lineRule="auto"/>
        <w:ind w:firstLine="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  32.合同协议书的签署</w:t>
      </w:r>
    </w:p>
    <w:p w14:paraId="1C12E47F">
      <w:pPr>
        <w:widowControl/>
        <w:spacing w:line="360" w:lineRule="auto"/>
        <w:ind w:firstLine="554" w:firstLineChars="198"/>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32.1按《三门峡市财政局关于市本级政府采购合同备案管理工作的通知》（三财购[2021]9号）文要求，原则上自中标通知书发出之日起2个工作日内与中标（成交）供应商按照采购文件确定的事项与供应商签订政府采购合同，合同签订后1个工作日内在河南省政府采购网上发布公告并完成合同备案，按照招标文件及中标供应商的投标文件订立书面承包合同，采购人和中标供应商不得再行订立背离合同实质性内容的其他协议。</w:t>
      </w:r>
    </w:p>
    <w:p w14:paraId="53B08CEF">
      <w:pPr>
        <w:widowControl/>
        <w:spacing w:line="360" w:lineRule="auto"/>
        <w:ind w:firstLine="554" w:firstLineChars="198"/>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32.2中标人如不按本投标须知的规定与采购人订立合同，则采购人将废除授标。</w:t>
      </w:r>
    </w:p>
    <w:p w14:paraId="251A5467">
      <w:pPr>
        <w:widowControl/>
        <w:spacing w:line="360" w:lineRule="auto"/>
        <w:ind w:firstLine="554" w:firstLineChars="198"/>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32.3不得擅自变更合同。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采购人和供应商应当在政府采购合同中明确约定双方的违约责任。对于确因采购人原因导致变更、中止或终止政府采购合同的，采购人应当依照合同约定对供应商受到的损失予以赔偿或者补偿。</w:t>
      </w:r>
    </w:p>
    <w:p w14:paraId="14B43A64">
      <w:pPr>
        <w:widowControl/>
        <w:spacing w:line="360" w:lineRule="auto"/>
        <w:ind w:firstLine="200"/>
        <w:jc w:val="cente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八、</w:t>
      </w:r>
      <w:r>
        <w:rPr>
          <w:rFonts w:ascii="宋体" w:hAnsi="宋体" w:eastAsia="宋体" w:cs="Times New Roman"/>
          <w:b/>
          <w:bCs/>
          <w:color w:val="000000" w:themeColor="text1"/>
          <w:kern w:val="0"/>
          <w:sz w:val="28"/>
          <w:szCs w:val="28"/>
          <w14:textFill>
            <w14:solidFill>
              <w14:schemeClr w14:val="tx1"/>
            </w14:solidFill>
          </w14:textFill>
        </w:rPr>
        <w:t>处罚、询问和质疑</w:t>
      </w:r>
    </w:p>
    <w:p w14:paraId="32665762">
      <w:pPr>
        <w:tabs>
          <w:tab w:val="left" w:pos="1257"/>
        </w:tabs>
        <w:autoSpaceDE w:val="0"/>
        <w:autoSpaceDN w:val="0"/>
        <w:spacing w:before="98" w:line="360" w:lineRule="auto"/>
        <w:ind w:right="-199" w:firstLine="562" w:firstLineChars="200"/>
        <w:jc w:val="left"/>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33、</w:t>
      </w:r>
      <w:r>
        <w:rPr>
          <w:rFonts w:ascii="宋体" w:hAnsi="宋体" w:eastAsia="宋体" w:cs="宋体"/>
          <w:b/>
          <w:bCs/>
          <w:color w:val="000000" w:themeColor="text1"/>
          <w:sz w:val="28"/>
          <w:szCs w:val="28"/>
          <w14:textFill>
            <w14:solidFill>
              <w14:schemeClr w14:val="tx1"/>
            </w14:solidFill>
          </w14:textFill>
        </w:rPr>
        <w:t>发生下列情况之一，将依法追究投标供应商的相关责任：</w:t>
      </w:r>
    </w:p>
    <w:p w14:paraId="29673ED6">
      <w:pPr>
        <w:tabs>
          <w:tab w:val="left" w:pos="1257"/>
        </w:tabs>
        <w:autoSpaceDE w:val="0"/>
        <w:autoSpaceDN w:val="0"/>
        <w:spacing w:before="96"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（1）</w:t>
      </w:r>
      <w:r>
        <w:rPr>
          <w:rFonts w:ascii="宋体" w:hAnsi="宋体" w:eastAsia="宋体" w:cs="宋体"/>
          <w:color w:val="000000" w:themeColor="text1"/>
          <w:kern w:val="0"/>
          <w:sz w:val="28"/>
          <w:szCs w:val="28"/>
          <w14:textFill>
            <w14:solidFill>
              <w14:schemeClr w14:val="tx1"/>
            </w14:solidFill>
          </w14:textFill>
        </w:rPr>
        <w:t>开标后在投标有效期内，投标供应商撤回其投标；</w:t>
      </w:r>
    </w:p>
    <w:p w14:paraId="44B17EC9">
      <w:pPr>
        <w:tabs>
          <w:tab w:val="left" w:pos="1257"/>
        </w:tabs>
        <w:autoSpaceDE w:val="0"/>
        <w:autoSpaceDN w:val="0"/>
        <w:spacing w:before="98"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w:t>
      </w:r>
      <w:r>
        <w:rPr>
          <w:rFonts w:ascii="宋体" w:hAnsi="宋体" w:eastAsia="宋体" w:cs="宋体"/>
          <w:color w:val="000000" w:themeColor="text1"/>
          <w:kern w:val="0"/>
          <w:sz w:val="28"/>
          <w:szCs w:val="28"/>
          <w14:textFill>
            <w14:solidFill>
              <w14:schemeClr w14:val="tx1"/>
            </w14:solidFill>
          </w14:textFill>
        </w:rPr>
        <w:t>中标人未按本招标文件规定签定采购合同；</w:t>
      </w:r>
    </w:p>
    <w:p w14:paraId="515F3B6C">
      <w:pPr>
        <w:tabs>
          <w:tab w:val="left" w:pos="1257"/>
        </w:tabs>
        <w:autoSpaceDE w:val="0"/>
        <w:autoSpaceDN w:val="0"/>
        <w:spacing w:before="96"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（3）</w:t>
      </w:r>
      <w:r>
        <w:rPr>
          <w:rFonts w:ascii="宋体" w:hAnsi="宋体" w:eastAsia="宋体" w:cs="宋体"/>
          <w:color w:val="000000" w:themeColor="text1"/>
          <w:kern w:val="0"/>
          <w:sz w:val="28"/>
          <w:szCs w:val="28"/>
          <w14:textFill>
            <w14:solidFill>
              <w14:schemeClr w14:val="tx1"/>
            </w14:solidFill>
          </w14:textFill>
        </w:rPr>
        <w:t>在投标文件中提供虚假材料的；</w:t>
      </w:r>
    </w:p>
    <w:p w14:paraId="78A449EF">
      <w:pPr>
        <w:tabs>
          <w:tab w:val="left" w:pos="1257"/>
        </w:tabs>
        <w:autoSpaceDE w:val="0"/>
        <w:autoSpaceDN w:val="0"/>
        <w:spacing w:before="98" w:line="360" w:lineRule="auto"/>
        <w:ind w:firstLine="420" w:firstLineChars="150"/>
        <w:jc w:val="left"/>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（4）</w:t>
      </w:r>
      <w:r>
        <w:rPr>
          <w:rFonts w:ascii="宋体" w:hAnsi="宋体" w:eastAsia="宋体" w:cs="宋体"/>
          <w:color w:val="000000" w:themeColor="text1"/>
          <w:kern w:val="0"/>
          <w:sz w:val="28"/>
          <w:szCs w:val="28"/>
          <w14:textFill>
            <w14:solidFill>
              <w14:schemeClr w14:val="tx1"/>
            </w14:solidFill>
          </w14:textFill>
        </w:rPr>
        <w:t>中标人拒绝在招标文件规定的时间内签订合同的；</w:t>
      </w:r>
    </w:p>
    <w:p w14:paraId="6A5456F4">
      <w:pPr>
        <w:widowControl/>
        <w:spacing w:line="360" w:lineRule="auto"/>
        <w:ind w:firstLine="420" w:firstLineChars="150"/>
        <w:rPr>
          <w:rFonts w:ascii="宋体" w:hAnsi="宋体" w:cs="宋体"/>
          <w:color w:val="000000" w:themeColor="text1"/>
          <w:spacing w:val="-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（5）</w:t>
      </w:r>
      <w:r>
        <w:rPr>
          <w:rFonts w:ascii="宋体" w:hAnsi="宋体" w:cs="宋体"/>
          <w:color w:val="000000" w:themeColor="text1"/>
          <w:spacing w:val="-1"/>
          <w:kern w:val="0"/>
          <w:sz w:val="28"/>
          <w:szCs w:val="28"/>
          <w14:textFill>
            <w14:solidFill>
              <w14:schemeClr w14:val="tx1"/>
            </w14:solidFill>
          </w14:textFill>
        </w:rPr>
        <w:t>投标供应商其它未按招标文件规定履行义务的行为。</w:t>
      </w:r>
    </w:p>
    <w:p w14:paraId="30B13F28">
      <w:pPr>
        <w:tabs>
          <w:tab w:val="left" w:pos="1257"/>
        </w:tabs>
        <w:autoSpaceDE w:val="0"/>
        <w:autoSpaceDN w:val="0"/>
        <w:spacing w:before="98" w:line="360" w:lineRule="auto"/>
        <w:ind w:right="3229" w:firstLine="562" w:firstLineChars="200"/>
        <w:jc w:val="left"/>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34</w:t>
      </w:r>
      <w:r>
        <w:rPr>
          <w:rFonts w:hint="eastAsia" w:ascii="宋体" w:hAnsi="宋体" w:eastAsia="宋体" w:cs="宋体"/>
          <w:b/>
          <w:color w:val="000000" w:themeColor="text1"/>
          <w:sz w:val="28"/>
          <w:szCs w:val="28"/>
          <w14:textFill>
            <w14:solidFill>
              <w14:schemeClr w14:val="tx1"/>
            </w14:solidFill>
          </w14:textFill>
        </w:rPr>
        <w:t>、</w:t>
      </w:r>
      <w:r>
        <w:rPr>
          <w:rFonts w:ascii="宋体" w:hAnsi="宋体" w:cs="宋体"/>
          <w:b/>
          <w:color w:val="000000" w:themeColor="text1"/>
          <w:sz w:val="28"/>
          <w:szCs w:val="28"/>
          <w14:textFill>
            <w14:solidFill>
              <w14:schemeClr w14:val="tx1"/>
            </w14:solidFill>
          </w14:textFill>
        </w:rPr>
        <w:t>询问和质疑</w:t>
      </w:r>
    </w:p>
    <w:p w14:paraId="162D521A">
      <w:pPr>
        <w:pStyle w:val="172"/>
        <w:tabs>
          <w:tab w:val="left" w:pos="360"/>
          <w:tab w:val="left" w:pos="1196"/>
        </w:tabs>
        <w:autoSpaceDE w:val="0"/>
        <w:autoSpaceDN w:val="0"/>
        <w:spacing w:before="3" w:line="360" w:lineRule="auto"/>
        <w:ind w:left="120" w:leftChars="57" w:right="277" w:firstLine="560"/>
        <w:jc w:val="left"/>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投标供应商对采购事项有疑问，可以按照《政府采购法》的相关规定向采购人机构提出询问。提出质疑的供应商应当是参与所质疑项目采购活动的供应商。</w:t>
      </w:r>
    </w:p>
    <w:p w14:paraId="44797F41">
      <w:pPr>
        <w:tabs>
          <w:tab w:val="left" w:pos="360"/>
          <w:tab w:val="left" w:pos="1196"/>
        </w:tabs>
        <w:autoSpaceDE w:val="0"/>
        <w:autoSpaceDN w:val="0"/>
        <w:spacing w:line="360" w:lineRule="auto"/>
        <w:ind w:right="157" w:firstLine="560" w:firstLineChars="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若投标供应商认为其投标未获公平评审或采购文件、采购过程和中标或者成交结果使自己的合法权益受到损害，可以在知道或者应知其权益受到损害之日起</w:t>
      </w:r>
      <w:r>
        <w:rPr>
          <w:rFonts w:ascii="宋体" w:hAnsi="宋体" w:eastAsia="宋体" w:cs="Times New Roman"/>
          <w:bCs/>
          <w:color w:val="000000" w:themeColor="text1"/>
          <w:kern w:val="0"/>
          <w:sz w:val="28"/>
          <w:szCs w:val="28"/>
          <w14:textFill>
            <w14:solidFill>
              <w14:schemeClr w14:val="tx1"/>
            </w14:solidFill>
          </w14:textFill>
        </w:rPr>
        <w:t>7</w:t>
      </w:r>
      <w:r>
        <w:rPr>
          <w:rFonts w:hint="eastAsia" w:ascii="宋体" w:hAnsi="宋体" w:eastAsia="宋体" w:cs="Times New Roman"/>
          <w:bCs/>
          <w:color w:val="000000" w:themeColor="text1"/>
          <w:kern w:val="0"/>
          <w:sz w:val="28"/>
          <w:szCs w:val="28"/>
          <w14:textFill>
            <w14:solidFill>
              <w14:schemeClr w14:val="tx1"/>
            </w14:solidFill>
          </w14:textFill>
        </w:rPr>
        <w:t>个工作日内，以书面形式向采购人、采购代理机构提出质疑。应知其权益受到损害之日是指：</w:t>
      </w:r>
    </w:p>
    <w:p w14:paraId="596CB0E4">
      <w:pPr>
        <w:tabs>
          <w:tab w:val="left" w:pos="1257"/>
        </w:tabs>
        <w:autoSpaceDE w:val="0"/>
        <w:autoSpaceDN w:val="0"/>
        <w:spacing w:line="360" w:lineRule="auto"/>
        <w:ind w:firstLine="560" w:firstLineChars="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1、对招标文件提出质疑的，为获取招标文件之日或招标文件公告期限届满之日。</w:t>
      </w:r>
    </w:p>
    <w:p w14:paraId="656971AD">
      <w:pPr>
        <w:tabs>
          <w:tab w:val="left" w:pos="1257"/>
        </w:tabs>
        <w:autoSpaceDE w:val="0"/>
        <w:autoSpaceDN w:val="0"/>
        <w:spacing w:before="93" w:line="360" w:lineRule="auto"/>
        <w:ind w:firstLine="560" w:firstLineChars="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2、对采购过程提出质疑的，为各采购程序环节结束之日。</w:t>
      </w:r>
    </w:p>
    <w:p w14:paraId="5B5A56DE">
      <w:pPr>
        <w:tabs>
          <w:tab w:val="left" w:pos="1257"/>
        </w:tabs>
        <w:autoSpaceDE w:val="0"/>
        <w:autoSpaceDN w:val="0"/>
        <w:spacing w:before="98" w:line="360" w:lineRule="auto"/>
        <w:ind w:firstLine="560" w:firstLineChars="200"/>
        <w:jc w:val="left"/>
        <w:rPr>
          <w:rFonts w:ascii="宋体" w:hAnsi="宋体" w:eastAsia="宋体"/>
          <w:bCs/>
          <w:color w:val="000000" w:themeColor="text1"/>
          <w:kern w:val="0"/>
          <w:sz w:val="28"/>
          <w:szCs w:val="28"/>
          <w14:textFill>
            <w14:solidFill>
              <w14:schemeClr w14:val="tx1"/>
            </w14:solidFill>
          </w14:textFill>
        </w:rPr>
      </w:pPr>
      <w:r>
        <w:rPr>
          <w:rFonts w:hint="eastAsia" w:ascii="宋体" w:hAnsi="宋体" w:eastAsia="宋体"/>
          <w:bCs/>
          <w:color w:val="000000" w:themeColor="text1"/>
          <w:kern w:val="0"/>
          <w:sz w:val="28"/>
          <w:szCs w:val="28"/>
          <w14:textFill>
            <w14:solidFill>
              <w14:schemeClr w14:val="tx1"/>
            </w14:solidFill>
          </w14:textFill>
        </w:rPr>
        <w:t>3、对中标、成交结果提出质疑的，为中标或者成交结果公告期限届满之日。</w:t>
      </w:r>
    </w:p>
    <w:p w14:paraId="2D51C2E2">
      <w:pPr>
        <w:tabs>
          <w:tab w:val="left" w:pos="360"/>
          <w:tab w:val="left" w:pos="1211"/>
        </w:tabs>
        <w:autoSpaceDE w:val="0"/>
        <w:autoSpaceDN w:val="0"/>
        <w:spacing w:before="98" w:line="360" w:lineRule="auto"/>
        <w:ind w:left="239" w:leftChars="114" w:right="276" w:firstLine="2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4、供应商提出质疑应当提交质疑函和必要的证明材料。质疑函应当包括下列内容：</w:t>
      </w:r>
    </w:p>
    <w:p w14:paraId="5B60C32C">
      <w:pPr>
        <w:tabs>
          <w:tab w:val="left" w:pos="360"/>
          <w:tab w:val="left" w:pos="1211"/>
        </w:tabs>
        <w:autoSpaceDE w:val="0"/>
        <w:autoSpaceDN w:val="0"/>
        <w:spacing w:before="98" w:line="360" w:lineRule="auto"/>
        <w:ind w:right="276"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（1）供应商的姓名或者名称、地址、邮编、联系人及联系电话；</w:t>
      </w:r>
    </w:p>
    <w:p w14:paraId="57BD10C7">
      <w:pPr>
        <w:tabs>
          <w:tab w:val="left" w:pos="1257"/>
        </w:tabs>
        <w:autoSpaceDE w:val="0"/>
        <w:autoSpaceDN w:val="0"/>
        <w:spacing w:before="96"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（2）质疑项目的名称、编号；</w:t>
      </w:r>
    </w:p>
    <w:p w14:paraId="1C31140B">
      <w:pPr>
        <w:tabs>
          <w:tab w:val="left" w:pos="1257"/>
        </w:tabs>
        <w:autoSpaceDE w:val="0"/>
        <w:autoSpaceDN w:val="0"/>
        <w:spacing w:before="96"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（3）具体、明确的质疑事项和与质疑事项相关的请求；</w:t>
      </w:r>
    </w:p>
    <w:p w14:paraId="14086707">
      <w:pPr>
        <w:tabs>
          <w:tab w:val="left" w:pos="1257"/>
        </w:tabs>
        <w:autoSpaceDE w:val="0"/>
        <w:autoSpaceDN w:val="0"/>
        <w:spacing w:before="95"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（4）事实依据；</w:t>
      </w:r>
    </w:p>
    <w:p w14:paraId="5D78DDA4">
      <w:pPr>
        <w:tabs>
          <w:tab w:val="left" w:pos="1257"/>
        </w:tabs>
        <w:autoSpaceDE w:val="0"/>
        <w:autoSpaceDN w:val="0"/>
        <w:spacing w:before="99"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（5）必要的法律依据；</w:t>
      </w:r>
    </w:p>
    <w:p w14:paraId="41BA9FEF">
      <w:pPr>
        <w:tabs>
          <w:tab w:val="left" w:pos="1257"/>
        </w:tabs>
        <w:autoSpaceDE w:val="0"/>
        <w:autoSpaceDN w:val="0"/>
        <w:spacing w:before="98"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（6）质疑材料中有外文资料的，应一并附上中文译文，并以中文译文为准；</w:t>
      </w:r>
    </w:p>
    <w:p w14:paraId="1C9FFD10">
      <w:pPr>
        <w:tabs>
          <w:tab w:val="left" w:pos="1257"/>
        </w:tabs>
        <w:autoSpaceDE w:val="0"/>
        <w:autoSpaceDN w:val="0"/>
        <w:spacing w:before="95" w:line="360" w:lineRule="auto"/>
        <w:ind w:firstLine="280" w:firstLineChars="100"/>
        <w:jc w:val="left"/>
        <w:rPr>
          <w:rFonts w:ascii="宋体" w:hAnsi="宋体" w:eastAsia="宋体" w:cs="Times New Roman"/>
          <w:bCs/>
          <w:color w:val="000000" w:themeColor="text1"/>
          <w:kern w:val="0"/>
          <w:sz w:val="28"/>
          <w:szCs w:val="28"/>
          <w14:textFill>
            <w14:solidFill>
              <w14:schemeClr w14:val="tx1"/>
            </w14:solidFill>
          </w14:textFill>
        </w:rPr>
      </w:pPr>
      <w:r>
        <w:rPr>
          <w:rFonts w:hint="eastAsia" w:ascii="宋体" w:hAnsi="宋体" w:eastAsia="宋体" w:cs="Times New Roman"/>
          <w:bCs/>
          <w:color w:val="000000" w:themeColor="text1"/>
          <w:kern w:val="0"/>
          <w:sz w:val="28"/>
          <w:szCs w:val="28"/>
          <w14:textFill>
            <w14:solidFill>
              <w14:schemeClr w14:val="tx1"/>
            </w14:solidFill>
          </w14:textFill>
        </w:rPr>
        <w:t>（7）提起质疑的日期。</w:t>
      </w:r>
    </w:p>
    <w:p w14:paraId="643EF36F">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事项按照有关法律、法规和规章规定及招标文件要求属于保密或者处于保密阶段的事项，投标供应商必须提供正常的信息来源或有效证据，投标供应商不能提供或者拒绝提供合法的信息来源或有效证据的，其质疑将被拒绝；</w:t>
      </w:r>
    </w:p>
    <w:p w14:paraId="7B9EBE0C">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质疑函应提供充足有效的相关证明材料；如果涉及到产品功能或技术指标的，应出具相关制造商的证明文件；</w:t>
      </w:r>
    </w:p>
    <w:p w14:paraId="59E0095E">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质疑材料中有外文资料的，应一并附上中文译本，并以中文译本为准。</w:t>
      </w:r>
    </w:p>
    <w:p w14:paraId="0C83DD65">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投标供应商质疑实行实名制并须在质疑书上署名。投标供应商不得进行虚假、恶意质疑，不得以质疑为手段获取不当得利、实现非法目的。</w:t>
      </w:r>
    </w:p>
    <w:p w14:paraId="01532759">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供应商可以委托代理人进行质疑和投诉。其授权委托书应当载明代理人的姓名或者名称、代理事项、具体权限、期限和相关事项。供应商为自然人的，应当由本人签</w:t>
      </w:r>
      <w:bookmarkStart w:id="3" w:name="第四部分_合同条款"/>
      <w:bookmarkEnd w:id="3"/>
      <w:r>
        <w:rPr>
          <w:rFonts w:hint="eastAsia" w:ascii="宋体" w:hAnsi="宋体" w:eastAsia="宋体"/>
          <w:color w:val="000000" w:themeColor="text1"/>
          <w:sz w:val="28"/>
          <w:szCs w:val="28"/>
          <w14:textFill>
            <w14:solidFill>
              <w14:schemeClr w14:val="tx1"/>
            </w14:solidFill>
          </w14:textFill>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60F7CFAB">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质疑书提交方式。投标供应商或者其委托代理人应当当面提交质疑书及相关证明材料。提交质疑书时，投标供应商应同时提交本人身份证，委托他人代理质疑事宜的，还应提交被委托人的身份证。</w:t>
      </w:r>
    </w:p>
    <w:p w14:paraId="601D978B">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投标供应商不得虚假质疑和恶意质疑，并对质疑内容的真实性承担责任。投标供应商或者其他利害关系人通过捏造事实、伪造证明材料等方式提出异议或投诉，阻碍招投标活动正常进行的，属于严重不良行为，财政部门将其列入不良行为记录名单，并依法予以处罚。</w:t>
      </w:r>
    </w:p>
    <w:p w14:paraId="4A0FDCC8">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采购人或采购代理机构将在收到符合上述条件的书面质疑后</w:t>
      </w:r>
      <w:r>
        <w:rPr>
          <w:rFonts w:ascii="宋体" w:hAnsi="宋体" w:eastAsia="宋体"/>
          <w:color w:val="000000" w:themeColor="text1"/>
          <w:sz w:val="28"/>
          <w:szCs w:val="28"/>
          <w14:textFill>
            <w14:solidFill>
              <w14:schemeClr w14:val="tx1"/>
            </w14:solidFill>
          </w14:textFill>
        </w:rPr>
        <w:t>7</w:t>
      </w:r>
      <w:r>
        <w:rPr>
          <w:rFonts w:hint="eastAsia" w:ascii="宋体" w:hAnsi="宋体" w:eastAsia="宋体"/>
          <w:color w:val="000000" w:themeColor="text1"/>
          <w:sz w:val="28"/>
          <w:szCs w:val="28"/>
          <w14:textFill>
            <w14:solidFill>
              <w14:schemeClr w14:val="tx1"/>
            </w14:solidFill>
          </w14:textFill>
        </w:rPr>
        <w:t>个工作日内审查质疑事项，采购人做出答复或相关处理决定，并以书面形式通知质疑投标供应商和其他有关供应商。</w:t>
      </w:r>
    </w:p>
    <w:p w14:paraId="582E853C">
      <w:pPr>
        <w:spacing w:line="360" w:lineRule="auto"/>
        <w:ind w:firstLine="560" w:firstLineChars="200"/>
        <w:rPr>
          <w:rFonts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依法提出质疑的投标供应商对采购人或采购代理机构的答复不满意、以及采购人或采购代理机构未在规定的时间内做出答复的，可以在答复期满后</w:t>
      </w:r>
      <w:r>
        <w:rPr>
          <w:rFonts w:ascii="宋体" w:hAnsi="宋体" w:eastAsia="宋体"/>
          <w:color w:val="000000" w:themeColor="text1"/>
          <w:sz w:val="28"/>
          <w:szCs w:val="28"/>
          <w14:textFill>
            <w14:solidFill>
              <w14:schemeClr w14:val="tx1"/>
            </w14:solidFill>
          </w14:textFill>
        </w:rPr>
        <w:t>15</w:t>
      </w:r>
      <w:r>
        <w:rPr>
          <w:rFonts w:hint="eastAsia" w:ascii="宋体" w:hAnsi="宋体" w:eastAsia="宋体"/>
          <w:color w:val="000000" w:themeColor="text1"/>
          <w:sz w:val="28"/>
          <w:szCs w:val="28"/>
          <w14:textFill>
            <w14:solidFill>
              <w14:schemeClr w14:val="tx1"/>
            </w14:solidFill>
          </w14:textFill>
        </w:rPr>
        <w:t>个工作日内向财政部门投诉。</w:t>
      </w:r>
    </w:p>
    <w:p w14:paraId="413E828D">
      <w:pPr>
        <w:widowControl/>
        <w:spacing w:line="360" w:lineRule="auto"/>
        <w:ind w:firstLine="4329" w:firstLineChars="154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九、其他</w:t>
      </w:r>
    </w:p>
    <w:p w14:paraId="74EAC7DF">
      <w:pPr>
        <w:widowControl/>
        <w:spacing w:line="360" w:lineRule="auto"/>
        <w:ind w:firstLine="562" w:firstLineChars="20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35. </w:t>
      </w:r>
      <w:r>
        <w:rPr>
          <w:rFonts w:hint="eastAsia" w:ascii="宋体" w:hAnsi="宋体" w:eastAsia="宋体" w:cs="Times New Roman"/>
          <w:color w:val="000000" w:themeColor="text1"/>
          <w:kern w:val="0"/>
          <w:sz w:val="28"/>
          <w:szCs w:val="28"/>
          <w14:textFill>
            <w14:solidFill>
              <w14:schemeClr w14:val="tx1"/>
            </w14:solidFill>
          </w14:textFill>
        </w:rPr>
        <w:t>未尽事宜按国家有关规定执行。</w:t>
      </w:r>
    </w:p>
    <w:p w14:paraId="5DAB220B">
      <w:pPr>
        <w:widowControl/>
        <w:spacing w:line="360" w:lineRule="auto"/>
        <w:ind w:firstLine="548" w:firstLineChars="195"/>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 xml:space="preserve">36. </w:t>
      </w:r>
      <w:r>
        <w:rPr>
          <w:rFonts w:hint="eastAsia" w:ascii="宋体" w:hAnsi="宋体" w:eastAsia="宋体" w:cs="Times New Roman"/>
          <w:color w:val="000000" w:themeColor="text1"/>
          <w:kern w:val="0"/>
          <w:sz w:val="28"/>
          <w:szCs w:val="28"/>
          <w14:textFill>
            <w14:solidFill>
              <w14:schemeClr w14:val="tx1"/>
            </w14:solidFill>
          </w14:textFill>
        </w:rPr>
        <w:t>本招标文件最终解释权归采购人。</w:t>
      </w:r>
    </w:p>
    <w:p w14:paraId="3F57477D">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sectPr>
          <w:footerReference r:id="rId6" w:type="default"/>
          <w:pgSz w:w="11906" w:h="16838"/>
          <w:pgMar w:top="1440" w:right="1800" w:bottom="1440" w:left="1800" w:header="851" w:footer="992" w:gutter="0"/>
          <w:pgNumType w:start="1"/>
          <w:cols w:space="425" w:num="1"/>
          <w:docGrid w:type="lines" w:linePitch="312" w:charSpace="0"/>
        </w:sectPr>
      </w:pPr>
    </w:p>
    <w:p w14:paraId="5895F3D5">
      <w:pPr>
        <w:widowControl/>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Times New Roman"/>
          <w:b/>
          <w:bCs/>
          <w:kern w:val="0"/>
          <w:sz w:val="36"/>
          <w:szCs w:val="36"/>
        </w:rPr>
        <w:t>第三章  采购内容</w:t>
      </w:r>
    </w:p>
    <w:p w14:paraId="04390321">
      <w:pPr>
        <w:spacing w:after="120"/>
        <w:jc w:val="center"/>
        <w:rPr>
          <w:rFonts w:ascii="宋体" w:hAnsi="宋体" w:eastAsia="宋体" w:cs="Times New Roman"/>
          <w:b/>
          <w:bCs/>
          <w:kern w:val="0"/>
          <w:sz w:val="36"/>
          <w:szCs w:val="36"/>
        </w:rPr>
      </w:pPr>
      <w:r>
        <w:rPr>
          <w:rFonts w:hint="eastAsia" w:ascii="宋体" w:hAnsi="宋体" w:eastAsia="宋体" w:cs="Times New Roman"/>
          <w:b/>
          <w:bCs/>
          <w:kern w:val="0"/>
          <w:sz w:val="36"/>
          <w:szCs w:val="36"/>
        </w:rPr>
        <w:t>A包采购</w:t>
      </w:r>
      <w:r>
        <w:rPr>
          <w:rFonts w:ascii="宋体" w:hAnsi="宋体" w:eastAsia="宋体" w:cs="Times New Roman"/>
          <w:b/>
          <w:bCs/>
          <w:kern w:val="0"/>
          <w:sz w:val="36"/>
          <w:szCs w:val="36"/>
        </w:rPr>
        <w:t>清单</w:t>
      </w:r>
    </w:p>
    <w:tbl>
      <w:tblPr>
        <w:tblStyle w:val="89"/>
        <w:tblW w:w="5000" w:type="pct"/>
        <w:tblInd w:w="0" w:type="dxa"/>
        <w:tblLayout w:type="fixed"/>
        <w:tblCellMar>
          <w:top w:w="0" w:type="dxa"/>
          <w:left w:w="108" w:type="dxa"/>
          <w:bottom w:w="0" w:type="dxa"/>
          <w:right w:w="108" w:type="dxa"/>
        </w:tblCellMar>
      </w:tblPr>
      <w:tblGrid>
        <w:gridCol w:w="585"/>
        <w:gridCol w:w="825"/>
        <w:gridCol w:w="7770"/>
        <w:gridCol w:w="885"/>
        <w:gridCol w:w="705"/>
        <w:gridCol w:w="1104"/>
        <w:gridCol w:w="81"/>
        <w:gridCol w:w="787"/>
        <w:gridCol w:w="1432"/>
      </w:tblGrid>
      <w:tr w14:paraId="49BD6021">
        <w:tblPrEx>
          <w:tblCellMar>
            <w:top w:w="0" w:type="dxa"/>
            <w:left w:w="108" w:type="dxa"/>
            <w:bottom w:w="0" w:type="dxa"/>
            <w:right w:w="108" w:type="dxa"/>
          </w:tblCellMar>
        </w:tblPrEx>
        <w:trPr>
          <w:trHeight w:val="1300" w:hRule="atLeast"/>
        </w:trPr>
        <w:tc>
          <w:tcPr>
            <w:tcW w:w="14174" w:type="dxa"/>
            <w:gridSpan w:val="9"/>
            <w:tcBorders>
              <w:top w:val="nil"/>
              <w:left w:val="nil"/>
              <w:bottom w:val="nil"/>
              <w:right w:val="nil"/>
            </w:tcBorders>
            <w:noWrap/>
            <w:vAlign w:val="center"/>
          </w:tcPr>
          <w:p w14:paraId="061B5D19">
            <w:pPr>
              <w:widowControl/>
              <w:jc w:val="center"/>
              <w:textAlignment w:val="center"/>
              <w:rPr>
                <w:rFonts w:ascii="宋体" w:hAnsi="宋体" w:eastAsia="宋体" w:cs="宋体"/>
                <w:b/>
                <w:bCs/>
                <w:color w:val="000000"/>
                <w:sz w:val="24"/>
                <w:szCs w:val="24"/>
              </w:rPr>
            </w:pPr>
            <w:r>
              <w:rPr>
                <w:rFonts w:hint="eastAsia" w:ascii="宋体" w:hAnsi="宋体" w:eastAsia="宋体" w:cs="宋体"/>
                <w:b/>
                <w:bCs/>
                <w:kern w:val="0"/>
                <w:sz w:val="36"/>
                <w:szCs w:val="36"/>
              </w:rPr>
              <w:t>灵宝市高级技工学校灵宝市公共就业创业服务驿站项目A包招标清单</w:t>
            </w:r>
          </w:p>
        </w:tc>
      </w:tr>
      <w:tr w14:paraId="332B94D7">
        <w:tblPrEx>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53A73B">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序号</w:t>
            </w:r>
          </w:p>
        </w:tc>
        <w:tc>
          <w:tcPr>
            <w:tcW w:w="825" w:type="dxa"/>
            <w:tcBorders>
              <w:top w:val="single" w:color="000000" w:sz="4" w:space="0"/>
              <w:left w:val="single" w:color="000000" w:sz="4" w:space="0"/>
              <w:bottom w:val="single" w:color="000000" w:sz="4" w:space="0"/>
              <w:right w:val="single" w:color="000000" w:sz="4" w:space="0"/>
            </w:tcBorders>
            <w:vAlign w:val="center"/>
          </w:tcPr>
          <w:p w14:paraId="12816DAA">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建设内容</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2B2A9306">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参数或者功能</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74362895">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数量</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4C99E71">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单位</w:t>
            </w:r>
          </w:p>
        </w:tc>
        <w:tc>
          <w:tcPr>
            <w:tcW w:w="1104" w:type="dxa"/>
            <w:tcBorders>
              <w:top w:val="single" w:color="000000" w:sz="4" w:space="0"/>
              <w:left w:val="single" w:color="000000" w:sz="4" w:space="0"/>
              <w:bottom w:val="single" w:color="000000" w:sz="4" w:space="0"/>
              <w:right w:val="single" w:color="000000" w:sz="4" w:space="0"/>
            </w:tcBorders>
            <w:noWrap/>
            <w:vAlign w:val="center"/>
          </w:tcPr>
          <w:p w14:paraId="1CFC76E3">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单价</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（元）</w:t>
            </w:r>
          </w:p>
        </w:tc>
        <w:tc>
          <w:tcPr>
            <w:tcW w:w="868" w:type="dxa"/>
            <w:gridSpan w:val="2"/>
            <w:tcBorders>
              <w:top w:val="single" w:color="000000" w:sz="4" w:space="0"/>
              <w:left w:val="single" w:color="000000" w:sz="4" w:space="0"/>
              <w:bottom w:val="single" w:color="000000" w:sz="4" w:space="0"/>
              <w:right w:val="single" w:color="000000" w:sz="4" w:space="0"/>
            </w:tcBorders>
            <w:noWrap/>
            <w:vAlign w:val="center"/>
          </w:tcPr>
          <w:p w14:paraId="151C0B4B">
            <w:pPr>
              <w:widowControl/>
              <w:jc w:val="center"/>
              <w:textAlignment w:val="center"/>
              <w:rPr>
                <w:rFonts w:ascii="Calibri" w:hAnsi="Calibri" w:eastAsia="宋体" w:cs="Times New Roman"/>
                <w:sz w:val="24"/>
                <w:szCs w:val="24"/>
              </w:rPr>
            </w:pPr>
            <w:r>
              <w:rPr>
                <w:rFonts w:hint="eastAsia" w:ascii="宋体" w:hAnsi="宋体" w:eastAsia="宋体" w:cs="宋体"/>
                <w:b/>
                <w:bCs/>
                <w:color w:val="000000"/>
                <w:kern w:val="0"/>
                <w:sz w:val="24"/>
                <w:szCs w:val="24"/>
                <w:lang w:bidi="ar"/>
              </w:rPr>
              <w:t>小计</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（元）</w:t>
            </w: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1C753CD">
            <w:pPr>
              <w:widowControl/>
              <w:jc w:val="center"/>
              <w:textAlignment w:val="center"/>
              <w:rPr>
                <w:rFonts w:ascii="宋体" w:hAnsi="宋体" w:eastAsia="宋体" w:cs="宋体"/>
                <w:b/>
                <w:bCs/>
                <w:color w:val="000000"/>
                <w:sz w:val="24"/>
                <w:szCs w:val="24"/>
              </w:rPr>
            </w:pPr>
            <w:r>
              <w:rPr>
                <w:rFonts w:hint="eastAsia" w:ascii="宋体" w:hAnsi="宋体" w:eastAsia="宋体" w:cs="宋体"/>
                <w:b/>
                <w:bCs/>
                <w:color w:val="000000"/>
                <w:kern w:val="0"/>
                <w:sz w:val="24"/>
                <w:szCs w:val="24"/>
                <w:lang w:bidi="ar"/>
              </w:rPr>
              <w:t>备注</w:t>
            </w:r>
          </w:p>
        </w:tc>
      </w:tr>
      <w:tr w14:paraId="74BD78AE">
        <w:tblPrEx>
          <w:tblCellMar>
            <w:top w:w="0" w:type="dxa"/>
            <w:left w:w="108" w:type="dxa"/>
            <w:bottom w:w="0" w:type="dxa"/>
            <w:right w:w="108" w:type="dxa"/>
          </w:tblCellMar>
        </w:tblPrEx>
        <w:trPr>
          <w:trHeight w:val="467"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3B398A8C">
            <w:pPr>
              <w:widowControl/>
              <w:jc w:val="center"/>
              <w:textAlignment w:val="center"/>
              <w:rPr>
                <w:rFonts w:ascii="宋体" w:hAnsi="宋体" w:eastAsia="宋体" w:cs="宋体"/>
                <w:b/>
                <w:bCs/>
                <w:color w:val="FF0000"/>
                <w:sz w:val="24"/>
                <w:szCs w:val="24"/>
              </w:rPr>
            </w:pPr>
            <w:r>
              <w:rPr>
                <w:rFonts w:hint="eastAsia" w:ascii="宋体" w:hAnsi="宋体" w:eastAsia="宋体" w:cs="宋体"/>
                <w:b/>
                <w:bCs/>
                <w:color w:val="FF0000"/>
                <w:kern w:val="0"/>
                <w:sz w:val="24"/>
                <w:szCs w:val="24"/>
                <w:lang w:bidi="ar"/>
              </w:rPr>
              <w:t>驿站接待大厅</w:t>
            </w:r>
          </w:p>
        </w:tc>
      </w:tr>
      <w:tr w14:paraId="524252D0">
        <w:tblPrEx>
          <w:tblCellMar>
            <w:top w:w="0" w:type="dxa"/>
            <w:left w:w="108" w:type="dxa"/>
            <w:bottom w:w="0" w:type="dxa"/>
            <w:right w:w="108" w:type="dxa"/>
          </w:tblCellMar>
        </w:tblPrEx>
        <w:trPr>
          <w:trHeight w:val="15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623B4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04D291A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办公桌椅</w:t>
            </w:r>
          </w:p>
        </w:tc>
        <w:tc>
          <w:tcPr>
            <w:tcW w:w="7770" w:type="dxa"/>
            <w:tcBorders>
              <w:top w:val="single" w:color="000000" w:sz="4" w:space="0"/>
              <w:left w:val="single" w:color="000000" w:sz="4" w:space="0"/>
              <w:bottom w:val="single" w:color="000000" w:sz="4" w:space="0"/>
              <w:right w:val="single" w:color="000000" w:sz="4" w:space="0"/>
            </w:tcBorders>
            <w:vAlign w:val="center"/>
          </w:tcPr>
          <w:p w14:paraId="081BD01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办公桌设计体现工业风格,长度、宽度和高度需根据办公空间大小和使用需求进行定制；座椅符合人体工程学原理；桌面强度满足日常使用需求；桌面与桌腿的连接应采用螺丝连接或焊接连接，确保结构牢固且易于维修；办公桌具备一定的储物空间；应配备电线管理槽或孔洞，确保电线整齐有序；所有材料符合国家环保标准，具备良好的耐用性和稳定性；</w:t>
            </w:r>
          </w:p>
        </w:tc>
        <w:tc>
          <w:tcPr>
            <w:tcW w:w="885" w:type="dxa"/>
            <w:tcBorders>
              <w:top w:val="single" w:color="000000" w:sz="4" w:space="0"/>
              <w:left w:val="single" w:color="000000" w:sz="4" w:space="0"/>
              <w:bottom w:val="single" w:color="000000" w:sz="4" w:space="0"/>
              <w:right w:val="single" w:color="000000" w:sz="4" w:space="0"/>
            </w:tcBorders>
            <w:vAlign w:val="center"/>
          </w:tcPr>
          <w:p w14:paraId="502C7BF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35A94B6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940C354">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9B50C6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853B299">
            <w:pPr>
              <w:jc w:val="center"/>
              <w:rPr>
                <w:rFonts w:ascii="宋体" w:hAnsi="宋体" w:eastAsia="宋体" w:cs="宋体"/>
                <w:color w:val="000000"/>
                <w:sz w:val="24"/>
                <w:szCs w:val="24"/>
              </w:rPr>
            </w:pPr>
          </w:p>
        </w:tc>
      </w:tr>
      <w:tr w14:paraId="3B7E03E6">
        <w:tblPrEx>
          <w:tblCellMar>
            <w:top w:w="0" w:type="dxa"/>
            <w:left w:w="108" w:type="dxa"/>
            <w:bottom w:w="0" w:type="dxa"/>
            <w:right w:w="108" w:type="dxa"/>
          </w:tblCellMar>
        </w:tblPrEx>
        <w:trPr>
          <w:trHeight w:val="14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3E7D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825" w:type="dxa"/>
            <w:tcBorders>
              <w:top w:val="single" w:color="000000" w:sz="4" w:space="0"/>
              <w:left w:val="single" w:color="000000" w:sz="4" w:space="0"/>
              <w:bottom w:val="single" w:color="000000" w:sz="4" w:space="0"/>
              <w:right w:val="single" w:color="000000" w:sz="4" w:space="0"/>
            </w:tcBorders>
            <w:vAlign w:val="center"/>
          </w:tcPr>
          <w:p w14:paraId="004FF0A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空调</w:t>
            </w:r>
          </w:p>
        </w:tc>
        <w:tc>
          <w:tcPr>
            <w:tcW w:w="7770" w:type="dxa"/>
            <w:tcBorders>
              <w:top w:val="single" w:color="000000" w:sz="4" w:space="0"/>
              <w:left w:val="single" w:color="000000" w:sz="4" w:space="0"/>
              <w:bottom w:val="single" w:color="000000" w:sz="4" w:space="0"/>
              <w:right w:val="single" w:color="000000" w:sz="4" w:space="0"/>
            </w:tcBorders>
            <w:vAlign w:val="center"/>
          </w:tcPr>
          <w:p w14:paraId="7BC7978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3P立式空调；制冷量：≥7200W；制热量：≥7800W；能效比：≥3.0；制冷功率：≤2350W，制热功率≤2500W；循环风量：≥1100m³/h；包含除湿功能、自动清洁、智能控制功能</w:t>
            </w:r>
          </w:p>
        </w:tc>
        <w:tc>
          <w:tcPr>
            <w:tcW w:w="885" w:type="dxa"/>
            <w:tcBorders>
              <w:top w:val="single" w:color="000000" w:sz="4" w:space="0"/>
              <w:left w:val="single" w:color="000000" w:sz="4" w:space="0"/>
              <w:bottom w:val="single" w:color="000000" w:sz="4" w:space="0"/>
              <w:right w:val="single" w:color="000000" w:sz="4" w:space="0"/>
            </w:tcBorders>
            <w:vAlign w:val="center"/>
          </w:tcPr>
          <w:p w14:paraId="7546238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w:t>
            </w:r>
          </w:p>
        </w:tc>
        <w:tc>
          <w:tcPr>
            <w:tcW w:w="705" w:type="dxa"/>
            <w:tcBorders>
              <w:top w:val="single" w:color="000000" w:sz="4" w:space="0"/>
              <w:left w:val="single" w:color="000000" w:sz="4" w:space="0"/>
              <w:bottom w:val="single" w:color="000000" w:sz="4" w:space="0"/>
              <w:right w:val="single" w:color="000000" w:sz="4" w:space="0"/>
            </w:tcBorders>
            <w:vAlign w:val="center"/>
          </w:tcPr>
          <w:p w14:paraId="534866B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B9F15C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944E4E">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977AC45">
            <w:pPr>
              <w:jc w:val="center"/>
              <w:rPr>
                <w:rFonts w:ascii="宋体" w:hAnsi="宋体" w:eastAsia="宋体" w:cs="宋体"/>
                <w:color w:val="000000"/>
                <w:sz w:val="24"/>
                <w:szCs w:val="24"/>
              </w:rPr>
            </w:pPr>
          </w:p>
        </w:tc>
      </w:tr>
      <w:tr w14:paraId="1B8C418D">
        <w:tblPrEx>
          <w:tblCellMar>
            <w:top w:w="0" w:type="dxa"/>
            <w:left w:w="108" w:type="dxa"/>
            <w:bottom w:w="0" w:type="dxa"/>
            <w:right w:w="108" w:type="dxa"/>
          </w:tblCellMar>
        </w:tblPrEx>
        <w:trPr>
          <w:trHeight w:val="8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A8B46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825" w:type="dxa"/>
            <w:tcBorders>
              <w:top w:val="single" w:color="000000" w:sz="4" w:space="0"/>
              <w:left w:val="single" w:color="000000" w:sz="4" w:space="0"/>
              <w:bottom w:val="single" w:color="000000" w:sz="4" w:space="0"/>
              <w:right w:val="single" w:color="000000" w:sz="4" w:space="0"/>
            </w:tcBorders>
            <w:vAlign w:val="center"/>
          </w:tcPr>
          <w:p w14:paraId="1DA077F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就业服务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电子屏</w:t>
            </w:r>
          </w:p>
        </w:tc>
        <w:tc>
          <w:tcPr>
            <w:tcW w:w="7770" w:type="dxa"/>
            <w:tcBorders>
              <w:top w:val="single" w:color="000000" w:sz="4" w:space="0"/>
              <w:left w:val="single" w:color="000000" w:sz="4" w:space="0"/>
              <w:bottom w:val="single" w:color="000000" w:sz="4" w:space="0"/>
              <w:right w:val="single" w:color="000000" w:sz="4" w:space="0"/>
            </w:tcBorders>
            <w:vAlign w:val="center"/>
          </w:tcPr>
          <w:p w14:paraId="098E8519">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1.像素间距：≤3.076mm；模组尺寸：320*160,；屏幕像素密度≥105625点/m2 ；（需提供经中国合格评定国家认可委员会和中国计量认证认可的第三方检测机构的检测报告）</w:t>
            </w:r>
          </w:p>
          <w:p w14:paraId="0AF2FB84">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2.表面结构：LED 显示屏模组表面结构采用戴面罩设计，不反射环境光，安装有防眩光黑色面罩；（需提供经中国合格评定国家认可委员会和中国计量认证认可的第三方检测机构的检测报告）</w:t>
            </w:r>
          </w:p>
          <w:p w14:paraId="697E216C">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3.为了保证色彩一致性，发光点RGB芯片主基色波长偏差≤±3nm；（需提供经中国合格评定国家认可委员会和中国计量认证认可的第三方检测机构的检测报告）</w:t>
            </w:r>
          </w:p>
          <w:p w14:paraId="57FC2577">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4.功率：要求LED显示屏峰值功耗≤820W/㎡，平均功耗≤300W/㎡（需提供经中国合格评定国家认可委员会和中国计量认证认可的第三方检测机构的检测报告）</w:t>
            </w:r>
          </w:p>
          <w:p w14:paraId="42BDC06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5.驱动方式：恒流驱动；（需提供经中国合格评定国家认可委员会和中国计量认证认可的第三方检测机构的检测报告）</w:t>
            </w:r>
          </w:p>
          <w:p w14:paraId="2A3DCF2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6.控制方式：同步/异步，点对点控制；（需提供经中国合格评定国家认可委员会和中国计量认证认可的第三方检测机构的检测报告）</w:t>
            </w:r>
          </w:p>
          <w:p w14:paraId="755ED8DE">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7.传输方式：光纤、网线、无线；（需提供经中国合格评定国家认可委员会和中国计量认证认可的第三方检测机构的检测报告）</w:t>
            </w:r>
          </w:p>
          <w:p w14:paraId="138572B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8.对比度：≥5500: 1（需提供经中国合格评定国家认可委员会和中国计量认证认可的第三方检测机构的检测报告）</w:t>
            </w:r>
          </w:p>
          <w:p w14:paraId="317ABA4E">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9.可视角度（水平/垂直）：≥145°/ 145°；（需提供经中国合格评定国家认可委员会和中国计量认证认可的第三方检测机构的检测报告）</w:t>
            </w:r>
          </w:p>
          <w:p w14:paraId="3141D9D2">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10.灰度等级：14Bit; （需提供经中国合格评定国家认可委员会和中国计量认证认可的第三方检测机构的检测报告）</w:t>
            </w:r>
          </w:p>
          <w:p w14:paraId="4FAE7017">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11.刷新率（Hz）：≥3840Hz；换帧频率：30Hz-60HZ（需提供经中国合格评定国家认可委员会和中国计量认证认可的第三方检测机构的检测报告）</w:t>
            </w:r>
          </w:p>
          <w:p w14:paraId="069F4FAA">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12.色温范围：范围3200K-9300K，支持范围内调节；（需提供经中国合格评定国家认可委员会和中国计量认证认可的第三方检测机构的检测报告）</w:t>
            </w:r>
          </w:p>
          <w:p w14:paraId="6ACCE142">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13.亮度：产品亮度：500-8000cd/㎡可调，（需提供经中国合格评定国家认可委员会和中国计量认证认可的第三方检测机构的检测报告）</w:t>
            </w:r>
          </w:p>
          <w:p w14:paraId="44D1A75D">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14.亮度色度均匀性：校正前≥95%，校正后≥98%；（需提供经中国合格评定国家认可委员会和中国计量认证认可的第三方检测机构的检测报告）</w:t>
            </w:r>
          </w:p>
          <w:p w14:paraId="0D5BC5D6">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15.像素失控率：≤1/100000；出厂时为零。（需提供经中国合格评定国家认可委员会和中国计量认证认可的第三方检测机构的检测报告）</w:t>
            </w:r>
          </w:p>
          <w:p w14:paraId="2446665A">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16.低亮高灰：支持软件实现不同亮度情况下，灰度8-16bit任意设置0-100%亮度时，8-16bit任意灰度设置；（需提供经中国合格评定国家认可委员会和中国计量认证认可的第三方检测机构的检测报告）</w:t>
            </w:r>
          </w:p>
          <w:p w14:paraId="141284D9">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17.电源平均效率：常温下，供电电源的功率因素不小于90%，转换率不小于70%，（需提供经中国合格评定国家认可委员会和中国计量认证认可的第三方检测机构的检测报告）</w:t>
            </w:r>
          </w:p>
          <w:p w14:paraId="725BA782">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18.平均失效工作时间：LED示屏的平均失效间隔工作时间MTBF不低于5500h；（需提供经中国合格评定国家认可委员会和中国计量认证认可的第三方检测机构的检测报告）</w:t>
            </w:r>
          </w:p>
          <w:p w14:paraId="34B1355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19.平均修复时间（mttr)：单元部件均可在5分钟内完成替换维修；（需提供经中国合格评定国家认可委员会和中国计量认证认可的第三方检测机构的检测报告）</w:t>
            </w:r>
          </w:p>
          <w:p w14:paraId="38E21ED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20.使用寿命：≥100000h；（需提供经中国合格评定国家认可委员会和中国计量认证认可的第三方检测机构的检测报告）</w:t>
            </w:r>
          </w:p>
          <w:p w14:paraId="7E1AEE69">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21.连续工作：正常环境下，连续工作时间：≥7×24hrs，支持连续不间断显示，不出现电、机械或操作系统故障；（需提供经中国合格评定国家认可委员会和中国计量认证认可的第三方检测机构的检测报告）</w:t>
            </w:r>
          </w:p>
          <w:p w14:paraId="66E3CDC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22.外壳防护等级：依据GB/T 4208-2017规定，IP67；（需提供经中国合格评定国家认可委员会和中国计量认证认可的第三方检测机构的检测报告）</w:t>
            </w:r>
          </w:p>
          <w:p w14:paraId="3F2B2601">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23.维护方式：前维护/后维护；（需提供经中国合格评定国家认可委员会和中国计量认证认可的第三方检测机构的检测报告）</w:t>
            </w:r>
          </w:p>
          <w:p w14:paraId="3272963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24.工作湿度：LED显示屏最高工作环境温度下，相对湿度87%-93%，通电8h.通电显示无异常、无起泡，掉色等现象，功能和外观检测无异常；（需提供经中国合格评定国家认可委员会和中国计量认证认可的第三方检测机构的检测报告）</w:t>
            </w:r>
          </w:p>
          <w:p w14:paraId="7C25C73C">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25.工作环境温度：—20°～+50°；（需提供经中国合格评定国家认可委员会和中国计量认证认可的第三方检测机构的检测报告）</w:t>
            </w:r>
          </w:p>
          <w:p w14:paraId="0923852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26.灯珠附着力测试：用2块灯板做对比测试，提供测试照片给LED灯珠施加侧向推力，测试灯珠在一定的侧向推力的情况是否会从PCB板上脱落，或者灯珠壳破损，具备6KG的侧向推力，测试结果优于普通SMD工艺三倍。（需提供经中国合格评定国家认可委员会和中国计量认证认可的第三方检测机构的检测报告）</w:t>
            </w:r>
          </w:p>
          <w:p w14:paraId="25639E1B">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27.自检功能：LED单点自检，通讯检测，电源检测，温度监控；（需提供经中国合格评定国家认可委员会和中国计量认证认可的第三方检测机构的检测报告）</w:t>
            </w:r>
          </w:p>
          <w:p w14:paraId="2AD96DC0">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28.防蓝光：光生物安全及蓝光危害评估检测为无危害类; （需提供经中国合格评定国家认可委员会和中国计量认证认可的第三方检测机构的检测报告）</w:t>
            </w:r>
          </w:p>
          <w:p w14:paraId="23F87CA5">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29.消影功能：正常工作时具备消除鬼影（行消影），消除“毛毛虫”（列 消影），消除“十”字架和列常亮，消除第一扫偏暗，消除低灰横条纹；（需提供经中国合格评定国家认可委员会和中国计量认证认可的第三方检测机构的检测报告）</w:t>
            </w:r>
          </w:p>
          <w:p w14:paraId="793F6FE6">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30.为保证屏幕可靠性，要求LED显示屏PCB板需符合阻燃等级V-0级；对地漏电流不大于5mA/m²（有效值）；（需提供经中国合格评定国家认可委员会和中国计量认证认可的第三方检测机构的检测报告）</w:t>
            </w:r>
          </w:p>
          <w:p w14:paraId="2B46F7E2">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31.防火安全：符合GB/T 2408-2008,GB/T 5169.16-2008的标准要求，符合GB 8624-2012建筑材料及制品燃烧性能分级的B1(B)等级；（需提供经中国合格评定国家认可委员会和中国计量认证认可的第三方检测机构的检测报告）</w:t>
            </w:r>
          </w:p>
          <w:p w14:paraId="71A05BCB">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32.抗风能力：诱导标志结构稳定，承受由40m/s的风速产生的风压后，不影响标志板的使用性能，由此产生的永久几何变形量不大于2mm；（需提供经中国合格评定国家认可委员会和中国计量认证认可的第三方检测机构的检测报告）</w:t>
            </w:r>
          </w:p>
          <w:p w14:paraId="40A03EEC">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33.电源插头或电源引入端与外壳裸露金属部件之间，能承受1.5KV交流电源，历时1min的抗电强度试验，无击穿和飞弧现象（需提供经中国合格评定国家认可委员会和中国计量认证认可的第三方检测机构的检测报告）</w:t>
            </w:r>
          </w:p>
          <w:p w14:paraId="0615F43F">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34.盐雾测试：将处于非正常工作状态的试样放置在盐雾试验箱内，试验箱内温度为35℃±2℃，盐雾溶液质量百分比浓度为5%±0.1%，盐雾沉降量为1.0ml/h.80cm’~2.0ml/h.80cm’,在168h内每隔45min喷雾15min进行实验。试验后，试样功能应正常，应无被腐蚀的现象，符合盐雾10级要求；（需提供经中国合格评定国家认可委员会和中国计量认证认可的第三方检测机构的检测报告）</w:t>
            </w:r>
          </w:p>
          <w:p w14:paraId="28F63278">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35. 为保证货物的运输稳定性需通过震动试验：在振动频率5Hz-55Hz-Hz，振幅0.9mm的条件下，一次扫描5min，互相垂直的二个轴各扫描二次，试验后外观无划痕，模组安装无松动破裂；同时运输试验需符合GB/T 658-2012 定的三级流通条件进行的测试；  （需提供经中国合格评定国家认可委员会和中国计量认证认可的第三方检测机构的检测报告）</w:t>
            </w:r>
          </w:p>
          <w:p w14:paraId="45594B4E">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36. LED表面具备浸水防水，液体水泼洒到LED表面不会对显示产生影响，IPX7级防水；   （需提供经中国合格评定国家认可委员会和中国计量认证认可的第三方检测机构的检测报告）</w:t>
            </w:r>
          </w:p>
          <w:p w14:paraId="68591640">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37.安全性：具备防数据传输泄密，防信号远程泄密，防电力远程泄密，符合GB 4943.1-2011 信息技术设备安全第1部分通用要求；   （需提供经中国合格评定国家认可委员会和中国计量认证认可的第三方检测机构的检测报告）</w:t>
            </w:r>
          </w:p>
          <w:p w14:paraId="22FCED43">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 xml:space="preserve">38.所投屏体须通过CCC强制认证，提供证书复印件加盖原厂公章。                                          </w:t>
            </w:r>
          </w:p>
          <w:p w14:paraId="5CF5A9CE">
            <w:pPr>
              <w:widowControl/>
              <w:jc w:val="left"/>
              <w:textAlignment w:val="center"/>
              <w:rPr>
                <w:rFonts w:ascii="宋体" w:hAnsi="宋体" w:eastAsia="宋体" w:cs="宋体"/>
                <w:color w:val="000000"/>
                <w:sz w:val="24"/>
                <w:szCs w:val="24"/>
              </w:rPr>
            </w:pPr>
            <w:r>
              <w:rPr>
                <w:rFonts w:hint="eastAsia" w:ascii="宋体" w:hAnsi="宋体" w:eastAsia="宋体" w:cs="宋体"/>
                <w:color w:val="000000"/>
                <w:sz w:val="24"/>
                <w:szCs w:val="24"/>
              </w:rPr>
              <w:t xml:space="preserve">以上1~37项技术参数须提供具有CNAS认证、CMA认证或者ilac-MRA认证的第三方权威检测机构出具的检验报告复印件加盖鲜章 </w:t>
            </w:r>
          </w:p>
        </w:tc>
        <w:tc>
          <w:tcPr>
            <w:tcW w:w="885" w:type="dxa"/>
            <w:tcBorders>
              <w:top w:val="single" w:color="000000" w:sz="4" w:space="0"/>
              <w:left w:val="single" w:color="000000" w:sz="4" w:space="0"/>
              <w:bottom w:val="single" w:color="000000" w:sz="4" w:space="0"/>
              <w:right w:val="single" w:color="000000" w:sz="4" w:space="0"/>
            </w:tcBorders>
            <w:vAlign w:val="center"/>
          </w:tcPr>
          <w:p w14:paraId="28E61A6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16</w:t>
            </w:r>
          </w:p>
        </w:tc>
        <w:tc>
          <w:tcPr>
            <w:tcW w:w="705" w:type="dxa"/>
            <w:tcBorders>
              <w:top w:val="single" w:color="000000" w:sz="4" w:space="0"/>
              <w:left w:val="single" w:color="000000" w:sz="4" w:space="0"/>
              <w:bottom w:val="single" w:color="000000" w:sz="4" w:space="0"/>
              <w:right w:val="single" w:color="000000" w:sz="4" w:space="0"/>
            </w:tcBorders>
            <w:vAlign w:val="center"/>
          </w:tcPr>
          <w:p w14:paraId="7DA69D5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平方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265B47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787332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DBB7501">
            <w:pPr>
              <w:jc w:val="center"/>
              <w:rPr>
                <w:rFonts w:ascii="宋体" w:hAnsi="宋体" w:eastAsia="宋体" w:cs="宋体"/>
                <w:color w:val="000000"/>
                <w:sz w:val="24"/>
                <w:szCs w:val="24"/>
              </w:rPr>
            </w:pPr>
          </w:p>
        </w:tc>
      </w:tr>
      <w:tr w14:paraId="6B163431">
        <w:tblPrEx>
          <w:tblCellMar>
            <w:top w:w="0" w:type="dxa"/>
            <w:left w:w="108" w:type="dxa"/>
            <w:bottom w:w="0" w:type="dxa"/>
            <w:right w:w="108"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0E395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825" w:type="dxa"/>
            <w:tcBorders>
              <w:top w:val="single" w:color="000000" w:sz="4" w:space="0"/>
              <w:left w:val="single" w:color="000000" w:sz="4" w:space="0"/>
              <w:bottom w:val="single" w:color="000000" w:sz="4" w:space="0"/>
              <w:right w:val="single" w:color="000000" w:sz="4" w:space="0"/>
            </w:tcBorders>
            <w:vAlign w:val="center"/>
          </w:tcPr>
          <w:p w14:paraId="08CAF0A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服务柜台</w:t>
            </w:r>
          </w:p>
        </w:tc>
        <w:tc>
          <w:tcPr>
            <w:tcW w:w="7770" w:type="dxa"/>
            <w:tcBorders>
              <w:top w:val="single" w:color="000000" w:sz="4" w:space="0"/>
              <w:left w:val="single" w:color="000000" w:sz="4" w:space="0"/>
              <w:bottom w:val="single" w:color="000000" w:sz="4" w:space="0"/>
              <w:right w:val="single" w:color="000000" w:sz="4" w:space="0"/>
            </w:tcBorders>
            <w:vAlign w:val="center"/>
          </w:tcPr>
          <w:p w14:paraId="1B67343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符合工业风格，色彩搭配需与整体环境相协调；采用环保材料制造，材质坚固耐用，确保柜台的结构稳定性和使用寿命；长度、宽度和高度需根据办公空间大小和使用需求进行定制；应配备电线管理槽或孔洞，确保电线整齐有序；</w:t>
            </w:r>
          </w:p>
        </w:tc>
        <w:tc>
          <w:tcPr>
            <w:tcW w:w="885" w:type="dxa"/>
            <w:tcBorders>
              <w:top w:val="single" w:color="000000" w:sz="4" w:space="0"/>
              <w:left w:val="single" w:color="000000" w:sz="4" w:space="0"/>
              <w:bottom w:val="single" w:color="000000" w:sz="4" w:space="0"/>
              <w:right w:val="single" w:color="000000" w:sz="4" w:space="0"/>
            </w:tcBorders>
            <w:vAlign w:val="center"/>
          </w:tcPr>
          <w:p w14:paraId="055DCEA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5CAAB27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65FB67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610CF3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0EA6921">
            <w:pPr>
              <w:jc w:val="center"/>
              <w:rPr>
                <w:rFonts w:ascii="宋体" w:hAnsi="宋体" w:eastAsia="宋体" w:cs="宋体"/>
                <w:color w:val="000000"/>
                <w:sz w:val="24"/>
                <w:szCs w:val="24"/>
              </w:rPr>
            </w:pPr>
          </w:p>
        </w:tc>
      </w:tr>
      <w:tr w14:paraId="1A610AC9">
        <w:tc>
          <w:tcPr>
            <w:tcW w:w="585" w:type="dxa"/>
            <w:tcBorders>
              <w:top w:val="single" w:color="000000" w:sz="4" w:space="0"/>
              <w:left w:val="single" w:color="000000" w:sz="4" w:space="0"/>
              <w:bottom w:val="single" w:color="000000" w:sz="4" w:space="0"/>
              <w:right w:val="single" w:color="000000" w:sz="4" w:space="0"/>
            </w:tcBorders>
            <w:noWrap/>
            <w:vAlign w:val="center"/>
          </w:tcPr>
          <w:p w14:paraId="50ED32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825" w:type="dxa"/>
            <w:tcBorders>
              <w:top w:val="single" w:color="000000" w:sz="4" w:space="0"/>
              <w:left w:val="single" w:color="000000" w:sz="4" w:space="0"/>
              <w:bottom w:val="single" w:color="000000" w:sz="4" w:space="0"/>
              <w:right w:val="single" w:color="000000" w:sz="4" w:space="0"/>
            </w:tcBorders>
            <w:vAlign w:val="center"/>
          </w:tcPr>
          <w:p w14:paraId="7DDD732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复印打印机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3BB21BD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黑白激光多功能一体机，打印复印扫描三合一；打印速度：25页/分钟；自动双面打印；1200dpi高清打印；支持蓝牙连接、云打印；支持多种设备共享；</w:t>
            </w:r>
          </w:p>
        </w:tc>
        <w:tc>
          <w:tcPr>
            <w:tcW w:w="885" w:type="dxa"/>
            <w:tcBorders>
              <w:top w:val="single" w:color="000000" w:sz="4" w:space="0"/>
              <w:left w:val="single" w:color="000000" w:sz="4" w:space="0"/>
              <w:bottom w:val="single" w:color="000000" w:sz="4" w:space="0"/>
              <w:right w:val="single" w:color="000000" w:sz="4" w:space="0"/>
            </w:tcBorders>
            <w:vAlign w:val="center"/>
          </w:tcPr>
          <w:p w14:paraId="2A434C1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59DC724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A0222DC">
            <w:pPr>
              <w:widowControl/>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BF06C9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CA158D2">
            <w:pPr>
              <w:jc w:val="center"/>
              <w:rPr>
                <w:rFonts w:ascii="宋体" w:hAnsi="宋体" w:eastAsia="宋体" w:cs="宋体"/>
                <w:color w:val="000000"/>
                <w:sz w:val="24"/>
                <w:szCs w:val="24"/>
              </w:rPr>
            </w:pPr>
          </w:p>
        </w:tc>
      </w:tr>
      <w:tr w14:paraId="2B346836">
        <w:tblPrEx>
          <w:tblCellMar>
            <w:top w:w="0" w:type="dxa"/>
            <w:left w:w="108" w:type="dxa"/>
            <w:bottom w:w="0" w:type="dxa"/>
            <w:right w:w="108" w:type="dxa"/>
          </w:tblCellMar>
        </w:tblPrEx>
        <w:trPr>
          <w:trHeight w:val="9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3D8B9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825" w:type="dxa"/>
            <w:tcBorders>
              <w:top w:val="single" w:color="000000" w:sz="4" w:space="0"/>
              <w:left w:val="single" w:color="000000" w:sz="4" w:space="0"/>
              <w:bottom w:val="single" w:color="000000" w:sz="4" w:space="0"/>
              <w:right w:val="single" w:color="000000" w:sz="4" w:space="0"/>
            </w:tcBorders>
            <w:vAlign w:val="center"/>
          </w:tcPr>
          <w:p w14:paraId="10B7CEA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电话</w:t>
            </w:r>
          </w:p>
        </w:tc>
        <w:tc>
          <w:tcPr>
            <w:tcW w:w="7770" w:type="dxa"/>
            <w:tcBorders>
              <w:top w:val="single" w:color="000000" w:sz="4" w:space="0"/>
              <w:left w:val="single" w:color="000000" w:sz="4" w:space="0"/>
              <w:bottom w:val="single" w:color="000000" w:sz="4" w:space="0"/>
              <w:right w:val="single" w:color="000000" w:sz="4" w:space="0"/>
            </w:tcBorders>
            <w:vAlign w:val="center"/>
          </w:tcPr>
          <w:p w14:paraId="1D498FA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有绳电话座机，通话清晰，内置高清通话芯片；支持拓展分机，适用于分机、转接机、传真机；50组来电记存储；15组去电存储；</w:t>
            </w:r>
          </w:p>
        </w:tc>
        <w:tc>
          <w:tcPr>
            <w:tcW w:w="885" w:type="dxa"/>
            <w:tcBorders>
              <w:top w:val="single" w:color="000000" w:sz="4" w:space="0"/>
              <w:left w:val="single" w:color="000000" w:sz="4" w:space="0"/>
              <w:bottom w:val="single" w:color="000000" w:sz="4" w:space="0"/>
              <w:right w:val="single" w:color="000000" w:sz="4" w:space="0"/>
            </w:tcBorders>
            <w:vAlign w:val="center"/>
          </w:tcPr>
          <w:p w14:paraId="375A60E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2D2BC38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部</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69C5D5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485CFE2">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39D239F">
            <w:pPr>
              <w:jc w:val="center"/>
              <w:rPr>
                <w:rFonts w:ascii="宋体" w:hAnsi="宋体" w:eastAsia="宋体" w:cs="宋体"/>
                <w:color w:val="000000"/>
                <w:sz w:val="24"/>
                <w:szCs w:val="24"/>
              </w:rPr>
            </w:pPr>
          </w:p>
        </w:tc>
      </w:tr>
      <w:tr w14:paraId="0931F41B">
        <w:tblPrEx>
          <w:tblCellMar>
            <w:top w:w="0" w:type="dxa"/>
            <w:left w:w="108" w:type="dxa"/>
            <w:bottom w:w="0" w:type="dxa"/>
            <w:right w:w="108"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010CE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825" w:type="dxa"/>
            <w:tcBorders>
              <w:top w:val="single" w:color="000000" w:sz="4" w:space="0"/>
              <w:left w:val="single" w:color="000000" w:sz="4" w:space="0"/>
              <w:bottom w:val="single" w:color="000000" w:sz="4" w:space="0"/>
              <w:right w:val="single" w:color="000000" w:sz="4" w:space="0"/>
            </w:tcBorders>
            <w:vAlign w:val="center"/>
          </w:tcPr>
          <w:p w14:paraId="05EF3DD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照明灯具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155D7BC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LED线条灯，对所有工位工作照明进行布局</w:t>
            </w:r>
          </w:p>
        </w:tc>
        <w:tc>
          <w:tcPr>
            <w:tcW w:w="885" w:type="dxa"/>
            <w:tcBorders>
              <w:top w:val="single" w:color="000000" w:sz="4" w:space="0"/>
              <w:left w:val="single" w:color="000000" w:sz="4" w:space="0"/>
              <w:bottom w:val="single" w:color="000000" w:sz="4" w:space="0"/>
              <w:right w:val="single" w:color="000000" w:sz="4" w:space="0"/>
            </w:tcBorders>
            <w:vAlign w:val="center"/>
          </w:tcPr>
          <w:p w14:paraId="16E6F6C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3B626D0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DF658DE">
            <w:pPr>
              <w:widowControl/>
              <w:textAlignment w:val="center"/>
              <w:rPr>
                <w:rFonts w:ascii="宋体" w:hAnsi="宋体" w:eastAsia="宋体" w:cs="宋体"/>
                <w:color w:val="000000"/>
                <w:kern w:val="0"/>
                <w:sz w:val="24"/>
                <w:szCs w:val="24"/>
                <w:lang w:bidi="ar"/>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11A884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2FCFF81">
            <w:pPr>
              <w:jc w:val="center"/>
              <w:rPr>
                <w:rFonts w:ascii="宋体" w:hAnsi="宋体" w:eastAsia="宋体" w:cs="宋体"/>
                <w:color w:val="000000"/>
                <w:sz w:val="24"/>
                <w:szCs w:val="24"/>
              </w:rPr>
            </w:pPr>
          </w:p>
        </w:tc>
      </w:tr>
      <w:tr w14:paraId="3125D300">
        <w:tblPrEx>
          <w:tblCellMar>
            <w:top w:w="0" w:type="dxa"/>
            <w:left w:w="108" w:type="dxa"/>
            <w:bottom w:w="0" w:type="dxa"/>
            <w:right w:w="108" w:type="dxa"/>
          </w:tblCellMar>
        </w:tblPrEx>
        <w:trPr>
          <w:trHeight w:val="83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494153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825" w:type="dxa"/>
            <w:tcBorders>
              <w:top w:val="single" w:color="000000" w:sz="4" w:space="0"/>
              <w:left w:val="single" w:color="000000" w:sz="4" w:space="0"/>
              <w:bottom w:val="single" w:color="000000" w:sz="4" w:space="0"/>
              <w:right w:val="single" w:color="000000" w:sz="4" w:space="0"/>
            </w:tcBorders>
            <w:vAlign w:val="center"/>
          </w:tcPr>
          <w:p w14:paraId="77E818B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文件柜子</w:t>
            </w:r>
          </w:p>
        </w:tc>
        <w:tc>
          <w:tcPr>
            <w:tcW w:w="7770" w:type="dxa"/>
            <w:tcBorders>
              <w:top w:val="single" w:color="000000" w:sz="4" w:space="0"/>
              <w:left w:val="single" w:color="000000" w:sz="4" w:space="0"/>
              <w:bottom w:val="single" w:color="000000" w:sz="4" w:space="0"/>
              <w:right w:val="single" w:color="000000" w:sz="4" w:space="0"/>
            </w:tcBorders>
            <w:vAlign w:val="center"/>
          </w:tcPr>
          <w:p w14:paraId="73DF868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玻璃周围有铝合金包边带玻璃门，板材25mm和16mm结合桌面基材采用高密度三聚氰胺饰面实木颗粒板材，要求板面光滑平整，防划伤、高强耐磨，集中耐高温200℃,板材截面用优质同色PVC封边，厚度1.0mm。层板，物品分层展示。柜门做低。四层空格。</w:t>
            </w:r>
          </w:p>
        </w:tc>
        <w:tc>
          <w:tcPr>
            <w:tcW w:w="885" w:type="dxa"/>
            <w:tcBorders>
              <w:top w:val="single" w:color="000000" w:sz="4" w:space="0"/>
              <w:left w:val="single" w:color="000000" w:sz="4" w:space="0"/>
              <w:bottom w:val="single" w:color="000000" w:sz="4" w:space="0"/>
              <w:right w:val="single" w:color="000000" w:sz="4" w:space="0"/>
            </w:tcBorders>
            <w:vAlign w:val="center"/>
          </w:tcPr>
          <w:p w14:paraId="396B55F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30</w:t>
            </w:r>
          </w:p>
        </w:tc>
        <w:tc>
          <w:tcPr>
            <w:tcW w:w="705" w:type="dxa"/>
            <w:tcBorders>
              <w:top w:val="single" w:color="000000" w:sz="4" w:space="0"/>
              <w:left w:val="single" w:color="000000" w:sz="4" w:space="0"/>
              <w:bottom w:val="single" w:color="000000" w:sz="4" w:space="0"/>
              <w:right w:val="single" w:color="000000" w:sz="4" w:space="0"/>
            </w:tcBorders>
            <w:vAlign w:val="center"/>
          </w:tcPr>
          <w:p w14:paraId="5DD5D86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CF166B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E71ECA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D184105">
            <w:pPr>
              <w:jc w:val="center"/>
              <w:rPr>
                <w:rFonts w:ascii="宋体" w:hAnsi="宋体" w:eastAsia="宋体" w:cs="宋体"/>
                <w:color w:val="000000"/>
                <w:sz w:val="24"/>
                <w:szCs w:val="24"/>
              </w:rPr>
            </w:pPr>
          </w:p>
        </w:tc>
      </w:tr>
      <w:tr w14:paraId="31439F87">
        <w:tblPrEx>
          <w:tblCellMar>
            <w:top w:w="0" w:type="dxa"/>
            <w:left w:w="108" w:type="dxa"/>
            <w:bottom w:w="0" w:type="dxa"/>
            <w:right w:w="108" w:type="dxa"/>
          </w:tblCellMar>
        </w:tblPrEx>
        <w:trPr>
          <w:trHeight w:val="985" w:hRule="atLeast"/>
        </w:trPr>
        <w:tc>
          <w:tcPr>
            <w:tcW w:w="10770" w:type="dxa"/>
            <w:gridSpan w:val="5"/>
            <w:tcBorders>
              <w:top w:val="single" w:color="000000" w:sz="4" w:space="0"/>
              <w:left w:val="single" w:color="000000" w:sz="4" w:space="0"/>
              <w:bottom w:val="single" w:color="000000" w:sz="4" w:space="0"/>
              <w:right w:val="single" w:color="000000" w:sz="4" w:space="0"/>
            </w:tcBorders>
            <w:noWrap/>
            <w:vAlign w:val="center"/>
          </w:tcPr>
          <w:p w14:paraId="15F38FD4">
            <w:pPr>
              <w:widowControl/>
              <w:jc w:val="center"/>
              <w:textAlignment w:val="center"/>
              <w:rPr>
                <w:rFonts w:ascii="宋体" w:hAnsi="宋体" w:eastAsia="宋体" w:cs="宋体"/>
                <w:color w:val="000000"/>
                <w:sz w:val="24"/>
                <w:szCs w:val="24"/>
              </w:rPr>
            </w:pPr>
            <w:r>
              <w:rPr>
                <w:rFonts w:hint="eastAsia" w:ascii="宋体" w:hAnsi="宋体" w:eastAsia="宋体" w:cs="宋体"/>
                <w:color w:val="FF0000"/>
                <w:kern w:val="0"/>
                <w:sz w:val="24"/>
                <w:szCs w:val="24"/>
                <w:lang w:bidi="ar"/>
              </w:rPr>
              <w:t>创业孵化项目展示厅</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CE27257">
            <w:pPr>
              <w:jc w:val="center"/>
              <w:rPr>
                <w:rFonts w:ascii="宋体" w:hAnsi="宋体" w:eastAsia="宋体" w:cs="宋体"/>
                <w:color w:val="000000"/>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989B837">
            <w:pPr>
              <w:jc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FA79F06">
            <w:pPr>
              <w:jc w:val="center"/>
              <w:rPr>
                <w:rFonts w:ascii="宋体" w:hAnsi="宋体" w:eastAsia="宋体" w:cs="宋体"/>
                <w:color w:val="000000"/>
                <w:sz w:val="24"/>
                <w:szCs w:val="24"/>
              </w:rPr>
            </w:pPr>
          </w:p>
        </w:tc>
      </w:tr>
      <w:tr w14:paraId="59790046">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C2AF4C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825" w:type="dxa"/>
            <w:tcBorders>
              <w:top w:val="single" w:color="000000" w:sz="4" w:space="0"/>
              <w:left w:val="single" w:color="000000" w:sz="4" w:space="0"/>
              <w:bottom w:val="single" w:color="000000" w:sz="4" w:space="0"/>
              <w:right w:val="single" w:color="000000" w:sz="4" w:space="0"/>
            </w:tcBorders>
            <w:vAlign w:val="center"/>
          </w:tcPr>
          <w:p w14:paraId="12EB9F7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可收纳展示柜子</w:t>
            </w:r>
          </w:p>
        </w:tc>
        <w:tc>
          <w:tcPr>
            <w:tcW w:w="7770" w:type="dxa"/>
            <w:tcBorders>
              <w:top w:val="single" w:color="000000" w:sz="4" w:space="0"/>
              <w:left w:val="single" w:color="000000" w:sz="4" w:space="0"/>
              <w:bottom w:val="single" w:color="000000" w:sz="4" w:space="0"/>
              <w:right w:val="single" w:color="000000" w:sz="4" w:space="0"/>
            </w:tcBorders>
            <w:vAlign w:val="center"/>
          </w:tcPr>
          <w:p w14:paraId="39992D3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玻璃和钢木结构，现代时尚，符合展示用，带灯带或者射灯。</w:t>
            </w:r>
          </w:p>
        </w:tc>
        <w:tc>
          <w:tcPr>
            <w:tcW w:w="885" w:type="dxa"/>
            <w:tcBorders>
              <w:top w:val="single" w:color="000000" w:sz="4" w:space="0"/>
              <w:left w:val="single" w:color="000000" w:sz="4" w:space="0"/>
              <w:bottom w:val="single" w:color="000000" w:sz="4" w:space="0"/>
              <w:right w:val="single" w:color="000000" w:sz="4" w:space="0"/>
            </w:tcBorders>
            <w:vAlign w:val="center"/>
          </w:tcPr>
          <w:p w14:paraId="4FF48FA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30</w:t>
            </w:r>
          </w:p>
        </w:tc>
        <w:tc>
          <w:tcPr>
            <w:tcW w:w="705" w:type="dxa"/>
            <w:tcBorders>
              <w:top w:val="single" w:color="000000" w:sz="4" w:space="0"/>
              <w:left w:val="single" w:color="000000" w:sz="4" w:space="0"/>
              <w:bottom w:val="single" w:color="000000" w:sz="4" w:space="0"/>
              <w:right w:val="single" w:color="000000" w:sz="4" w:space="0"/>
            </w:tcBorders>
            <w:vAlign w:val="center"/>
          </w:tcPr>
          <w:p w14:paraId="1A6D608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4048684">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6701D7">
            <w:pPr>
              <w:widowControl/>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05B6B0B8">
            <w:pPr>
              <w:jc w:val="center"/>
              <w:rPr>
                <w:rFonts w:ascii="宋体" w:hAnsi="宋体" w:eastAsia="宋体" w:cs="宋体"/>
                <w:color w:val="000000"/>
                <w:sz w:val="24"/>
                <w:szCs w:val="24"/>
              </w:rPr>
            </w:pPr>
          </w:p>
        </w:tc>
      </w:tr>
      <w:tr w14:paraId="7811BF59">
        <w:tblPrEx>
          <w:tblCellMar>
            <w:top w:w="0" w:type="dxa"/>
            <w:left w:w="108" w:type="dxa"/>
            <w:bottom w:w="0" w:type="dxa"/>
            <w:right w:w="108" w:type="dxa"/>
          </w:tblCellMar>
        </w:tblPrEx>
        <w:trPr>
          <w:trHeight w:val="9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8D233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825" w:type="dxa"/>
            <w:tcBorders>
              <w:top w:val="single" w:color="000000" w:sz="4" w:space="0"/>
              <w:left w:val="single" w:color="000000" w:sz="4" w:space="0"/>
              <w:bottom w:val="single" w:color="000000" w:sz="4" w:space="0"/>
              <w:right w:val="single" w:color="000000" w:sz="4" w:space="0"/>
            </w:tcBorders>
            <w:vAlign w:val="center"/>
          </w:tcPr>
          <w:p w14:paraId="451BE91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照明灯具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16AAB4A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工业风风格，符合校方现有风格和简约设计理念，分照明和氛围营造两种风格。</w:t>
            </w:r>
          </w:p>
        </w:tc>
        <w:tc>
          <w:tcPr>
            <w:tcW w:w="885" w:type="dxa"/>
            <w:tcBorders>
              <w:top w:val="single" w:color="000000" w:sz="4" w:space="0"/>
              <w:left w:val="single" w:color="000000" w:sz="4" w:space="0"/>
              <w:bottom w:val="single" w:color="000000" w:sz="4" w:space="0"/>
              <w:right w:val="single" w:color="000000" w:sz="4" w:space="0"/>
            </w:tcBorders>
            <w:vAlign w:val="center"/>
          </w:tcPr>
          <w:p w14:paraId="63D4D76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201DB18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292A5E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2CEFB2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94ED8C0">
            <w:pPr>
              <w:jc w:val="center"/>
              <w:rPr>
                <w:rFonts w:ascii="宋体" w:hAnsi="宋体" w:eastAsia="宋体" w:cs="宋体"/>
                <w:color w:val="000000"/>
                <w:sz w:val="24"/>
                <w:szCs w:val="24"/>
              </w:rPr>
            </w:pPr>
          </w:p>
        </w:tc>
      </w:tr>
      <w:tr w14:paraId="6020ABD8">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000104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11</w:t>
            </w:r>
          </w:p>
        </w:tc>
        <w:tc>
          <w:tcPr>
            <w:tcW w:w="825" w:type="dxa"/>
            <w:tcBorders>
              <w:top w:val="single" w:color="000000" w:sz="4" w:space="0"/>
              <w:left w:val="single" w:color="000000" w:sz="4" w:space="0"/>
              <w:bottom w:val="single" w:color="000000" w:sz="4" w:space="0"/>
              <w:right w:val="single" w:color="000000" w:sz="4" w:space="0"/>
            </w:tcBorders>
            <w:vAlign w:val="center"/>
          </w:tcPr>
          <w:p w14:paraId="148CE07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氛围灯</w:t>
            </w:r>
          </w:p>
        </w:tc>
        <w:tc>
          <w:tcPr>
            <w:tcW w:w="7770" w:type="dxa"/>
            <w:tcBorders>
              <w:top w:val="single" w:color="000000" w:sz="4" w:space="0"/>
              <w:left w:val="single" w:color="000000" w:sz="4" w:space="0"/>
              <w:bottom w:val="single" w:color="000000" w:sz="4" w:space="0"/>
              <w:right w:val="single" w:color="000000" w:sz="4" w:space="0"/>
            </w:tcBorders>
            <w:vAlign w:val="center"/>
          </w:tcPr>
          <w:p w14:paraId="1AA507D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LED灯；灯身材质：铁艺，灯罩材质：铝和铁艺；工业风格；电压：110V-240V；防护等级：IP23;功率：200W</w:t>
            </w:r>
          </w:p>
        </w:tc>
        <w:tc>
          <w:tcPr>
            <w:tcW w:w="885" w:type="dxa"/>
            <w:tcBorders>
              <w:top w:val="single" w:color="000000" w:sz="4" w:space="0"/>
              <w:left w:val="single" w:color="000000" w:sz="4" w:space="0"/>
              <w:bottom w:val="single" w:color="000000" w:sz="4" w:space="0"/>
              <w:right w:val="single" w:color="000000" w:sz="4" w:space="0"/>
            </w:tcBorders>
            <w:vAlign w:val="center"/>
          </w:tcPr>
          <w:p w14:paraId="76C179E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single" w:color="000000" w:sz="4" w:space="0"/>
            </w:tcBorders>
            <w:vAlign w:val="center"/>
          </w:tcPr>
          <w:p w14:paraId="702261E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7338ED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5AD464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6411C48">
            <w:pPr>
              <w:jc w:val="center"/>
              <w:rPr>
                <w:rFonts w:ascii="宋体" w:hAnsi="宋体" w:eastAsia="宋体" w:cs="宋体"/>
                <w:color w:val="000000"/>
                <w:sz w:val="24"/>
                <w:szCs w:val="24"/>
              </w:rPr>
            </w:pPr>
          </w:p>
        </w:tc>
      </w:tr>
      <w:tr w14:paraId="34EFA219">
        <w:tblPrEx>
          <w:tblCellMar>
            <w:top w:w="0" w:type="dxa"/>
            <w:left w:w="108" w:type="dxa"/>
            <w:bottom w:w="0" w:type="dxa"/>
            <w:right w:w="108" w:type="dxa"/>
          </w:tblCellMar>
        </w:tblPrEx>
        <w:trPr>
          <w:trHeight w:val="7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487D56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w:t>
            </w:r>
          </w:p>
        </w:tc>
        <w:tc>
          <w:tcPr>
            <w:tcW w:w="825" w:type="dxa"/>
            <w:tcBorders>
              <w:top w:val="single" w:color="000000" w:sz="4" w:space="0"/>
              <w:left w:val="single" w:color="000000" w:sz="4" w:space="0"/>
              <w:bottom w:val="single" w:color="000000" w:sz="4" w:space="0"/>
              <w:right w:val="single" w:color="000000" w:sz="4" w:space="0"/>
            </w:tcBorders>
            <w:vAlign w:val="center"/>
          </w:tcPr>
          <w:p w14:paraId="51EACE6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文化布置</w:t>
            </w:r>
          </w:p>
        </w:tc>
        <w:tc>
          <w:tcPr>
            <w:tcW w:w="7770" w:type="dxa"/>
            <w:tcBorders>
              <w:top w:val="single" w:color="000000" w:sz="4" w:space="0"/>
              <w:left w:val="single" w:color="000000" w:sz="4" w:space="0"/>
              <w:bottom w:val="single" w:color="000000" w:sz="4" w:space="0"/>
              <w:right w:val="single" w:color="000000" w:sz="4" w:space="0"/>
            </w:tcBorders>
            <w:vAlign w:val="center"/>
          </w:tcPr>
          <w:p w14:paraId="1C02A99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采取软膜灯箱和PVC的广告材质，对展示的创业项目内容、效益、创业形式等政策和文化进行包装宣传，在园区内形成较浓厚的就业创业文化氛围。</w:t>
            </w:r>
          </w:p>
        </w:tc>
        <w:tc>
          <w:tcPr>
            <w:tcW w:w="885" w:type="dxa"/>
            <w:tcBorders>
              <w:top w:val="single" w:color="000000" w:sz="4" w:space="0"/>
              <w:left w:val="single" w:color="000000" w:sz="4" w:space="0"/>
              <w:bottom w:val="single" w:color="000000" w:sz="4" w:space="0"/>
              <w:right w:val="single" w:color="000000" w:sz="4" w:space="0"/>
            </w:tcBorders>
            <w:vAlign w:val="center"/>
          </w:tcPr>
          <w:p w14:paraId="0DBCB05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514B3D8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86EB5D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43D31F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C091DE6">
            <w:pPr>
              <w:jc w:val="center"/>
              <w:rPr>
                <w:rFonts w:ascii="宋体" w:hAnsi="宋体" w:eastAsia="宋体" w:cs="宋体"/>
                <w:color w:val="000000"/>
                <w:sz w:val="24"/>
                <w:szCs w:val="24"/>
              </w:rPr>
            </w:pPr>
          </w:p>
        </w:tc>
      </w:tr>
      <w:tr w14:paraId="4E68EE64">
        <w:tblPrEx>
          <w:tblCellMar>
            <w:top w:w="0" w:type="dxa"/>
            <w:left w:w="108" w:type="dxa"/>
            <w:bottom w:w="0" w:type="dxa"/>
            <w:right w:w="108" w:type="dxa"/>
          </w:tblCellMar>
        </w:tblPrEx>
        <w:trPr>
          <w:trHeight w:val="9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3A32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13</w:t>
            </w:r>
          </w:p>
        </w:tc>
        <w:tc>
          <w:tcPr>
            <w:tcW w:w="825" w:type="dxa"/>
            <w:tcBorders>
              <w:top w:val="single" w:color="000000" w:sz="4" w:space="0"/>
              <w:left w:val="single" w:color="000000" w:sz="4" w:space="0"/>
              <w:bottom w:val="single" w:color="000000" w:sz="4" w:space="0"/>
              <w:right w:val="single" w:color="000000" w:sz="4" w:space="0"/>
            </w:tcBorders>
            <w:vAlign w:val="center"/>
          </w:tcPr>
          <w:p w14:paraId="1FC8332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非遗项目陈列作品</w:t>
            </w:r>
          </w:p>
        </w:tc>
        <w:tc>
          <w:tcPr>
            <w:tcW w:w="7770" w:type="dxa"/>
            <w:tcBorders>
              <w:top w:val="single" w:color="000000" w:sz="4" w:space="0"/>
              <w:left w:val="single" w:color="000000" w:sz="4" w:space="0"/>
              <w:bottom w:val="single" w:color="000000" w:sz="4" w:space="0"/>
              <w:right w:val="single" w:color="000000" w:sz="4" w:space="0"/>
            </w:tcBorders>
            <w:vAlign w:val="center"/>
          </w:tcPr>
          <w:p w14:paraId="682BB38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制作和采购灵宝本地的函谷关传说、剪纸、面塑等非遗项目作品进行展示和创业项目带动。每个项目至少提供10件作品，至少5个项目。</w:t>
            </w:r>
          </w:p>
        </w:tc>
        <w:tc>
          <w:tcPr>
            <w:tcW w:w="885" w:type="dxa"/>
            <w:tcBorders>
              <w:top w:val="single" w:color="000000" w:sz="4" w:space="0"/>
              <w:left w:val="single" w:color="000000" w:sz="4" w:space="0"/>
              <w:bottom w:val="single" w:color="000000" w:sz="4" w:space="0"/>
              <w:right w:val="single" w:color="000000" w:sz="4" w:space="0"/>
            </w:tcBorders>
            <w:vAlign w:val="center"/>
          </w:tcPr>
          <w:p w14:paraId="545850F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01988F3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946E9F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204E4C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06D2EE5">
            <w:pPr>
              <w:jc w:val="center"/>
              <w:rPr>
                <w:rFonts w:ascii="宋体" w:hAnsi="宋体" w:eastAsia="宋体" w:cs="宋体"/>
                <w:color w:val="000000"/>
                <w:sz w:val="24"/>
                <w:szCs w:val="24"/>
              </w:rPr>
            </w:pPr>
          </w:p>
        </w:tc>
      </w:tr>
      <w:tr w14:paraId="27638910">
        <w:tblPrEx>
          <w:tblCellMar>
            <w:top w:w="0" w:type="dxa"/>
            <w:left w:w="108" w:type="dxa"/>
            <w:bottom w:w="0" w:type="dxa"/>
            <w:right w:w="108" w:type="dxa"/>
          </w:tblCellMar>
        </w:tblPrEx>
        <w:trPr>
          <w:trHeight w:val="7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03228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825" w:type="dxa"/>
            <w:tcBorders>
              <w:top w:val="single" w:color="000000" w:sz="4" w:space="0"/>
              <w:left w:val="single" w:color="000000" w:sz="4" w:space="0"/>
              <w:bottom w:val="single" w:color="000000" w:sz="4" w:space="0"/>
              <w:right w:val="single" w:color="000000" w:sz="4" w:space="0"/>
            </w:tcBorders>
            <w:vAlign w:val="center"/>
          </w:tcPr>
          <w:p w14:paraId="4E9A0DE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作品展示底座</w:t>
            </w:r>
          </w:p>
        </w:tc>
        <w:tc>
          <w:tcPr>
            <w:tcW w:w="7770" w:type="dxa"/>
            <w:tcBorders>
              <w:top w:val="single" w:color="000000" w:sz="4" w:space="0"/>
              <w:left w:val="single" w:color="000000" w:sz="4" w:space="0"/>
              <w:bottom w:val="single" w:color="000000" w:sz="4" w:space="0"/>
              <w:right w:val="single" w:color="000000" w:sz="4" w:space="0"/>
            </w:tcBorders>
            <w:vAlign w:val="center"/>
          </w:tcPr>
          <w:p w14:paraId="512E53F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以亚克力、木、竹为主，保证每个创业者作品都能很美观的陈列。</w:t>
            </w:r>
          </w:p>
        </w:tc>
        <w:tc>
          <w:tcPr>
            <w:tcW w:w="885" w:type="dxa"/>
            <w:tcBorders>
              <w:top w:val="single" w:color="000000" w:sz="4" w:space="0"/>
              <w:left w:val="single" w:color="000000" w:sz="4" w:space="0"/>
              <w:bottom w:val="single" w:color="000000" w:sz="4" w:space="0"/>
              <w:right w:val="single" w:color="000000" w:sz="4" w:space="0"/>
            </w:tcBorders>
            <w:vAlign w:val="center"/>
          </w:tcPr>
          <w:p w14:paraId="08F33CF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single" w:color="000000" w:sz="4" w:space="0"/>
            </w:tcBorders>
            <w:vAlign w:val="center"/>
          </w:tcPr>
          <w:p w14:paraId="330466F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6AD91D6">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63FA0C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FCDE155">
            <w:pPr>
              <w:jc w:val="center"/>
              <w:rPr>
                <w:rFonts w:ascii="宋体" w:hAnsi="宋体" w:eastAsia="宋体" w:cs="宋体"/>
                <w:color w:val="000000"/>
                <w:sz w:val="24"/>
                <w:szCs w:val="24"/>
              </w:rPr>
            </w:pPr>
          </w:p>
        </w:tc>
      </w:tr>
      <w:tr w14:paraId="234FCAFE">
        <w:tblPrEx>
          <w:tblCellMar>
            <w:top w:w="0" w:type="dxa"/>
            <w:left w:w="108" w:type="dxa"/>
            <w:bottom w:w="0" w:type="dxa"/>
            <w:right w:w="108" w:type="dxa"/>
          </w:tblCellMar>
        </w:tblPrEx>
        <w:trPr>
          <w:trHeight w:val="7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FCC4F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15</w:t>
            </w:r>
          </w:p>
        </w:tc>
        <w:tc>
          <w:tcPr>
            <w:tcW w:w="825" w:type="dxa"/>
            <w:tcBorders>
              <w:top w:val="single" w:color="000000" w:sz="4" w:space="0"/>
              <w:left w:val="single" w:color="000000" w:sz="4" w:space="0"/>
              <w:bottom w:val="single" w:color="000000" w:sz="4" w:space="0"/>
              <w:right w:val="single" w:color="000000" w:sz="4" w:space="0"/>
            </w:tcBorders>
            <w:vAlign w:val="center"/>
          </w:tcPr>
          <w:p w14:paraId="49537CB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展示货架</w:t>
            </w:r>
          </w:p>
        </w:tc>
        <w:tc>
          <w:tcPr>
            <w:tcW w:w="7770" w:type="dxa"/>
            <w:tcBorders>
              <w:top w:val="single" w:color="000000" w:sz="4" w:space="0"/>
              <w:left w:val="single" w:color="000000" w:sz="4" w:space="0"/>
              <w:bottom w:val="single" w:color="000000" w:sz="4" w:space="0"/>
              <w:right w:val="single" w:color="000000" w:sz="4" w:space="0"/>
            </w:tcBorders>
            <w:vAlign w:val="center"/>
          </w:tcPr>
          <w:p w14:paraId="1AF0601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下方带有锁储物柜、基材优质环保刨花板，甲醛释放量达到国家E1级环保要求；饰面采用优质三聚氰胺板，耐酸缄、韧性好，要求板面光滑平整，防划伤、高强耐磨,集中耐高温200℃，板材截面用优质同色PVC封边，厚度1.2mm，用高温机器自动粘贴，修边光滑平整，无棱角，且经过抛光处理。纲架主体采用管壁厚度1.2mm；</w:t>
            </w:r>
          </w:p>
        </w:tc>
        <w:tc>
          <w:tcPr>
            <w:tcW w:w="885" w:type="dxa"/>
            <w:tcBorders>
              <w:top w:val="single" w:color="000000" w:sz="4" w:space="0"/>
              <w:left w:val="single" w:color="000000" w:sz="4" w:space="0"/>
              <w:bottom w:val="single" w:color="000000" w:sz="4" w:space="0"/>
              <w:right w:val="single" w:color="000000" w:sz="4" w:space="0"/>
            </w:tcBorders>
            <w:vAlign w:val="center"/>
          </w:tcPr>
          <w:p w14:paraId="00EA973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26166E6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60D95A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77606D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FD125A7">
            <w:pPr>
              <w:jc w:val="center"/>
              <w:rPr>
                <w:rFonts w:ascii="宋体" w:hAnsi="宋体" w:eastAsia="宋体" w:cs="宋体"/>
                <w:color w:val="000000"/>
                <w:sz w:val="24"/>
                <w:szCs w:val="24"/>
              </w:rPr>
            </w:pPr>
          </w:p>
        </w:tc>
      </w:tr>
      <w:tr w14:paraId="3781B82D">
        <w:tblPrEx>
          <w:tblCellMar>
            <w:top w:w="0" w:type="dxa"/>
            <w:left w:w="108" w:type="dxa"/>
            <w:bottom w:w="0" w:type="dxa"/>
            <w:right w:w="108" w:type="dxa"/>
          </w:tblCellMar>
        </w:tblPrEx>
        <w:trPr>
          <w:trHeight w:val="12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45AB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w:t>
            </w:r>
          </w:p>
        </w:tc>
        <w:tc>
          <w:tcPr>
            <w:tcW w:w="825" w:type="dxa"/>
            <w:tcBorders>
              <w:top w:val="single" w:color="000000" w:sz="4" w:space="0"/>
              <w:left w:val="single" w:color="000000" w:sz="4" w:space="0"/>
              <w:bottom w:val="single" w:color="000000" w:sz="4" w:space="0"/>
              <w:right w:val="single" w:color="000000" w:sz="4" w:space="0"/>
            </w:tcBorders>
            <w:vAlign w:val="center"/>
          </w:tcPr>
          <w:p w14:paraId="00897B4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档案柜子</w:t>
            </w:r>
          </w:p>
        </w:tc>
        <w:tc>
          <w:tcPr>
            <w:tcW w:w="7770" w:type="dxa"/>
            <w:tcBorders>
              <w:top w:val="single" w:color="000000" w:sz="4" w:space="0"/>
              <w:left w:val="single" w:color="000000" w:sz="4" w:space="0"/>
              <w:bottom w:val="single" w:color="000000" w:sz="4" w:space="0"/>
              <w:right w:val="single" w:color="000000" w:sz="4" w:space="0"/>
            </w:tcBorders>
            <w:vAlign w:val="center"/>
          </w:tcPr>
          <w:p w14:paraId="0AFE932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柜体结构均分为上中下三部分组成，上节玻璃对开门，门内一块隔板分两层，中间两个抽屉。下节对开铁门 ，内置一层隔板，隔板空间可根据档案盒和资料大小任意上下调节；并采用优质锁具，柜体材料采用优质0.6mm厚的冷轧钢板，制造工艺以引进先进的激光切割机进行精准下料；角边和拉手等柜体部位经冲床一次性冲压而成；以精准、精确的大型折弯机折出内折边和外折边等；焊接部分采用高标准荣焊接，各部位连接牢固，内外光滑无毛刺；柜体表面处理经除油、除锈、陶化等工序进行前期处理，防锈性能优越；表面采用纯聚酯塑粉，高压静电喷塑，抗紫外线，美观且耐候性能好，不易变色，且环保无气味，无甲醛释放，耐用年限长。</w:t>
            </w:r>
          </w:p>
        </w:tc>
        <w:tc>
          <w:tcPr>
            <w:tcW w:w="885" w:type="dxa"/>
            <w:tcBorders>
              <w:top w:val="single" w:color="000000" w:sz="4" w:space="0"/>
              <w:left w:val="single" w:color="000000" w:sz="4" w:space="0"/>
              <w:bottom w:val="single" w:color="000000" w:sz="4" w:space="0"/>
              <w:right w:val="single" w:color="000000" w:sz="4" w:space="0"/>
            </w:tcBorders>
            <w:vAlign w:val="center"/>
          </w:tcPr>
          <w:p w14:paraId="1945283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0C29062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0525B5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BC8404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7781E6EB">
            <w:pPr>
              <w:jc w:val="center"/>
              <w:rPr>
                <w:rFonts w:ascii="宋体" w:hAnsi="宋体" w:eastAsia="宋体" w:cs="宋体"/>
                <w:color w:val="000000"/>
                <w:sz w:val="24"/>
                <w:szCs w:val="24"/>
              </w:rPr>
            </w:pPr>
          </w:p>
        </w:tc>
      </w:tr>
      <w:tr w14:paraId="71347596">
        <w:tblPrEx>
          <w:tblCellMar>
            <w:top w:w="0" w:type="dxa"/>
            <w:left w:w="108" w:type="dxa"/>
            <w:bottom w:w="0" w:type="dxa"/>
            <w:right w:w="108" w:type="dxa"/>
          </w:tblCellMar>
        </w:tblPrEx>
        <w:trPr>
          <w:trHeight w:val="175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293A1B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17</w:t>
            </w:r>
          </w:p>
        </w:tc>
        <w:tc>
          <w:tcPr>
            <w:tcW w:w="825" w:type="dxa"/>
            <w:tcBorders>
              <w:top w:val="single" w:color="000000" w:sz="4" w:space="0"/>
              <w:left w:val="single" w:color="000000" w:sz="4" w:space="0"/>
              <w:bottom w:val="single" w:color="000000" w:sz="4" w:space="0"/>
              <w:right w:val="single" w:color="000000" w:sz="4" w:space="0"/>
            </w:tcBorders>
            <w:vAlign w:val="center"/>
          </w:tcPr>
          <w:p w14:paraId="1B51AE1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根雕展示柜</w:t>
            </w:r>
          </w:p>
        </w:tc>
        <w:tc>
          <w:tcPr>
            <w:tcW w:w="7770" w:type="dxa"/>
            <w:tcBorders>
              <w:top w:val="single" w:color="000000" w:sz="4" w:space="0"/>
              <w:left w:val="single" w:color="000000" w:sz="4" w:space="0"/>
              <w:bottom w:val="single" w:color="000000" w:sz="4" w:space="0"/>
              <w:right w:val="single" w:color="000000" w:sz="4" w:space="0"/>
            </w:tcBorders>
            <w:vAlign w:val="center"/>
          </w:tcPr>
          <w:p w14:paraId="15E7A23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尺寸根据现场定制。桌面基材采用高密度三聚氰胺饰面实木颗粒板材，要求板面光滑平整，防划伤、高强耐磨，集中耐高温200℃,板材截面用优质同色PVC封边，厚度1.0mm。钢化玻璃。五星级五金配件。</w:t>
            </w:r>
          </w:p>
        </w:tc>
        <w:tc>
          <w:tcPr>
            <w:tcW w:w="885" w:type="dxa"/>
            <w:tcBorders>
              <w:top w:val="single" w:color="000000" w:sz="4" w:space="0"/>
              <w:left w:val="single" w:color="000000" w:sz="4" w:space="0"/>
              <w:bottom w:val="single" w:color="000000" w:sz="4" w:space="0"/>
              <w:right w:val="single" w:color="000000" w:sz="4" w:space="0"/>
            </w:tcBorders>
            <w:vAlign w:val="center"/>
          </w:tcPr>
          <w:p w14:paraId="77B0D3A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620FB45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2D14D5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E4D7BB6">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41FF3E1">
            <w:pPr>
              <w:jc w:val="center"/>
              <w:rPr>
                <w:rFonts w:ascii="宋体" w:hAnsi="宋体" w:eastAsia="宋体" w:cs="宋体"/>
                <w:color w:val="000000"/>
                <w:sz w:val="24"/>
                <w:szCs w:val="24"/>
              </w:rPr>
            </w:pPr>
          </w:p>
        </w:tc>
      </w:tr>
      <w:tr w14:paraId="531D8B89">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179055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18</w:t>
            </w:r>
          </w:p>
        </w:tc>
        <w:tc>
          <w:tcPr>
            <w:tcW w:w="825" w:type="dxa"/>
            <w:tcBorders>
              <w:top w:val="single" w:color="000000" w:sz="4" w:space="0"/>
              <w:left w:val="single" w:color="000000" w:sz="4" w:space="0"/>
              <w:bottom w:val="single" w:color="000000" w:sz="4" w:space="0"/>
              <w:right w:val="single" w:color="000000" w:sz="4" w:space="0"/>
            </w:tcBorders>
            <w:vAlign w:val="center"/>
          </w:tcPr>
          <w:p w14:paraId="132A606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陶艺作品展示柜</w:t>
            </w:r>
          </w:p>
        </w:tc>
        <w:tc>
          <w:tcPr>
            <w:tcW w:w="7770" w:type="dxa"/>
            <w:tcBorders>
              <w:top w:val="single" w:color="000000" w:sz="4" w:space="0"/>
              <w:left w:val="single" w:color="000000" w:sz="4" w:space="0"/>
              <w:bottom w:val="single" w:color="000000" w:sz="4" w:space="0"/>
              <w:right w:val="single" w:color="000000" w:sz="4" w:space="0"/>
            </w:tcBorders>
            <w:vAlign w:val="center"/>
          </w:tcPr>
          <w:p w14:paraId="2D4D758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尺寸根据现场定制。基材优质环保刨花板，甲醛释放量达到国家E1级环保要求；厚度不小于25mm; 饰面采用优质三聚氰胺板，耐酸缄、韧性好，要求板面光滑平整，防划伤、高强耐磨,集中耐高温200℃，板材截面用优质同色PVC封边，厚度不低于1.2mm，用高温机器自动粘贴，修边光滑平整，无棱角，且经过抛光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053874C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w:t>
            </w:r>
          </w:p>
        </w:tc>
        <w:tc>
          <w:tcPr>
            <w:tcW w:w="705" w:type="dxa"/>
            <w:tcBorders>
              <w:top w:val="single" w:color="000000" w:sz="4" w:space="0"/>
              <w:left w:val="single" w:color="000000" w:sz="4" w:space="0"/>
              <w:bottom w:val="single" w:color="000000" w:sz="4" w:space="0"/>
              <w:right w:val="single" w:color="000000" w:sz="4" w:space="0"/>
            </w:tcBorders>
            <w:vAlign w:val="center"/>
          </w:tcPr>
          <w:p w14:paraId="6F3D51A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AD42175">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FCC909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E9602C6">
            <w:pPr>
              <w:jc w:val="center"/>
              <w:rPr>
                <w:rFonts w:ascii="宋体" w:hAnsi="宋体" w:eastAsia="宋体" w:cs="宋体"/>
                <w:color w:val="000000"/>
                <w:sz w:val="24"/>
                <w:szCs w:val="24"/>
              </w:rPr>
            </w:pPr>
          </w:p>
        </w:tc>
      </w:tr>
      <w:tr w14:paraId="2A7049D7">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nil"/>
            </w:tcBorders>
            <w:noWrap/>
            <w:vAlign w:val="center"/>
          </w:tcPr>
          <w:p w14:paraId="33B32312">
            <w:pPr>
              <w:widowControl/>
              <w:jc w:val="center"/>
              <w:textAlignment w:val="center"/>
              <w:rPr>
                <w:rFonts w:ascii="宋体" w:hAnsi="宋体" w:eastAsia="宋体" w:cs="宋体"/>
                <w:color w:val="FF0000"/>
                <w:sz w:val="24"/>
                <w:szCs w:val="24"/>
              </w:rPr>
            </w:pPr>
            <w:r>
              <w:rPr>
                <w:rFonts w:hint="eastAsia" w:ascii="宋体" w:hAnsi="宋体" w:eastAsia="宋体" w:cs="宋体"/>
                <w:color w:val="000000"/>
                <w:kern w:val="0"/>
                <w:sz w:val="24"/>
                <w:szCs w:val="24"/>
                <w:lang w:bidi="ar"/>
              </w:rPr>
              <w:t>19</w:t>
            </w:r>
          </w:p>
        </w:tc>
        <w:tc>
          <w:tcPr>
            <w:tcW w:w="825" w:type="dxa"/>
            <w:tcBorders>
              <w:top w:val="single" w:color="000000" w:sz="4" w:space="0"/>
              <w:left w:val="single" w:color="000000" w:sz="4" w:space="0"/>
              <w:bottom w:val="single" w:color="000000" w:sz="4" w:space="0"/>
              <w:right w:val="nil"/>
            </w:tcBorders>
            <w:noWrap/>
            <w:vAlign w:val="center"/>
          </w:tcPr>
          <w:p w14:paraId="34D8B753">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拉胚机</w:t>
            </w:r>
          </w:p>
        </w:tc>
        <w:tc>
          <w:tcPr>
            <w:tcW w:w="7770" w:type="dxa"/>
            <w:tcBorders>
              <w:top w:val="single" w:color="000000" w:sz="4" w:space="0"/>
              <w:left w:val="single" w:color="000000" w:sz="4" w:space="0"/>
              <w:bottom w:val="single" w:color="000000" w:sz="4" w:space="0"/>
              <w:right w:val="nil"/>
            </w:tcBorders>
            <w:noWrap/>
            <w:vAlign w:val="center"/>
          </w:tcPr>
          <w:p w14:paraId="386F2662">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智能拉胚机，一键启动，动力强劲，触屏手调控，脚踩控速。铝合金防锈转盘，喷塑或铁艺机身，带漏电保护和正反转切换开关。电压：220V，转速0—300转。</w:t>
            </w:r>
          </w:p>
        </w:tc>
        <w:tc>
          <w:tcPr>
            <w:tcW w:w="885" w:type="dxa"/>
            <w:tcBorders>
              <w:top w:val="single" w:color="000000" w:sz="4" w:space="0"/>
              <w:left w:val="single" w:color="000000" w:sz="4" w:space="0"/>
              <w:bottom w:val="single" w:color="000000" w:sz="4" w:space="0"/>
              <w:right w:val="nil"/>
            </w:tcBorders>
            <w:noWrap/>
            <w:vAlign w:val="center"/>
          </w:tcPr>
          <w:p w14:paraId="51F76F2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nil"/>
            </w:tcBorders>
            <w:noWrap/>
            <w:vAlign w:val="center"/>
          </w:tcPr>
          <w:p w14:paraId="337AC6B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nil"/>
            </w:tcBorders>
            <w:noWrap/>
            <w:vAlign w:val="center"/>
          </w:tcPr>
          <w:p w14:paraId="3E82F41B">
            <w:pPr>
              <w:widowControl/>
              <w:jc w:val="right"/>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nil"/>
            </w:tcBorders>
            <w:noWrap/>
            <w:vAlign w:val="center"/>
          </w:tcPr>
          <w:p w14:paraId="4D48536D">
            <w:pPr>
              <w:widowControl/>
              <w:jc w:val="center"/>
              <w:textAlignment w:val="center"/>
              <w:rPr>
                <w:rFonts w:ascii="Calibri" w:hAnsi="Calibri" w:eastAsia="宋体" w:cs="Times New Roman"/>
                <w:sz w:val="24"/>
                <w:szCs w:val="24"/>
              </w:rPr>
            </w:pPr>
          </w:p>
        </w:tc>
        <w:tc>
          <w:tcPr>
            <w:tcW w:w="1432" w:type="dxa"/>
            <w:tcBorders>
              <w:top w:val="single" w:color="000000" w:sz="4" w:space="0"/>
              <w:left w:val="nil"/>
              <w:bottom w:val="single" w:color="000000" w:sz="4" w:space="0"/>
              <w:right w:val="nil"/>
            </w:tcBorders>
            <w:noWrap/>
            <w:vAlign w:val="center"/>
          </w:tcPr>
          <w:p w14:paraId="225E8610">
            <w:pPr>
              <w:jc w:val="center"/>
              <w:rPr>
                <w:rFonts w:ascii="宋体" w:hAnsi="宋体" w:eastAsia="宋体" w:cs="宋体"/>
                <w:color w:val="000000"/>
                <w:sz w:val="24"/>
                <w:szCs w:val="24"/>
              </w:rPr>
            </w:pPr>
          </w:p>
        </w:tc>
      </w:tr>
      <w:tr w14:paraId="2E164022">
        <w:tblPrEx>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FB307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20</w:t>
            </w:r>
          </w:p>
        </w:tc>
        <w:tc>
          <w:tcPr>
            <w:tcW w:w="825" w:type="dxa"/>
            <w:tcBorders>
              <w:top w:val="single" w:color="000000" w:sz="4" w:space="0"/>
              <w:left w:val="single" w:color="000000" w:sz="4" w:space="0"/>
              <w:bottom w:val="single" w:color="000000" w:sz="4" w:space="0"/>
              <w:right w:val="single" w:color="000000" w:sz="4" w:space="0"/>
            </w:tcBorders>
            <w:vAlign w:val="center"/>
          </w:tcPr>
          <w:p w14:paraId="5EC130B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电窑炉</w:t>
            </w:r>
          </w:p>
        </w:tc>
        <w:tc>
          <w:tcPr>
            <w:tcW w:w="7770" w:type="dxa"/>
            <w:tcBorders>
              <w:top w:val="single" w:color="000000" w:sz="4" w:space="0"/>
              <w:left w:val="single" w:color="000000" w:sz="4" w:space="0"/>
              <w:bottom w:val="single" w:color="000000" w:sz="4" w:space="0"/>
              <w:right w:val="single" w:color="000000" w:sz="4" w:space="0"/>
            </w:tcBorders>
            <w:vAlign w:val="center"/>
          </w:tcPr>
          <w:p w14:paraId="1B2182A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曲线分体电窑炉，控制器为全中文触摸液晶仪表，有烧制记忆存储功能，4面炉丝加热，由莫来石耐火砖，多晶棉，加厚隔热钢板组合隔热层结构，机器额定功率18KW左右，接380v电压10平方铜芯线</w:t>
            </w:r>
          </w:p>
        </w:tc>
        <w:tc>
          <w:tcPr>
            <w:tcW w:w="885" w:type="dxa"/>
            <w:tcBorders>
              <w:top w:val="single" w:color="000000" w:sz="4" w:space="0"/>
              <w:left w:val="single" w:color="000000" w:sz="4" w:space="0"/>
              <w:bottom w:val="single" w:color="000000" w:sz="4" w:space="0"/>
              <w:right w:val="single" w:color="000000" w:sz="4" w:space="0"/>
            </w:tcBorders>
            <w:vAlign w:val="center"/>
          </w:tcPr>
          <w:p w14:paraId="70CB1E2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65D9192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 xml:space="preserve">个 </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1F39E70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BBC855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36A27FF4">
            <w:pPr>
              <w:jc w:val="center"/>
              <w:rPr>
                <w:rFonts w:ascii="宋体" w:hAnsi="宋体" w:eastAsia="宋体" w:cs="宋体"/>
                <w:color w:val="000000"/>
                <w:sz w:val="24"/>
                <w:szCs w:val="24"/>
              </w:rPr>
            </w:pPr>
          </w:p>
        </w:tc>
      </w:tr>
      <w:tr w14:paraId="12C51CBD">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794965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w:t>
            </w:r>
          </w:p>
        </w:tc>
        <w:tc>
          <w:tcPr>
            <w:tcW w:w="825" w:type="dxa"/>
            <w:tcBorders>
              <w:top w:val="single" w:color="000000" w:sz="4" w:space="0"/>
              <w:left w:val="single" w:color="000000" w:sz="4" w:space="0"/>
              <w:bottom w:val="single" w:color="000000" w:sz="4" w:space="0"/>
              <w:right w:val="single" w:color="000000" w:sz="4" w:space="0"/>
            </w:tcBorders>
            <w:vAlign w:val="center"/>
          </w:tcPr>
          <w:p w14:paraId="5FBBAEF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陶艺工具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1041786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毛笔、磨砂笔、吹风机、泥塑刀、盆、水桶等陶艺制作基本工具。</w:t>
            </w:r>
          </w:p>
        </w:tc>
        <w:tc>
          <w:tcPr>
            <w:tcW w:w="885" w:type="dxa"/>
            <w:tcBorders>
              <w:top w:val="single" w:color="000000" w:sz="4" w:space="0"/>
              <w:left w:val="single" w:color="000000" w:sz="4" w:space="0"/>
              <w:bottom w:val="single" w:color="000000" w:sz="4" w:space="0"/>
              <w:right w:val="single" w:color="000000" w:sz="4" w:space="0"/>
            </w:tcBorders>
            <w:vAlign w:val="center"/>
          </w:tcPr>
          <w:p w14:paraId="0F6C3F5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591BD5E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55AA67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6DAE0C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620C255">
            <w:pPr>
              <w:jc w:val="center"/>
              <w:rPr>
                <w:rFonts w:ascii="宋体" w:hAnsi="宋体" w:eastAsia="宋体" w:cs="宋体"/>
                <w:color w:val="000000"/>
                <w:sz w:val="24"/>
                <w:szCs w:val="24"/>
              </w:rPr>
            </w:pPr>
          </w:p>
        </w:tc>
      </w:tr>
      <w:tr w14:paraId="5940F68B">
        <w:tblPrEx>
          <w:tblCellMar>
            <w:top w:w="0" w:type="dxa"/>
            <w:left w:w="108" w:type="dxa"/>
            <w:bottom w:w="0" w:type="dxa"/>
            <w:right w:w="108" w:type="dxa"/>
          </w:tblCellMar>
        </w:tblPrEx>
        <w:trPr>
          <w:trHeight w:val="66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DEBB6F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22</w:t>
            </w:r>
          </w:p>
        </w:tc>
        <w:tc>
          <w:tcPr>
            <w:tcW w:w="825" w:type="dxa"/>
            <w:tcBorders>
              <w:top w:val="single" w:color="000000" w:sz="4" w:space="0"/>
              <w:left w:val="single" w:color="000000" w:sz="4" w:space="0"/>
              <w:bottom w:val="single" w:color="000000" w:sz="4" w:space="0"/>
              <w:right w:val="single" w:color="000000" w:sz="4" w:space="0"/>
            </w:tcBorders>
            <w:vAlign w:val="center"/>
          </w:tcPr>
          <w:p w14:paraId="066F452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工具</w:t>
            </w:r>
          </w:p>
        </w:tc>
        <w:tc>
          <w:tcPr>
            <w:tcW w:w="7770" w:type="dxa"/>
            <w:tcBorders>
              <w:top w:val="single" w:color="000000" w:sz="4" w:space="0"/>
              <w:left w:val="single" w:color="000000" w:sz="4" w:space="0"/>
              <w:bottom w:val="single" w:color="000000" w:sz="4" w:space="0"/>
              <w:right w:val="single" w:color="000000" w:sz="4" w:space="0"/>
            </w:tcBorders>
            <w:vAlign w:val="center"/>
          </w:tcPr>
          <w:p w14:paraId="161E991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提供面塑、根雕、家政服务等5个以上创业展示项目的相关制作工具，常用工具为主，附带展示工具，每件工具不少于8件。</w:t>
            </w:r>
          </w:p>
        </w:tc>
        <w:tc>
          <w:tcPr>
            <w:tcW w:w="885" w:type="dxa"/>
            <w:tcBorders>
              <w:top w:val="single" w:color="000000" w:sz="4" w:space="0"/>
              <w:left w:val="single" w:color="000000" w:sz="4" w:space="0"/>
              <w:bottom w:val="single" w:color="000000" w:sz="4" w:space="0"/>
              <w:right w:val="single" w:color="000000" w:sz="4" w:space="0"/>
            </w:tcBorders>
            <w:vAlign w:val="center"/>
          </w:tcPr>
          <w:p w14:paraId="6E7F75C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23AA7D2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CDCB3B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D33432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5E71684">
            <w:pPr>
              <w:jc w:val="center"/>
              <w:rPr>
                <w:rFonts w:ascii="宋体" w:hAnsi="宋体" w:eastAsia="宋体" w:cs="宋体"/>
                <w:color w:val="000000"/>
                <w:sz w:val="24"/>
                <w:szCs w:val="24"/>
              </w:rPr>
            </w:pPr>
          </w:p>
        </w:tc>
      </w:tr>
      <w:tr w14:paraId="61C51930">
        <w:tblPrEx>
          <w:tblCellMar>
            <w:top w:w="0" w:type="dxa"/>
            <w:left w:w="108" w:type="dxa"/>
            <w:bottom w:w="0" w:type="dxa"/>
            <w:right w:w="108" w:type="dxa"/>
          </w:tblCellMar>
        </w:tblPrEx>
        <w:trPr>
          <w:trHeight w:val="6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1D392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23</w:t>
            </w:r>
          </w:p>
        </w:tc>
        <w:tc>
          <w:tcPr>
            <w:tcW w:w="825" w:type="dxa"/>
            <w:tcBorders>
              <w:top w:val="single" w:color="000000" w:sz="4" w:space="0"/>
              <w:left w:val="single" w:color="000000" w:sz="4" w:space="0"/>
              <w:bottom w:val="single" w:color="000000" w:sz="4" w:space="0"/>
              <w:right w:val="single" w:color="000000" w:sz="4" w:space="0"/>
            </w:tcBorders>
            <w:vAlign w:val="center"/>
          </w:tcPr>
          <w:p w14:paraId="1DFB22E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创业项目规划设计</w:t>
            </w:r>
          </w:p>
        </w:tc>
        <w:tc>
          <w:tcPr>
            <w:tcW w:w="7770" w:type="dxa"/>
            <w:tcBorders>
              <w:top w:val="single" w:color="000000" w:sz="4" w:space="0"/>
              <w:left w:val="single" w:color="000000" w:sz="4" w:space="0"/>
              <w:bottom w:val="single" w:color="000000" w:sz="4" w:space="0"/>
              <w:right w:val="single" w:color="000000" w:sz="4" w:space="0"/>
            </w:tcBorders>
            <w:vAlign w:val="center"/>
          </w:tcPr>
          <w:p w14:paraId="21E696B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灵宝小吃创业项目展示、仰韶彩陶文化创业展示、灵宝非遗创业项目展示、根雕工匠创业项目展示、家政服务创业项目展示、黄河流域文创创业项目展示等6个项目的创意规划设计。</w:t>
            </w:r>
          </w:p>
        </w:tc>
        <w:tc>
          <w:tcPr>
            <w:tcW w:w="885" w:type="dxa"/>
            <w:tcBorders>
              <w:top w:val="single" w:color="000000" w:sz="4" w:space="0"/>
              <w:left w:val="single" w:color="000000" w:sz="4" w:space="0"/>
              <w:bottom w:val="single" w:color="000000" w:sz="4" w:space="0"/>
              <w:right w:val="single" w:color="000000" w:sz="4" w:space="0"/>
            </w:tcBorders>
            <w:vAlign w:val="center"/>
          </w:tcPr>
          <w:p w14:paraId="1C7E268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12419A7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BBEC43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5ED1A1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6BB2A18">
            <w:pPr>
              <w:jc w:val="center"/>
              <w:rPr>
                <w:rFonts w:ascii="宋体" w:hAnsi="宋体" w:eastAsia="宋体" w:cs="宋体"/>
                <w:color w:val="000000"/>
                <w:sz w:val="24"/>
                <w:szCs w:val="24"/>
              </w:rPr>
            </w:pPr>
          </w:p>
        </w:tc>
      </w:tr>
      <w:tr w14:paraId="6DA872E7">
        <w:tblPrEx>
          <w:tblCellMar>
            <w:top w:w="0" w:type="dxa"/>
            <w:left w:w="108" w:type="dxa"/>
            <w:bottom w:w="0" w:type="dxa"/>
            <w:right w:w="108" w:type="dxa"/>
          </w:tblCellMar>
        </w:tblPrEx>
        <w:trPr>
          <w:trHeight w:val="855"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68C3940A">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创业培训教室</w:t>
            </w:r>
          </w:p>
        </w:tc>
      </w:tr>
      <w:tr w14:paraId="07E2D66A">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D2E11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w:t>
            </w:r>
          </w:p>
        </w:tc>
        <w:tc>
          <w:tcPr>
            <w:tcW w:w="825" w:type="dxa"/>
            <w:tcBorders>
              <w:top w:val="single" w:color="000000" w:sz="4" w:space="0"/>
              <w:left w:val="single" w:color="000000" w:sz="4" w:space="0"/>
              <w:bottom w:val="single" w:color="000000" w:sz="4" w:space="0"/>
              <w:right w:val="single" w:color="000000" w:sz="4" w:space="0"/>
            </w:tcBorders>
            <w:vAlign w:val="center"/>
          </w:tcPr>
          <w:p w14:paraId="6F8EE06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一体化课桌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654CC82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1.规格：成人双人桌凳，每桌含靠背椅子2把，根据现场定制颜色</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2.基材：采用优质环保刨E0级花板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3.饰面：选用品牌三聚氰纸</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4.封边：优质品牌2.0mm厚PVC热熔封边，甲醛释放量0.5mg/L，耐磨抗老化，耐变形、耐开裂，无缝，零胶线。</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5.热熔胶：采用优质品牌热熔胶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6.甲醛释放量≤0.12mg/m³，总挥发性有机化合物≤0.5mg/(m³·h)，强度高，不易变形， 所有板板均需经防虫防潮防腐等化学处理，所有的参数标准符合行业相关标准及要求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7.五金：优质品牌导轨、优铰链、拉手</w:t>
            </w:r>
          </w:p>
        </w:tc>
        <w:tc>
          <w:tcPr>
            <w:tcW w:w="885" w:type="dxa"/>
            <w:tcBorders>
              <w:top w:val="single" w:color="000000" w:sz="4" w:space="0"/>
              <w:left w:val="single" w:color="000000" w:sz="4" w:space="0"/>
              <w:bottom w:val="single" w:color="000000" w:sz="4" w:space="0"/>
              <w:right w:val="single" w:color="000000" w:sz="4" w:space="0"/>
            </w:tcBorders>
            <w:vAlign w:val="center"/>
          </w:tcPr>
          <w:p w14:paraId="4C3DF7E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60</w:t>
            </w:r>
          </w:p>
        </w:tc>
        <w:tc>
          <w:tcPr>
            <w:tcW w:w="705" w:type="dxa"/>
            <w:tcBorders>
              <w:top w:val="single" w:color="000000" w:sz="4" w:space="0"/>
              <w:left w:val="single" w:color="000000" w:sz="4" w:space="0"/>
              <w:bottom w:val="single" w:color="000000" w:sz="4" w:space="0"/>
              <w:right w:val="single" w:color="000000" w:sz="4" w:space="0"/>
            </w:tcBorders>
            <w:vAlign w:val="center"/>
          </w:tcPr>
          <w:p w14:paraId="18F649C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61295FA">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C91BCF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48058FB">
            <w:pPr>
              <w:jc w:val="center"/>
              <w:rPr>
                <w:rFonts w:ascii="宋体" w:hAnsi="宋体" w:eastAsia="宋体" w:cs="宋体"/>
                <w:color w:val="000000"/>
                <w:sz w:val="24"/>
                <w:szCs w:val="24"/>
              </w:rPr>
            </w:pPr>
          </w:p>
        </w:tc>
      </w:tr>
      <w:tr w14:paraId="6C942AAD">
        <w:trPr>
          <w:trHeight w:val="16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4628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25</w:t>
            </w:r>
          </w:p>
        </w:tc>
        <w:tc>
          <w:tcPr>
            <w:tcW w:w="825" w:type="dxa"/>
            <w:tcBorders>
              <w:top w:val="single" w:color="000000" w:sz="4" w:space="0"/>
              <w:left w:val="single" w:color="000000" w:sz="4" w:space="0"/>
              <w:bottom w:val="single" w:color="000000" w:sz="4" w:space="0"/>
              <w:right w:val="single" w:color="000000" w:sz="4" w:space="0"/>
            </w:tcBorders>
            <w:vAlign w:val="center"/>
          </w:tcPr>
          <w:p w14:paraId="33CDA00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智慧黑板</w:t>
            </w:r>
          </w:p>
        </w:tc>
        <w:tc>
          <w:tcPr>
            <w:tcW w:w="7770" w:type="dxa"/>
            <w:tcBorders>
              <w:top w:val="single" w:color="000000" w:sz="4" w:space="0"/>
              <w:left w:val="single" w:color="000000" w:sz="4" w:space="0"/>
              <w:bottom w:val="single" w:color="000000" w:sz="4" w:space="0"/>
              <w:right w:val="single" w:color="000000" w:sz="4" w:space="0"/>
            </w:tcBorders>
            <w:vAlign w:val="center"/>
          </w:tcPr>
          <w:p w14:paraId="5C3F702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一、整机硬件要求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1、智慧黑板采用三拼接平面一体化设计，主屏和副板过渡平滑并在同一平面，中间无单独边框阻隔。具备快速定位安装拼接，三段快速定位技术，能拼接成整体挂架。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2、整机尺寸：宽≥4300mm；高≥1200mm，厚≤90mm，无推拉式结构及外露连接线，外观简洁。屏幕边缘采用金属圆角包边防护，背板采用金属材质，有效屏蔽内部电路器件辐射。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3、整机主屏幕采用UHD超高清LED液晶A规屏，显示尺寸≥86英寸，显示比例16:9，分辨率3840×2160，亮度≥350cd/m²，可视角度≥178°。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4、整机色域覆盖率（NTSC）≥110%，灰度等级为256级。（提供CNAS认可检测机构出具的检验报告复印件并加盖厂商公章）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5、采用电容触控技术，Windows系统和安卓系统均支持40点触控，支持20人以上同时书写，触摸分辨率32768×32768。</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整机内置非独立的高清摄像头，拍摄像素≥1700万，视场角≥120°；内置非独立外扩展的≥8阵列麦克风，可对教室音频进行采集，拾音距离≥12米。（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7、嵌入式安卓系统的版本不低于Android 13.0，内存≥4GB，存储空间≥16GB。（提供CNAS认可检测机构出具的检验报告复印件并加盖厂商公章）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8、整机前置物理按键≥6个，支持复合功能，采用中文标识，功能包含电源、音量+、音量-、主页、护眼、录屏等。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9、整机前置接口具备隐藏式接口设计，需具备：USB3.0≥2，HDMI≥1，Type-C≥1，接口有中文标识，方便快速识别与使用。（提供CNAS认可检测机构出具的检验报告复印件并加盖厂商公章）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10、整机后置接口需具备：USB≥2，USB Touch≥1，HDMI IN≥1，RS232≥1，VGA≥1，RJ45≥1等。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11、内置双硬件Wi-Fi模块，Wi-Fi联网、AP热点均采用独立模块。支持Wi-Fi6。</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12、内置音箱，额定总功率为60W。（提供CNAS认可检测机构出具的检验报告复印件并加盖厂商公章）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13、整机支持蓝牙标准Bluetooth≥5.4。（提供CNAS认可检测机构出具的检验报告复印件并加盖厂商公章）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14、无需打开智慧黑板背板，前置接口面板、前置按键面板、屏体主板、屏体电源板、扬声器支持单独前拆；（提供CNAS认可检测机构出具的检验报告复印件并加盖厂商公章）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二、主要功能要求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15、前置按键具备一键启动录屏功能，支持windows系统下录屏。（提供CNAS认可检测机构出具的检验报告复印件并加盖厂商公章）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16、具备任意通道下的左右双侧边栏按键设计，侧边栏支持开启与关闭，，且快捷应用支持用户自定义。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17、支持智能手势熄屏，通过三指长按屏幕达到熄屏状态，并可通过三指长按实现屏幕唤醒功能。（提供CNAS认可检测机构出具的检验报告复印件并加盖厂商公章）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18、支持全通道窗口一键半屏（窗口下移）功能，支持通过不同手势操作显示窗口进行下移，并支持点击恢复显示全屏窗口。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19、支持单独听功能，显示屏熄屏关闭后，在黑屏状态下可进行音频播放。</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20、无需借助PC，整机内置专业硬件自检维护工具（不接受第三方工具），可一键进行硬件自检，包括对OPS电脑状态、网络状态、温度、光感系统、系统配置、CPU配置进行检测和故障提示。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三、内置OPS电脑要求</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1、内置OPS电脑采用抽拉式模块化设计，80pin接口；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2、无任何外接电源线和信号线，方便检测维护；</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3、不低于Intel 11代I5及以上CPU；8GB DDR4及以上内存；256G SSD及以上硬盘。</w:t>
            </w:r>
          </w:p>
        </w:tc>
        <w:tc>
          <w:tcPr>
            <w:tcW w:w="885" w:type="dxa"/>
            <w:tcBorders>
              <w:top w:val="single" w:color="000000" w:sz="4" w:space="0"/>
              <w:left w:val="single" w:color="000000" w:sz="4" w:space="0"/>
              <w:bottom w:val="single" w:color="000000" w:sz="4" w:space="0"/>
              <w:right w:val="single" w:color="000000" w:sz="4" w:space="0"/>
            </w:tcBorders>
            <w:vAlign w:val="center"/>
          </w:tcPr>
          <w:p w14:paraId="7C75B02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17C7FDD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2D43C8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B37111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EF3C92B">
            <w:pPr>
              <w:jc w:val="center"/>
              <w:rPr>
                <w:rFonts w:ascii="宋体" w:hAnsi="宋体" w:eastAsia="宋体" w:cs="宋体"/>
                <w:color w:val="000000"/>
                <w:sz w:val="24"/>
                <w:szCs w:val="24"/>
              </w:rPr>
            </w:pPr>
          </w:p>
        </w:tc>
      </w:tr>
      <w:tr w14:paraId="12D7AF3B">
        <w:tblPrEx>
          <w:tblCellMar>
            <w:top w:w="0" w:type="dxa"/>
            <w:left w:w="108" w:type="dxa"/>
            <w:bottom w:w="0" w:type="dxa"/>
            <w:right w:w="108" w:type="dxa"/>
          </w:tblCellMar>
        </w:tblPrEx>
        <w:trPr>
          <w:trHeight w:val="2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0F75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825" w:type="dxa"/>
            <w:tcBorders>
              <w:top w:val="single" w:color="000000" w:sz="4" w:space="0"/>
              <w:left w:val="single" w:color="000000" w:sz="4" w:space="0"/>
              <w:bottom w:val="single" w:color="000000" w:sz="4" w:space="0"/>
              <w:right w:val="single" w:color="000000" w:sz="4" w:space="0"/>
            </w:tcBorders>
            <w:vAlign w:val="center"/>
          </w:tcPr>
          <w:p w14:paraId="3C5D80A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讲桌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60204FB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基材优质环保刨花板，甲醛释放量达到国家E1级环保要求；厚度不小于25mm; 饰面采用优质三聚氰胺板，耐酸缄、韧性好，要求板面光滑平整，防划伤、高强耐磨,集中耐高温200℃，板材截面用优质同色PVC封边，厚度1.2mm，用高温机器自动粘贴，修边光滑平整，无棱角，且经过抛光处理。</w:t>
            </w:r>
          </w:p>
        </w:tc>
        <w:tc>
          <w:tcPr>
            <w:tcW w:w="885" w:type="dxa"/>
            <w:tcBorders>
              <w:top w:val="single" w:color="000000" w:sz="4" w:space="0"/>
              <w:left w:val="single" w:color="000000" w:sz="4" w:space="0"/>
              <w:bottom w:val="single" w:color="000000" w:sz="4" w:space="0"/>
              <w:right w:val="single" w:color="000000" w:sz="4" w:space="0"/>
            </w:tcBorders>
            <w:vAlign w:val="center"/>
          </w:tcPr>
          <w:p w14:paraId="693DE9D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8FB888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EF36CA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5561B5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C43F0D3">
            <w:pPr>
              <w:jc w:val="center"/>
              <w:rPr>
                <w:rFonts w:ascii="宋体" w:hAnsi="宋体" w:eastAsia="宋体" w:cs="宋体"/>
                <w:color w:val="000000"/>
                <w:sz w:val="24"/>
                <w:szCs w:val="24"/>
              </w:rPr>
            </w:pPr>
          </w:p>
        </w:tc>
      </w:tr>
      <w:tr w14:paraId="4185E495">
        <w:tblPrEx>
          <w:tblCellMar>
            <w:top w:w="0" w:type="dxa"/>
            <w:left w:w="108" w:type="dxa"/>
            <w:bottom w:w="0" w:type="dxa"/>
            <w:right w:w="108" w:type="dxa"/>
          </w:tblCellMar>
        </w:tblPrEx>
        <w:trPr>
          <w:trHeight w:val="104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25C291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27</w:t>
            </w:r>
          </w:p>
        </w:tc>
        <w:tc>
          <w:tcPr>
            <w:tcW w:w="825" w:type="dxa"/>
            <w:tcBorders>
              <w:top w:val="single" w:color="000000" w:sz="4" w:space="0"/>
              <w:left w:val="single" w:color="000000" w:sz="4" w:space="0"/>
              <w:bottom w:val="single" w:color="000000" w:sz="4" w:space="0"/>
              <w:right w:val="single" w:color="000000" w:sz="4" w:space="0"/>
            </w:tcBorders>
            <w:vAlign w:val="center"/>
          </w:tcPr>
          <w:p w14:paraId="4086EF4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护眼灯</w:t>
            </w:r>
          </w:p>
        </w:tc>
        <w:tc>
          <w:tcPr>
            <w:tcW w:w="7770" w:type="dxa"/>
            <w:tcBorders>
              <w:top w:val="single" w:color="000000" w:sz="4" w:space="0"/>
              <w:left w:val="single" w:color="000000" w:sz="4" w:space="0"/>
              <w:bottom w:val="single" w:color="000000" w:sz="4" w:space="0"/>
              <w:right w:val="single" w:color="000000" w:sz="4" w:space="0"/>
            </w:tcBorders>
            <w:vAlign w:val="center"/>
          </w:tcPr>
          <w:p w14:paraId="7BB62F5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LED光源，智能操控；可调节色温；触摸开关</w:t>
            </w:r>
          </w:p>
        </w:tc>
        <w:tc>
          <w:tcPr>
            <w:tcW w:w="885" w:type="dxa"/>
            <w:tcBorders>
              <w:top w:val="single" w:color="000000" w:sz="4" w:space="0"/>
              <w:left w:val="single" w:color="000000" w:sz="4" w:space="0"/>
              <w:bottom w:val="single" w:color="000000" w:sz="4" w:space="0"/>
              <w:right w:val="single" w:color="000000" w:sz="4" w:space="0"/>
            </w:tcBorders>
            <w:vAlign w:val="center"/>
          </w:tcPr>
          <w:p w14:paraId="741CBEA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47AED22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2FA8522">
            <w:pPr>
              <w:widowControl/>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8B0C75D">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C5EFA5E">
            <w:pPr>
              <w:jc w:val="center"/>
              <w:rPr>
                <w:rFonts w:ascii="宋体" w:hAnsi="宋体" w:eastAsia="宋体" w:cs="宋体"/>
                <w:color w:val="000000"/>
                <w:sz w:val="24"/>
                <w:szCs w:val="24"/>
              </w:rPr>
            </w:pPr>
          </w:p>
        </w:tc>
      </w:tr>
      <w:tr w14:paraId="00AB364E">
        <w:tblPrEx>
          <w:tblCellMar>
            <w:top w:w="0" w:type="dxa"/>
            <w:left w:w="108" w:type="dxa"/>
            <w:bottom w:w="0" w:type="dxa"/>
            <w:right w:w="108" w:type="dxa"/>
          </w:tblCellMar>
        </w:tblPrEx>
        <w:trPr>
          <w:trHeight w:val="14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C665B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28</w:t>
            </w:r>
          </w:p>
        </w:tc>
        <w:tc>
          <w:tcPr>
            <w:tcW w:w="825" w:type="dxa"/>
            <w:tcBorders>
              <w:top w:val="single" w:color="000000" w:sz="4" w:space="0"/>
              <w:left w:val="single" w:color="000000" w:sz="4" w:space="0"/>
              <w:bottom w:val="single" w:color="000000" w:sz="4" w:space="0"/>
              <w:right w:val="single" w:color="000000" w:sz="4" w:space="0"/>
            </w:tcBorders>
            <w:vAlign w:val="center"/>
          </w:tcPr>
          <w:p w14:paraId="30EB211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台式电脑</w:t>
            </w:r>
          </w:p>
        </w:tc>
        <w:tc>
          <w:tcPr>
            <w:tcW w:w="7770" w:type="dxa"/>
            <w:tcBorders>
              <w:top w:val="single" w:color="000000" w:sz="4" w:space="0"/>
              <w:left w:val="single" w:color="000000" w:sz="4" w:space="0"/>
              <w:bottom w:val="single" w:color="000000" w:sz="4" w:space="0"/>
              <w:right w:val="single" w:color="000000" w:sz="4" w:space="0"/>
            </w:tcBorders>
            <w:vAlign w:val="center"/>
          </w:tcPr>
          <w:p w14:paraId="0E8FA36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类型：商用台式电脑</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*1、处理器：不低于Intel I5-13500；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*2、芯片组：intel 770系列或以上；</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3、内存：≥8G DDR4 内存，2个内存插槽,最大支持64G；</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4、声卡：集成，前置一个3.5mm二合一音频接口，后置一组音频接口；</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5、硬盘： 512G M.2 PCIe NVMe硬盘；</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6、显卡：高性能集成显卡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*7、接口及扩展槽：USB接口≥10个（前置最少6个USB接口，其中一个为 USB Type-C接口，）；1×DP接口、1×HDMI接口、1×RJ-45、1×串口；至少1个PCI、1个PCIeX1、1个PCIeX16、2个M.2扩展插槽；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8、网卡：集成 10/100/1000M 自适应以太网卡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9、机箱: ≥15.6升标准机箱，免工具维护，静音设计，整机噪音低于10.5分贝；（提供认证证书复印件并加盖厂家公章）。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10键盘鼠标： 同品牌USB抗菌键盘及USB 抗菌鼠标。</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11、电源: ≥180W节能高效电源；电源能效比≥90%，提供检验证书并加盖厂商公章；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12、显示器：≥27寸同品牌宽屏LED背光液晶低蓝光显示器，分辨率：1920 x1080;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13、服务: 提供生产厂商三年免费上门保修承诺，提供厂家400或800售后服务热线电话</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14、所投计算机厂家须具备ISO相关证书（以上资料提供复印件并加盖原厂商公章）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15、认证:CCC认证、节能认证、环保认证、国家电子计算机检验检测中心出具的无故障运行时间不低于105万小时认证、具有CNAS认可的数据接口认证( USB数据接口无负载能量消耗＜150mW )、原厂商服务具有CCCS钻石五星认证、4PS认证和27001认证，以上认证须提供证书复印件加盖厂商公章。</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16、生产厂商出具的针对本项目的授权及售后服务承诺函。</w:t>
            </w:r>
          </w:p>
        </w:tc>
        <w:tc>
          <w:tcPr>
            <w:tcW w:w="885" w:type="dxa"/>
            <w:tcBorders>
              <w:top w:val="single" w:color="000000" w:sz="4" w:space="0"/>
              <w:left w:val="single" w:color="000000" w:sz="4" w:space="0"/>
              <w:bottom w:val="single" w:color="000000" w:sz="4" w:space="0"/>
              <w:right w:val="single" w:color="000000" w:sz="4" w:space="0"/>
            </w:tcBorders>
            <w:vAlign w:val="center"/>
          </w:tcPr>
          <w:p w14:paraId="4571B71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150</w:t>
            </w:r>
          </w:p>
        </w:tc>
        <w:tc>
          <w:tcPr>
            <w:tcW w:w="705" w:type="dxa"/>
            <w:tcBorders>
              <w:top w:val="single" w:color="000000" w:sz="4" w:space="0"/>
              <w:left w:val="single" w:color="000000" w:sz="4" w:space="0"/>
              <w:bottom w:val="single" w:color="000000" w:sz="4" w:space="0"/>
              <w:right w:val="single" w:color="000000" w:sz="4" w:space="0"/>
            </w:tcBorders>
            <w:vAlign w:val="center"/>
          </w:tcPr>
          <w:p w14:paraId="7152828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4D49E2C">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DFCC99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9E5D5FC">
            <w:pPr>
              <w:jc w:val="center"/>
              <w:rPr>
                <w:rFonts w:ascii="宋体" w:hAnsi="宋体" w:eastAsia="宋体" w:cs="宋体"/>
                <w:color w:val="000000"/>
                <w:sz w:val="24"/>
                <w:szCs w:val="24"/>
              </w:rPr>
            </w:pPr>
          </w:p>
        </w:tc>
      </w:tr>
      <w:tr w14:paraId="26B64B7A">
        <w:tblPrEx>
          <w:tblCellMar>
            <w:top w:w="0" w:type="dxa"/>
            <w:left w:w="108" w:type="dxa"/>
            <w:bottom w:w="0" w:type="dxa"/>
            <w:right w:w="108" w:type="dxa"/>
          </w:tblCellMar>
        </w:tblPrEx>
        <w:trPr>
          <w:trHeight w:val="700" w:hRule="atLeast"/>
        </w:trPr>
        <w:tc>
          <w:tcPr>
            <w:tcW w:w="10770" w:type="dxa"/>
            <w:gridSpan w:val="5"/>
            <w:tcBorders>
              <w:top w:val="single" w:color="000000" w:sz="4" w:space="0"/>
              <w:left w:val="single" w:color="000000" w:sz="4" w:space="0"/>
              <w:bottom w:val="single" w:color="000000" w:sz="4" w:space="0"/>
              <w:right w:val="single" w:color="000000" w:sz="4" w:space="0"/>
            </w:tcBorders>
            <w:noWrap/>
            <w:vAlign w:val="center"/>
          </w:tcPr>
          <w:p w14:paraId="14008830">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直播带岗直播间</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CF396D0">
            <w:pPr>
              <w:jc w:val="center"/>
              <w:rPr>
                <w:rFonts w:ascii="宋体" w:hAnsi="宋体" w:eastAsia="宋体" w:cs="宋体"/>
                <w:color w:val="000000"/>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789258E">
            <w:pPr>
              <w:jc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B70CA60">
            <w:pPr>
              <w:jc w:val="center"/>
              <w:rPr>
                <w:rFonts w:ascii="宋体" w:hAnsi="宋体" w:eastAsia="宋体" w:cs="宋体"/>
                <w:color w:val="000000"/>
                <w:sz w:val="24"/>
                <w:szCs w:val="24"/>
              </w:rPr>
            </w:pPr>
          </w:p>
        </w:tc>
      </w:tr>
      <w:tr w14:paraId="44CB025B">
        <w:tblPrEx>
          <w:tblCellMar>
            <w:top w:w="0" w:type="dxa"/>
            <w:left w:w="108" w:type="dxa"/>
            <w:bottom w:w="0" w:type="dxa"/>
            <w:right w:w="108" w:type="dxa"/>
          </w:tblCellMar>
        </w:tblPrEx>
        <w:trPr>
          <w:trHeight w:val="10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F662F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29</w:t>
            </w:r>
          </w:p>
        </w:tc>
        <w:tc>
          <w:tcPr>
            <w:tcW w:w="825" w:type="dxa"/>
            <w:tcBorders>
              <w:top w:val="single" w:color="000000" w:sz="4" w:space="0"/>
              <w:left w:val="single" w:color="000000" w:sz="4" w:space="0"/>
              <w:bottom w:val="single" w:color="000000" w:sz="4" w:space="0"/>
              <w:right w:val="single" w:color="000000" w:sz="4" w:space="0"/>
            </w:tcBorders>
            <w:vAlign w:val="center"/>
          </w:tcPr>
          <w:p w14:paraId="3D2D654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工位工作桌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3AC0F4A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材质要求:采用符合国家e1级优质高密度雨露实木板颗粒板厚度:2.5cm，高档三聚氰胺防火板饰面，板材具有耐磨、硬度高、防水、防污、耐高温、抗酸碱等优点，优质同色1.5mm加厚PVC一次环绕封边;产品符合GB18584标准，通过国家级检测机构认证。</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钢架材质:采用冷轧钢钢管，钢架主管厚度达到国家标准1.0mm，钢板0.6mm钢架部分焊接全部采用二氧化碳弧鱼鳞焊接，焊接表面波纹均匀，所有焊口打磨光滑，钢材经过除油除锈水基脱脂肪水基中和表面调整磷化等工序后静电喷ee248环氧型聚酯粉末涂料，经高温固化而成接触地面高度调节脚垫</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该桌台的设计钢木结合;规格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320*230*420mm;架体部分采用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25*25mm方管焊接，厚度不低于1.2mm，经酸洗、磷化、防锈处理采用高压静申喷涂而成;凳面采用15mm厚度三聚氰胺贴面.</w:t>
            </w:r>
          </w:p>
        </w:tc>
        <w:tc>
          <w:tcPr>
            <w:tcW w:w="885" w:type="dxa"/>
            <w:tcBorders>
              <w:top w:val="single" w:color="000000" w:sz="4" w:space="0"/>
              <w:left w:val="single" w:color="000000" w:sz="4" w:space="0"/>
              <w:bottom w:val="single" w:color="000000" w:sz="4" w:space="0"/>
              <w:right w:val="single" w:color="000000" w:sz="4" w:space="0"/>
            </w:tcBorders>
            <w:vAlign w:val="center"/>
          </w:tcPr>
          <w:p w14:paraId="6D2A72D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1607757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636CD8C">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07F609A">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DC4F8A5">
            <w:pPr>
              <w:jc w:val="center"/>
              <w:rPr>
                <w:rFonts w:ascii="宋体" w:hAnsi="宋体" w:eastAsia="宋体" w:cs="宋体"/>
                <w:color w:val="000000"/>
                <w:sz w:val="24"/>
                <w:szCs w:val="24"/>
              </w:rPr>
            </w:pPr>
          </w:p>
        </w:tc>
      </w:tr>
      <w:tr w14:paraId="218ED37B">
        <w:tblPrEx>
          <w:tblCellMar>
            <w:top w:w="0" w:type="dxa"/>
            <w:left w:w="108" w:type="dxa"/>
            <w:bottom w:w="0" w:type="dxa"/>
            <w:right w:w="108" w:type="dxa"/>
          </w:tblCellMar>
        </w:tblPrEx>
        <w:trPr>
          <w:trHeight w:val="5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6D691A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30</w:t>
            </w:r>
          </w:p>
        </w:tc>
        <w:tc>
          <w:tcPr>
            <w:tcW w:w="825" w:type="dxa"/>
            <w:tcBorders>
              <w:top w:val="single" w:color="000000" w:sz="4" w:space="0"/>
              <w:left w:val="single" w:color="000000" w:sz="4" w:space="0"/>
              <w:bottom w:val="single" w:color="000000" w:sz="4" w:space="0"/>
              <w:right w:val="single" w:color="000000" w:sz="4" w:space="0"/>
            </w:tcBorders>
            <w:vAlign w:val="center"/>
          </w:tcPr>
          <w:p w14:paraId="04D311D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一体化隔断</w:t>
            </w:r>
          </w:p>
        </w:tc>
        <w:tc>
          <w:tcPr>
            <w:tcW w:w="7770" w:type="dxa"/>
            <w:tcBorders>
              <w:top w:val="single" w:color="000000" w:sz="4" w:space="0"/>
              <w:left w:val="single" w:color="000000" w:sz="4" w:space="0"/>
              <w:bottom w:val="single" w:color="000000" w:sz="4" w:space="0"/>
              <w:right w:val="single" w:color="000000" w:sz="4" w:space="0"/>
            </w:tcBorders>
            <w:vAlign w:val="center"/>
          </w:tcPr>
          <w:p w14:paraId="6E44602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材质：玻璃或铁艺材料；边框：铝合金型材框架、铁艺封边；</w:t>
            </w:r>
          </w:p>
        </w:tc>
        <w:tc>
          <w:tcPr>
            <w:tcW w:w="885" w:type="dxa"/>
            <w:tcBorders>
              <w:top w:val="single" w:color="000000" w:sz="4" w:space="0"/>
              <w:left w:val="single" w:color="000000" w:sz="4" w:space="0"/>
              <w:bottom w:val="single" w:color="000000" w:sz="4" w:space="0"/>
              <w:right w:val="single" w:color="000000" w:sz="4" w:space="0"/>
            </w:tcBorders>
            <w:vAlign w:val="center"/>
          </w:tcPr>
          <w:p w14:paraId="2A30813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60</w:t>
            </w:r>
          </w:p>
        </w:tc>
        <w:tc>
          <w:tcPr>
            <w:tcW w:w="705" w:type="dxa"/>
            <w:tcBorders>
              <w:top w:val="single" w:color="000000" w:sz="4" w:space="0"/>
              <w:left w:val="single" w:color="000000" w:sz="4" w:space="0"/>
              <w:bottom w:val="single" w:color="000000" w:sz="4" w:space="0"/>
              <w:right w:val="single" w:color="000000" w:sz="4" w:space="0"/>
            </w:tcBorders>
            <w:vAlign w:val="center"/>
          </w:tcPr>
          <w:p w14:paraId="0AE94C9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186854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57A462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B767E05">
            <w:pPr>
              <w:jc w:val="center"/>
              <w:rPr>
                <w:rFonts w:ascii="宋体" w:hAnsi="宋体" w:eastAsia="宋体" w:cs="宋体"/>
                <w:color w:val="000000"/>
                <w:sz w:val="24"/>
                <w:szCs w:val="24"/>
              </w:rPr>
            </w:pPr>
          </w:p>
        </w:tc>
      </w:tr>
      <w:tr w14:paraId="11648FA8">
        <w:tblPrEx>
          <w:tblCellMar>
            <w:top w:w="0" w:type="dxa"/>
            <w:left w:w="108" w:type="dxa"/>
            <w:bottom w:w="0" w:type="dxa"/>
            <w:right w:w="108" w:type="dxa"/>
          </w:tblCellMar>
        </w:tblPrEx>
        <w:trPr>
          <w:trHeight w:val="740"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45072378">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融合洽谈功能区</w:t>
            </w:r>
          </w:p>
        </w:tc>
      </w:tr>
      <w:tr w14:paraId="52196A01">
        <w:tblPrEx>
          <w:tblCellMar>
            <w:top w:w="0" w:type="dxa"/>
            <w:left w:w="108" w:type="dxa"/>
            <w:bottom w:w="0" w:type="dxa"/>
            <w:right w:w="108" w:type="dxa"/>
          </w:tblCellMar>
        </w:tblPrEx>
        <w:trPr>
          <w:trHeight w:val="10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4F3DE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31</w:t>
            </w:r>
          </w:p>
        </w:tc>
        <w:tc>
          <w:tcPr>
            <w:tcW w:w="825" w:type="dxa"/>
            <w:tcBorders>
              <w:top w:val="single" w:color="000000" w:sz="4" w:space="0"/>
              <w:left w:val="single" w:color="000000" w:sz="4" w:space="0"/>
              <w:bottom w:val="single" w:color="000000" w:sz="4" w:space="0"/>
              <w:right w:val="single" w:color="000000" w:sz="4" w:space="0"/>
            </w:tcBorders>
            <w:vAlign w:val="center"/>
          </w:tcPr>
          <w:p w14:paraId="534E2D7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招聘洽谈桌</w:t>
            </w:r>
          </w:p>
        </w:tc>
        <w:tc>
          <w:tcPr>
            <w:tcW w:w="7770" w:type="dxa"/>
            <w:tcBorders>
              <w:top w:val="single" w:color="000000" w:sz="4" w:space="0"/>
              <w:left w:val="single" w:color="000000" w:sz="4" w:space="0"/>
              <w:bottom w:val="single" w:color="000000" w:sz="4" w:space="0"/>
              <w:right w:val="single" w:color="000000" w:sz="4" w:space="0"/>
            </w:tcBorders>
            <w:vAlign w:val="center"/>
          </w:tcPr>
          <w:p w14:paraId="284B9F6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桌面：25mm三胺板,铁架采用烧焊打磨；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台面常规色:工业风风格</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钢架常规色：白色 哑光；椅子：全钢制椅架，经过除锈、除油等九工序前处理，表面静电喷涂工艺实木多层板座板，高密度定型海绵，表面包优质环保皮革。8到10人以上座谈或者会议桌，含靠背凳子。</w:t>
            </w:r>
          </w:p>
        </w:tc>
        <w:tc>
          <w:tcPr>
            <w:tcW w:w="885" w:type="dxa"/>
            <w:tcBorders>
              <w:top w:val="single" w:color="000000" w:sz="4" w:space="0"/>
              <w:left w:val="single" w:color="000000" w:sz="4" w:space="0"/>
              <w:bottom w:val="single" w:color="000000" w:sz="4" w:space="0"/>
              <w:right w:val="single" w:color="000000" w:sz="4" w:space="0"/>
            </w:tcBorders>
            <w:vAlign w:val="center"/>
          </w:tcPr>
          <w:p w14:paraId="4EEE70D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w:t>
            </w:r>
          </w:p>
        </w:tc>
        <w:tc>
          <w:tcPr>
            <w:tcW w:w="705" w:type="dxa"/>
            <w:tcBorders>
              <w:top w:val="single" w:color="000000" w:sz="4" w:space="0"/>
              <w:left w:val="single" w:color="000000" w:sz="4" w:space="0"/>
              <w:bottom w:val="single" w:color="000000" w:sz="4" w:space="0"/>
              <w:right w:val="single" w:color="000000" w:sz="4" w:space="0"/>
            </w:tcBorders>
            <w:vAlign w:val="center"/>
          </w:tcPr>
          <w:p w14:paraId="7AA460F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套</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E4792D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FC33672">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BBA17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商务会谈和签约为主</w:t>
            </w:r>
          </w:p>
        </w:tc>
      </w:tr>
      <w:tr w14:paraId="78772518">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C21BA88">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32</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4D77AC2">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企业用工信息显示器</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27855785">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100寸以上电视机，含配套电视车，用于直播大厅和接待大厅显示器，播放用工信息。含电源线等。</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3FDD32E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6C01005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14:paraId="6CBF795C">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27E588E9">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4611B92">
            <w:pPr>
              <w:jc w:val="center"/>
              <w:rPr>
                <w:rFonts w:ascii="Calibri" w:hAnsi="Calibri" w:eastAsia="宋体" w:cs="Times New Roman"/>
                <w:sz w:val="24"/>
                <w:szCs w:val="24"/>
              </w:rPr>
            </w:pPr>
          </w:p>
        </w:tc>
      </w:tr>
      <w:tr w14:paraId="70C75A0B">
        <w:tblPrEx>
          <w:tblCellMar>
            <w:top w:w="0" w:type="dxa"/>
            <w:left w:w="108" w:type="dxa"/>
            <w:bottom w:w="0" w:type="dxa"/>
            <w:right w:w="108" w:type="dxa"/>
          </w:tblCellMar>
        </w:tblPrEx>
        <w:trPr>
          <w:trHeight w:val="427" w:hRule="atLeast"/>
        </w:trPr>
        <w:tc>
          <w:tcPr>
            <w:tcW w:w="14174" w:type="dxa"/>
            <w:gridSpan w:val="9"/>
            <w:tcBorders>
              <w:top w:val="single" w:color="000000" w:sz="4" w:space="0"/>
              <w:left w:val="single" w:color="000000" w:sz="4" w:space="0"/>
              <w:bottom w:val="single" w:color="000000" w:sz="4" w:space="0"/>
              <w:right w:val="single" w:color="000000" w:sz="4" w:space="0"/>
            </w:tcBorders>
            <w:noWrap/>
            <w:vAlign w:val="center"/>
          </w:tcPr>
          <w:p w14:paraId="41391C38">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移动就业创业会务设施</w:t>
            </w:r>
          </w:p>
        </w:tc>
      </w:tr>
      <w:tr w14:paraId="78785198">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530EA77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33</w:t>
            </w:r>
          </w:p>
        </w:tc>
        <w:tc>
          <w:tcPr>
            <w:tcW w:w="825" w:type="dxa"/>
            <w:tcBorders>
              <w:top w:val="single" w:color="000000" w:sz="4" w:space="0"/>
              <w:left w:val="single" w:color="000000" w:sz="4" w:space="0"/>
              <w:bottom w:val="single" w:color="000000" w:sz="4" w:space="0"/>
              <w:right w:val="single" w:color="000000" w:sz="4" w:space="0"/>
            </w:tcBorders>
            <w:vAlign w:val="center"/>
          </w:tcPr>
          <w:p w14:paraId="38204F5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活动帐篷</w:t>
            </w:r>
          </w:p>
        </w:tc>
        <w:tc>
          <w:tcPr>
            <w:tcW w:w="7770" w:type="dxa"/>
            <w:tcBorders>
              <w:top w:val="single" w:color="000000" w:sz="4" w:space="0"/>
              <w:left w:val="single" w:color="000000" w:sz="4" w:space="0"/>
              <w:bottom w:val="single" w:color="000000" w:sz="4" w:space="0"/>
              <w:right w:val="single" w:color="000000" w:sz="4" w:space="0"/>
            </w:tcBorders>
            <w:vAlign w:val="center"/>
          </w:tcPr>
          <w:p w14:paraId="12DADA7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快速部署型活动帐篷，蓬体材料：改性PVC夹网布或其他高强度、防水、耐用的材料；拉伸强度T≥2000N/5cm，W≥1500N/5cm；撕破强度T≥160N/5cm，W≥160N/5cm；框架材质：高强度铝合金；隔热性能：外界试验环境温度大于30℃时，帐篷内温度由28℃升为32℃的时间不小于4h；抗风等级：8级；</w:t>
            </w:r>
          </w:p>
        </w:tc>
        <w:tc>
          <w:tcPr>
            <w:tcW w:w="885" w:type="dxa"/>
            <w:tcBorders>
              <w:top w:val="single" w:color="000000" w:sz="4" w:space="0"/>
              <w:left w:val="single" w:color="000000" w:sz="4" w:space="0"/>
              <w:bottom w:val="single" w:color="000000" w:sz="4" w:space="0"/>
              <w:right w:val="single" w:color="000000" w:sz="4" w:space="0"/>
            </w:tcBorders>
            <w:vAlign w:val="center"/>
          </w:tcPr>
          <w:p w14:paraId="16285A5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30</w:t>
            </w:r>
          </w:p>
        </w:tc>
        <w:tc>
          <w:tcPr>
            <w:tcW w:w="705" w:type="dxa"/>
            <w:tcBorders>
              <w:top w:val="single" w:color="000000" w:sz="4" w:space="0"/>
              <w:left w:val="single" w:color="000000" w:sz="4" w:space="0"/>
              <w:bottom w:val="single" w:color="000000" w:sz="4" w:space="0"/>
              <w:right w:val="single" w:color="000000" w:sz="4" w:space="0"/>
            </w:tcBorders>
            <w:vAlign w:val="center"/>
          </w:tcPr>
          <w:p w14:paraId="3E63145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357B4A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D2CA37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8ABB8BE">
            <w:pPr>
              <w:jc w:val="center"/>
              <w:rPr>
                <w:rFonts w:ascii="宋体" w:hAnsi="宋体" w:eastAsia="宋体" w:cs="宋体"/>
                <w:color w:val="000000"/>
                <w:sz w:val="24"/>
                <w:szCs w:val="24"/>
              </w:rPr>
            </w:pPr>
          </w:p>
        </w:tc>
      </w:tr>
      <w:tr w14:paraId="11ECAA63">
        <w:tblPrEx>
          <w:tblCellMar>
            <w:top w:w="0" w:type="dxa"/>
            <w:left w:w="108" w:type="dxa"/>
            <w:bottom w:w="0" w:type="dxa"/>
            <w:right w:w="108" w:type="dxa"/>
          </w:tblCellMar>
        </w:tblPrEx>
        <w:trPr>
          <w:trHeight w:val="5801"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5EE8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34</w:t>
            </w:r>
          </w:p>
        </w:tc>
        <w:tc>
          <w:tcPr>
            <w:tcW w:w="825" w:type="dxa"/>
            <w:tcBorders>
              <w:top w:val="single" w:color="000000" w:sz="4" w:space="0"/>
              <w:left w:val="single" w:color="000000" w:sz="4" w:space="0"/>
              <w:bottom w:val="single" w:color="000000" w:sz="4" w:space="0"/>
              <w:right w:val="single" w:color="000000" w:sz="4" w:space="0"/>
            </w:tcBorders>
            <w:vAlign w:val="center"/>
          </w:tcPr>
          <w:p w14:paraId="521C67B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可折叠桌凳</w:t>
            </w:r>
          </w:p>
        </w:tc>
        <w:tc>
          <w:tcPr>
            <w:tcW w:w="7770" w:type="dxa"/>
            <w:tcBorders>
              <w:top w:val="single" w:color="000000" w:sz="4" w:space="0"/>
              <w:left w:val="single" w:color="000000" w:sz="4" w:space="0"/>
              <w:bottom w:val="single" w:color="000000" w:sz="4" w:space="0"/>
              <w:right w:val="single" w:color="000000" w:sz="4" w:space="0"/>
            </w:tcBorders>
            <w:vAlign w:val="center"/>
          </w:tcPr>
          <w:p w14:paraId="3A35851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成人双人桌凳，活动自如的台面设计符合人体工程学原理，桌面有旋钮折叠万向移动功能，可多类型拼接讨论创客，充分节省有限的办公、学习空间，体现现代化的办公与</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学习空间理念:安装、维修方便。整体造型外观饱满，精致大方。可为办公环境，教学楼、学校、会议场所.钢架白色.板材白色.封边白加黑。材质：棉布/网布</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海绵：高密度海绵</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椅背：格纹网+黑色尼龙框架+铝合金连接件</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椅座：涤纶皱布+原生海棉+木板+可向上折回80°白色防尘底壳（带卡槽）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写字板：ABS面板，铝合金板托，白色喷涂钢筋支架，可旋转，可收放笔槽和茶杯托                                                                                                                                                                          扶手：固定扶手+PA面盖；</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椅脚: 双尼龙连接件+白色喷涂四脚架带钢丝加固；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椅轮:50㎜黑色万向尼龙轮（选配）；    </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写字板：产品优势: 折叠桌椅符合人体工程学设计，满足教师讲授、分组活动、个人学习三种模式，可迅速便捷地对教室布局进行转换，且能增强学生的舒适感、加深其相互间联系、提高其课堂参与度。</w:t>
            </w:r>
          </w:p>
        </w:tc>
        <w:tc>
          <w:tcPr>
            <w:tcW w:w="885" w:type="dxa"/>
            <w:tcBorders>
              <w:top w:val="single" w:color="000000" w:sz="4" w:space="0"/>
              <w:left w:val="single" w:color="000000" w:sz="4" w:space="0"/>
              <w:bottom w:val="single" w:color="000000" w:sz="4" w:space="0"/>
              <w:right w:val="single" w:color="000000" w:sz="4" w:space="0"/>
            </w:tcBorders>
            <w:vAlign w:val="center"/>
          </w:tcPr>
          <w:p w14:paraId="178720F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single" w:color="000000" w:sz="4" w:space="0"/>
            </w:tcBorders>
            <w:vAlign w:val="center"/>
          </w:tcPr>
          <w:p w14:paraId="00C3338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A740BB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2CD7E89">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7128FA0F">
            <w:pPr>
              <w:jc w:val="center"/>
              <w:rPr>
                <w:rFonts w:ascii="宋体" w:hAnsi="宋体" w:eastAsia="宋体" w:cs="宋体"/>
                <w:color w:val="000000"/>
                <w:sz w:val="24"/>
                <w:szCs w:val="24"/>
              </w:rPr>
            </w:pPr>
          </w:p>
        </w:tc>
      </w:tr>
      <w:tr w14:paraId="77F2AC2E">
        <w:tblPrEx>
          <w:tblCellMar>
            <w:top w:w="0" w:type="dxa"/>
            <w:left w:w="108" w:type="dxa"/>
            <w:bottom w:w="0" w:type="dxa"/>
            <w:right w:w="108" w:type="dxa"/>
          </w:tblCellMar>
        </w:tblPrEx>
        <w:trPr>
          <w:trHeight w:val="794"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C4EF3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35</w:t>
            </w:r>
          </w:p>
        </w:tc>
        <w:tc>
          <w:tcPr>
            <w:tcW w:w="825" w:type="dxa"/>
            <w:tcBorders>
              <w:top w:val="single" w:color="000000" w:sz="4" w:space="0"/>
              <w:left w:val="single" w:color="000000" w:sz="4" w:space="0"/>
              <w:bottom w:val="single" w:color="000000" w:sz="4" w:space="0"/>
              <w:right w:val="single" w:color="000000" w:sz="4" w:space="0"/>
            </w:tcBorders>
            <w:vAlign w:val="center"/>
          </w:tcPr>
          <w:p w14:paraId="1CF0176B">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活动展架</w:t>
            </w:r>
          </w:p>
        </w:tc>
        <w:tc>
          <w:tcPr>
            <w:tcW w:w="7770" w:type="dxa"/>
            <w:tcBorders>
              <w:top w:val="single" w:color="000000" w:sz="4" w:space="0"/>
              <w:left w:val="single" w:color="000000" w:sz="4" w:space="0"/>
              <w:bottom w:val="single" w:color="000000" w:sz="4" w:space="0"/>
              <w:right w:val="single" w:color="000000" w:sz="4" w:space="0"/>
            </w:tcBorders>
            <w:vAlign w:val="center"/>
          </w:tcPr>
          <w:p w14:paraId="7AB023C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尺寸：抽拉式，可活动，铝合金制成，搭配写真纸海报或其他类型的海报材料;于搭建和拆卸，便于携带和运输</w:t>
            </w:r>
          </w:p>
        </w:tc>
        <w:tc>
          <w:tcPr>
            <w:tcW w:w="885" w:type="dxa"/>
            <w:tcBorders>
              <w:top w:val="single" w:color="000000" w:sz="4" w:space="0"/>
              <w:left w:val="single" w:color="000000" w:sz="4" w:space="0"/>
              <w:bottom w:val="single" w:color="000000" w:sz="4" w:space="0"/>
              <w:right w:val="single" w:color="000000" w:sz="4" w:space="0"/>
            </w:tcBorders>
            <w:vAlign w:val="center"/>
          </w:tcPr>
          <w:p w14:paraId="71181BE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67BFBA4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C9EFB2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CEBBBA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B855862">
            <w:pPr>
              <w:jc w:val="center"/>
              <w:rPr>
                <w:rFonts w:ascii="宋体" w:hAnsi="宋体" w:eastAsia="宋体" w:cs="宋体"/>
                <w:color w:val="000000"/>
                <w:sz w:val="24"/>
                <w:szCs w:val="24"/>
              </w:rPr>
            </w:pPr>
          </w:p>
        </w:tc>
      </w:tr>
      <w:tr w14:paraId="450F2770">
        <w:tblPrEx>
          <w:tblCellMar>
            <w:top w:w="0" w:type="dxa"/>
            <w:left w:w="108" w:type="dxa"/>
            <w:bottom w:w="0" w:type="dxa"/>
            <w:right w:w="108" w:type="dxa"/>
          </w:tblCellMar>
        </w:tblPrEx>
        <w:trPr>
          <w:trHeight w:val="770" w:hRule="atLeast"/>
        </w:trPr>
        <w:tc>
          <w:tcPr>
            <w:tcW w:w="10770" w:type="dxa"/>
            <w:gridSpan w:val="5"/>
            <w:tcBorders>
              <w:top w:val="single" w:color="000000" w:sz="4" w:space="0"/>
              <w:left w:val="single" w:color="000000" w:sz="4" w:space="0"/>
              <w:bottom w:val="single" w:color="000000" w:sz="4" w:space="0"/>
              <w:right w:val="single" w:color="000000" w:sz="4" w:space="0"/>
            </w:tcBorders>
            <w:noWrap/>
            <w:vAlign w:val="center"/>
          </w:tcPr>
          <w:p w14:paraId="31BDBB10">
            <w:pPr>
              <w:widowControl/>
              <w:jc w:val="center"/>
              <w:textAlignment w:val="center"/>
              <w:rPr>
                <w:rFonts w:ascii="宋体" w:hAnsi="宋体" w:eastAsia="宋体" w:cs="宋体"/>
                <w:color w:val="000000"/>
                <w:sz w:val="24"/>
                <w:szCs w:val="24"/>
              </w:rPr>
            </w:pPr>
            <w:r>
              <w:rPr>
                <w:rFonts w:hint="eastAsia" w:ascii="宋体" w:hAnsi="宋体" w:eastAsia="宋体" w:cs="宋体"/>
                <w:b/>
                <w:bCs/>
                <w:color w:val="FF0000"/>
                <w:kern w:val="0"/>
                <w:sz w:val="24"/>
                <w:szCs w:val="24"/>
                <w:lang w:bidi="ar"/>
              </w:rPr>
              <w:t>信息化工程和培训基地综合功能提升</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D2F6050">
            <w:pPr>
              <w:jc w:val="center"/>
              <w:rPr>
                <w:rFonts w:ascii="宋体" w:hAnsi="宋体" w:eastAsia="宋体" w:cs="宋体"/>
                <w:color w:val="000000"/>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ADF3B5">
            <w:pPr>
              <w:jc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0C7F0E95">
            <w:pPr>
              <w:jc w:val="center"/>
              <w:rPr>
                <w:rFonts w:ascii="宋体" w:hAnsi="宋体" w:eastAsia="宋体" w:cs="宋体"/>
                <w:color w:val="000000"/>
                <w:sz w:val="24"/>
                <w:szCs w:val="24"/>
              </w:rPr>
            </w:pPr>
          </w:p>
        </w:tc>
      </w:tr>
      <w:tr w14:paraId="30E8DEBD">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nil"/>
            </w:tcBorders>
            <w:noWrap/>
            <w:vAlign w:val="center"/>
          </w:tcPr>
          <w:p w14:paraId="1B6DD389">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36</w:t>
            </w:r>
          </w:p>
        </w:tc>
        <w:tc>
          <w:tcPr>
            <w:tcW w:w="825" w:type="dxa"/>
            <w:tcBorders>
              <w:top w:val="single" w:color="000000" w:sz="4" w:space="0"/>
              <w:left w:val="single" w:color="000000" w:sz="4" w:space="0"/>
              <w:bottom w:val="single" w:color="000000" w:sz="4" w:space="0"/>
              <w:right w:val="nil"/>
            </w:tcBorders>
            <w:noWrap/>
            <w:vAlign w:val="center"/>
          </w:tcPr>
          <w:p w14:paraId="65C17570">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工作灯</w:t>
            </w:r>
          </w:p>
        </w:tc>
        <w:tc>
          <w:tcPr>
            <w:tcW w:w="7770" w:type="dxa"/>
            <w:tcBorders>
              <w:top w:val="single" w:color="000000" w:sz="4" w:space="0"/>
              <w:left w:val="single" w:color="000000" w:sz="4" w:space="0"/>
              <w:bottom w:val="single" w:color="000000" w:sz="4" w:space="0"/>
              <w:right w:val="nil"/>
            </w:tcBorders>
            <w:noWrap/>
            <w:vAlign w:val="center"/>
          </w:tcPr>
          <w:p w14:paraId="75571024">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与桥架配套使用，LED照明工作灯，</w:t>
            </w:r>
          </w:p>
        </w:tc>
        <w:tc>
          <w:tcPr>
            <w:tcW w:w="885" w:type="dxa"/>
            <w:tcBorders>
              <w:top w:val="single" w:color="000000" w:sz="4" w:space="0"/>
              <w:left w:val="single" w:color="000000" w:sz="4" w:space="0"/>
              <w:bottom w:val="single" w:color="000000" w:sz="4" w:space="0"/>
              <w:right w:val="nil"/>
            </w:tcBorders>
            <w:noWrap/>
            <w:vAlign w:val="center"/>
          </w:tcPr>
          <w:p w14:paraId="4FA902B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100</w:t>
            </w:r>
          </w:p>
        </w:tc>
        <w:tc>
          <w:tcPr>
            <w:tcW w:w="705" w:type="dxa"/>
            <w:tcBorders>
              <w:top w:val="single" w:color="000000" w:sz="4" w:space="0"/>
              <w:left w:val="single" w:color="000000" w:sz="4" w:space="0"/>
              <w:bottom w:val="single" w:color="000000" w:sz="4" w:space="0"/>
              <w:right w:val="nil"/>
            </w:tcBorders>
            <w:noWrap/>
            <w:vAlign w:val="center"/>
          </w:tcPr>
          <w:p w14:paraId="71BBFC7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nil"/>
            </w:tcBorders>
            <w:noWrap/>
            <w:vAlign w:val="center"/>
          </w:tcPr>
          <w:p w14:paraId="34B71A25">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nil"/>
            </w:tcBorders>
            <w:noWrap/>
            <w:vAlign w:val="center"/>
          </w:tcPr>
          <w:p w14:paraId="1673A68E">
            <w:pPr>
              <w:widowControl/>
              <w:jc w:val="center"/>
              <w:textAlignment w:val="center"/>
              <w:rPr>
                <w:rFonts w:ascii="Calibri" w:hAnsi="Calibri" w:eastAsia="宋体" w:cs="Times New Roman"/>
                <w:sz w:val="24"/>
                <w:szCs w:val="24"/>
              </w:rPr>
            </w:pPr>
          </w:p>
        </w:tc>
        <w:tc>
          <w:tcPr>
            <w:tcW w:w="1432" w:type="dxa"/>
            <w:tcBorders>
              <w:top w:val="single" w:color="000000" w:sz="4" w:space="0"/>
              <w:left w:val="nil"/>
              <w:bottom w:val="single" w:color="000000" w:sz="4" w:space="0"/>
              <w:right w:val="nil"/>
            </w:tcBorders>
            <w:noWrap/>
            <w:vAlign w:val="center"/>
          </w:tcPr>
          <w:p w14:paraId="2FBD5789">
            <w:pPr>
              <w:jc w:val="center"/>
              <w:rPr>
                <w:rFonts w:ascii="宋体" w:hAnsi="宋体" w:eastAsia="宋体" w:cs="宋体"/>
                <w:b/>
                <w:bCs/>
                <w:color w:val="000000"/>
                <w:sz w:val="24"/>
                <w:szCs w:val="24"/>
              </w:rPr>
            </w:pPr>
          </w:p>
        </w:tc>
      </w:tr>
      <w:tr w14:paraId="70DC9A92">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41FFD9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37</w:t>
            </w:r>
          </w:p>
        </w:tc>
        <w:tc>
          <w:tcPr>
            <w:tcW w:w="825" w:type="dxa"/>
            <w:tcBorders>
              <w:top w:val="single" w:color="000000" w:sz="4" w:space="0"/>
              <w:left w:val="single" w:color="000000" w:sz="4" w:space="0"/>
              <w:bottom w:val="single" w:color="000000" w:sz="4" w:space="0"/>
              <w:right w:val="single" w:color="000000" w:sz="4" w:space="0"/>
            </w:tcBorders>
            <w:vAlign w:val="center"/>
          </w:tcPr>
          <w:p w14:paraId="30E0E8B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实训工位隔断</w:t>
            </w:r>
          </w:p>
        </w:tc>
        <w:tc>
          <w:tcPr>
            <w:tcW w:w="7770" w:type="dxa"/>
            <w:tcBorders>
              <w:top w:val="single" w:color="000000" w:sz="4" w:space="0"/>
              <w:left w:val="single" w:color="000000" w:sz="4" w:space="0"/>
              <w:bottom w:val="single" w:color="000000" w:sz="4" w:space="0"/>
              <w:right w:val="single" w:color="000000" w:sz="4" w:space="0"/>
            </w:tcBorders>
            <w:vAlign w:val="center"/>
          </w:tcPr>
          <w:p w14:paraId="53D78FF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车间隔断，材质：玻璃、铁艺不锈钢封边。封边厚度铝合金或型材框架或铁艺；</w:t>
            </w:r>
          </w:p>
        </w:tc>
        <w:tc>
          <w:tcPr>
            <w:tcW w:w="885" w:type="dxa"/>
            <w:tcBorders>
              <w:top w:val="single" w:color="000000" w:sz="4" w:space="0"/>
              <w:left w:val="single" w:color="000000" w:sz="4" w:space="0"/>
              <w:bottom w:val="single" w:color="000000" w:sz="4" w:space="0"/>
              <w:right w:val="single" w:color="000000" w:sz="4" w:space="0"/>
            </w:tcBorders>
            <w:vAlign w:val="center"/>
          </w:tcPr>
          <w:p w14:paraId="6A04283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266DC4F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4016C4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94780A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4E50067">
            <w:pPr>
              <w:jc w:val="center"/>
              <w:rPr>
                <w:rFonts w:ascii="宋体" w:hAnsi="宋体" w:eastAsia="宋体" w:cs="宋体"/>
                <w:color w:val="000000"/>
                <w:sz w:val="24"/>
                <w:szCs w:val="24"/>
              </w:rPr>
            </w:pPr>
          </w:p>
        </w:tc>
      </w:tr>
      <w:tr w14:paraId="3F5B4609">
        <w:tblPrEx>
          <w:tblCellMar>
            <w:top w:w="0" w:type="dxa"/>
            <w:left w:w="108" w:type="dxa"/>
            <w:bottom w:w="0" w:type="dxa"/>
            <w:right w:w="108" w:type="dxa"/>
          </w:tblCellMar>
        </w:tblPrEx>
        <w:trPr>
          <w:trHeight w:val="13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A2A40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38</w:t>
            </w:r>
          </w:p>
        </w:tc>
        <w:tc>
          <w:tcPr>
            <w:tcW w:w="825" w:type="dxa"/>
            <w:tcBorders>
              <w:top w:val="single" w:color="000000" w:sz="4" w:space="0"/>
              <w:left w:val="single" w:color="000000" w:sz="4" w:space="0"/>
              <w:bottom w:val="single" w:color="000000" w:sz="4" w:space="0"/>
              <w:right w:val="single" w:color="000000" w:sz="4" w:space="0"/>
            </w:tcBorders>
            <w:vAlign w:val="center"/>
          </w:tcPr>
          <w:p w14:paraId="43050AD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广播系统</w:t>
            </w:r>
          </w:p>
        </w:tc>
        <w:tc>
          <w:tcPr>
            <w:tcW w:w="7770" w:type="dxa"/>
            <w:tcBorders>
              <w:top w:val="single" w:color="000000" w:sz="4" w:space="0"/>
              <w:left w:val="single" w:color="000000" w:sz="4" w:space="0"/>
              <w:bottom w:val="single" w:color="000000" w:sz="4" w:space="0"/>
              <w:right w:val="single" w:color="000000" w:sz="4" w:space="0"/>
            </w:tcBorders>
            <w:vAlign w:val="center"/>
          </w:tcPr>
          <w:p w14:paraId="7719EDD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1、室外防水音柱20个</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优质户外防水音柱音色极佳；采用铝镁合金制作的外壳，可抵挡日晒、风吹、雨淋；适用于室内外各种环境之中，如：公共场所、超级市场、学校、车站等；</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额定功率：60W；输入：70V/100V；阻抗：500Ω/245Ω；灵敏度：98dB；频率响应：120Hz-16KHz；喇叭单元：6.5"×2  2"×1；防护等级：IP×6防水；</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2、前置放大器2台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1、 标准机箱设计，2U铝合金面板；人性化的抽手设计，美观实用。2、 有10个输入通道：包括5路话筒（MIC）输入；3路标准信号线路（AUX）输入；2路紧急线路输入。</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3、第1个话筒（MIC1）具有最高优先、强行切入优先功能。4、 MIC 1、2、3、4、5和2路紧急输入通道均附设有线路辅助输入接口功能。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 话筒（MIC）输入通道和线路（AUX）输入通道均可独立调校音量。6、 MIC 2、3、4、5和线路AUX1、2、3可交叉混合输出。</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7、 设有高音（TREBLE）和低音（BASS）独立调节。8、 2路紧急输入线路具有二级优先，强行切入优先功能</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输入:MIC 1.2.3.4.5:5mV/600Ω非平衡  AUX 1.2.3:10KΩ/200mV非平衡</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输出:600Ω/1V/0dBV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频率响应:20Hz~20KHz(±1dB)信号/灵敏度  MIC 输入:80dB  AUX输入:85dB</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音调低音:±10dB at 100Hz高音:±10dB at 10KHz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电源输入:~220V/50Hz</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3、功放3台</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 xml:space="preserve"> 设有RCA插口，XLR插口，非常适用大、中、小型公共场合广播使用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设有100V、70V定压输出和4~16Ω定阻输出, 使本机既可作广播系统使用，也可用来推专业级音箱</w:t>
            </w:r>
            <w:r>
              <w:rPr>
                <w:rFonts w:ascii="Symbol" w:hAnsi="Symbol" w:eastAsia="宋体" w:cs="Symbol"/>
                <w:color w:val="000000"/>
                <w:sz w:val="24"/>
                <w:szCs w:val="14"/>
                <w:lang w:bidi="ar"/>
              </w:rPr>
              <w:t></w:t>
            </w:r>
            <w:r>
              <w:rPr>
                <w:rFonts w:ascii="宋体" w:hAnsi="宋体" w:eastAsia="宋体" w:cs="宋体"/>
                <w:color w:val="000000"/>
                <w:sz w:val="24"/>
                <w:szCs w:val="14"/>
                <w:lang w:bidi="ar"/>
              </w:rPr>
              <w:t xml:space="preserve">              输出音量可调节</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LED电平显示：可显示输出信号强度，失真状态，保护，超温指示，便于观察机器工作情况</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具有完善的过压、过流、短路、中点漂移和超温保护功能</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出色的噪声控制，可与专业级功放媲美。</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特有的输入信号自动压缩功能，输出信号永不失真，最大限度保护音箱不会因输入信号过大或人为误操作造成的损坏。</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无级调速风机，转速随温度变化，高效、节能，静音保证良好散热。</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专业的模块化电路设计，保证产品可靠的一致性。</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高强度1.5MM加厚机身，确保产品不会因运输环境恶劣引起变形。</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4、广播定时器1台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采用世界先进的微电脑控制、MP3、FLASH录音技术，以SAMSUNG FLASH为存储方式，音质清晰、优美，内存容量有64M－512M。将广播自动播放、音源选播、录音下载、音频和麦克风录音存储等先进功能综合为一体。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具有自动广播功能、每天可达99次设定编程播放，对播放内容和播出时间、次数及循环设定多遍播放并任意编程控制，实现无人值守。每一次编程时间设定可达几十首歌曲进行播放输入。对某些需要准点播放的内容拥有优先权。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采用中文式菜单液晶显示，引导式菜单进入，操作简易直观。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 xml:space="preserve">接口兼容性强,可从各种媒体（VCD、CD、卡座等）线路和麦克风两种方式录音存储音乐曲目。另有高速USB下载端口,可直接连接电脑进行音乐下载。   </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可以调频收音，实现自动定时转播电台新闻进入广播网。</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5、鹅颈话筒</w:t>
            </w:r>
            <w:r>
              <w:rPr>
                <w:rFonts w:hint="eastAsia" w:ascii="宋体" w:hAnsi="宋体" w:eastAsia="宋体" w:cs="宋体"/>
                <w:color w:val="000000"/>
                <w:sz w:val="24"/>
                <w:szCs w:val="14"/>
                <w:lang w:bidi="ar"/>
              </w:rPr>
              <w:t>6个</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台式广播专用  带前奏音克风；</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6、远距离无线话筒2套</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真正分集接收，采用双天线、双接收线路，纯自动选讯(True Diversity)接收方式</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·全新双通道数字自动选迅远距离话筒，有lD号加密，不易受干扰，不会窜频，自动搜干净频率，自设开关锁，面板上可以搜索频率，自设面     板功能锁，安全使用。</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·接收机通道具有独立的200个频道可调,AB通道各100个频点</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·采用独特的CPU控制开关机，发射或接收不管处于何种状态，开关机都无冲击声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·采用专业二次变频和多级射频滤波技术，多套使用互不干扰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·发射机自动同步接收机工作频率，</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·音码和射频强度双重静噪杜绝干扰</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·发射机锁定模式避免错误关机</w:t>
            </w:r>
            <w:r>
              <w:rPr>
                <w:rFonts w:ascii="宋体" w:hAnsi="宋体" w:eastAsia="宋体" w:cs="宋体"/>
                <w:color w:val="000000"/>
                <w:sz w:val="24"/>
                <w:szCs w:val="14"/>
                <w:lang w:bidi="ar"/>
              </w:rPr>
              <w:br w:type="textWrapping"/>
            </w:r>
            <w:r>
              <w:rPr>
                <w:rFonts w:ascii="宋体" w:hAnsi="宋体" w:eastAsia="宋体" w:cs="宋体"/>
                <w:color w:val="000000"/>
                <w:sz w:val="24"/>
                <w:szCs w:val="14"/>
                <w:lang w:bidi="ar"/>
              </w:rPr>
              <w:t>系统指标  载波频率范围：( 640~690MHz) 通道数目：200，AB通道各100个频点  调制方式：宽带FM  频带宽度：50MHz</w:t>
            </w:r>
          </w:p>
        </w:tc>
        <w:tc>
          <w:tcPr>
            <w:tcW w:w="885" w:type="dxa"/>
            <w:tcBorders>
              <w:top w:val="single" w:color="000000" w:sz="4" w:space="0"/>
              <w:left w:val="single" w:color="000000" w:sz="4" w:space="0"/>
              <w:bottom w:val="single" w:color="000000" w:sz="4" w:space="0"/>
              <w:right w:val="single" w:color="000000" w:sz="4" w:space="0"/>
            </w:tcBorders>
            <w:vAlign w:val="center"/>
          </w:tcPr>
          <w:p w14:paraId="2C40D4B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69EC7CC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9A01DE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D7FF83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AB16AE7">
            <w:pPr>
              <w:jc w:val="center"/>
              <w:rPr>
                <w:rFonts w:ascii="宋体" w:hAnsi="宋体" w:eastAsia="宋体" w:cs="宋体"/>
                <w:color w:val="000000"/>
                <w:sz w:val="24"/>
                <w:szCs w:val="24"/>
              </w:rPr>
            </w:pPr>
          </w:p>
        </w:tc>
      </w:tr>
      <w:tr w14:paraId="7116537B">
        <w:tblPrEx>
          <w:tblCellMar>
            <w:top w:w="0" w:type="dxa"/>
            <w:left w:w="108" w:type="dxa"/>
            <w:bottom w:w="0" w:type="dxa"/>
            <w:right w:w="108" w:type="dxa"/>
          </w:tblCellMar>
        </w:tblPrEx>
        <w:trPr>
          <w:trHeight w:val="9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882EF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39</w:t>
            </w:r>
          </w:p>
        </w:tc>
        <w:tc>
          <w:tcPr>
            <w:tcW w:w="825" w:type="dxa"/>
            <w:tcBorders>
              <w:top w:val="single" w:color="000000" w:sz="4" w:space="0"/>
              <w:left w:val="single" w:color="000000" w:sz="4" w:space="0"/>
              <w:bottom w:val="single" w:color="000000" w:sz="4" w:space="0"/>
              <w:right w:val="single" w:color="000000" w:sz="4" w:space="0"/>
            </w:tcBorders>
            <w:vAlign w:val="center"/>
          </w:tcPr>
          <w:p w14:paraId="40C66EE7">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基地标识牌子(大）</w:t>
            </w:r>
          </w:p>
        </w:tc>
        <w:tc>
          <w:tcPr>
            <w:tcW w:w="7770" w:type="dxa"/>
            <w:tcBorders>
              <w:top w:val="single" w:color="000000" w:sz="4" w:space="0"/>
              <w:left w:val="single" w:color="000000" w:sz="4" w:space="0"/>
              <w:bottom w:val="single" w:color="000000" w:sz="4" w:space="0"/>
              <w:right w:val="single" w:color="000000" w:sz="4" w:space="0"/>
            </w:tcBorders>
            <w:vAlign w:val="center"/>
          </w:tcPr>
          <w:p w14:paraId="28A1428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铁艺，精神堡垒牌子，树立在学校主干道。材质以铁艺为主，喷绘布灯箱或车贴或PVC材质补充。室外做水泥预埋，经久耐用，安全美观。</w:t>
            </w:r>
          </w:p>
        </w:tc>
        <w:tc>
          <w:tcPr>
            <w:tcW w:w="885" w:type="dxa"/>
            <w:tcBorders>
              <w:top w:val="single" w:color="000000" w:sz="4" w:space="0"/>
              <w:left w:val="single" w:color="000000" w:sz="4" w:space="0"/>
              <w:bottom w:val="single" w:color="000000" w:sz="4" w:space="0"/>
              <w:right w:val="single" w:color="000000" w:sz="4" w:space="0"/>
            </w:tcBorders>
            <w:vAlign w:val="center"/>
          </w:tcPr>
          <w:p w14:paraId="4F5D1CEE">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0A82C37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6975CC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EDD2D8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62CA72A">
            <w:pPr>
              <w:jc w:val="left"/>
              <w:rPr>
                <w:rFonts w:ascii="宋体" w:hAnsi="宋体" w:eastAsia="宋体" w:cs="宋体"/>
                <w:color w:val="000000"/>
                <w:sz w:val="24"/>
                <w:szCs w:val="24"/>
              </w:rPr>
            </w:pPr>
          </w:p>
        </w:tc>
      </w:tr>
      <w:tr w14:paraId="48A8B62C">
        <w:tblPrEx>
          <w:tblCellMar>
            <w:top w:w="0" w:type="dxa"/>
            <w:left w:w="108" w:type="dxa"/>
            <w:bottom w:w="0" w:type="dxa"/>
            <w:right w:w="108" w:type="dxa"/>
          </w:tblCellMar>
        </w:tblPrEx>
        <w:trPr>
          <w:trHeight w:val="7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7ABE9A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40</w:t>
            </w:r>
          </w:p>
        </w:tc>
        <w:tc>
          <w:tcPr>
            <w:tcW w:w="825" w:type="dxa"/>
            <w:tcBorders>
              <w:top w:val="single" w:color="000000" w:sz="4" w:space="0"/>
              <w:left w:val="single" w:color="000000" w:sz="4" w:space="0"/>
              <w:bottom w:val="single" w:color="000000" w:sz="4" w:space="0"/>
              <w:right w:val="single" w:color="000000" w:sz="4" w:space="0"/>
            </w:tcBorders>
            <w:vAlign w:val="center"/>
          </w:tcPr>
          <w:p w14:paraId="78DD33D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基地标识牌子(小）</w:t>
            </w:r>
          </w:p>
        </w:tc>
        <w:tc>
          <w:tcPr>
            <w:tcW w:w="7770" w:type="dxa"/>
            <w:tcBorders>
              <w:top w:val="single" w:color="000000" w:sz="4" w:space="0"/>
              <w:left w:val="single" w:color="000000" w:sz="4" w:space="0"/>
              <w:bottom w:val="single" w:color="000000" w:sz="4" w:space="0"/>
              <w:right w:val="single" w:color="000000" w:sz="4" w:space="0"/>
            </w:tcBorders>
            <w:vAlign w:val="center"/>
          </w:tcPr>
          <w:p w14:paraId="7D2065F7">
            <w:pPr>
              <w:jc w:val="left"/>
              <w:rPr>
                <w:rFonts w:ascii="宋体" w:hAnsi="宋体" w:eastAsia="宋体" w:cs="宋体"/>
                <w:color w:val="000000"/>
                <w:sz w:val="24"/>
                <w:szCs w:val="24"/>
              </w:rPr>
            </w:pPr>
            <w:r>
              <w:rPr>
                <w:rFonts w:hint="eastAsia" w:ascii="宋体" w:hAnsi="宋体" w:eastAsia="宋体" w:cs="宋体"/>
                <w:color w:val="000000"/>
                <w:kern w:val="0"/>
                <w:sz w:val="24"/>
                <w:szCs w:val="24"/>
                <w:lang w:bidi="ar"/>
              </w:rPr>
              <w:t>铁艺，精神堡垒牌子，在各服务基地门口。材质以铁艺为主，喷绘布灯箱或车贴或PVC材质补充。室外做水泥预埋，经久耐用，安全美观。</w:t>
            </w:r>
          </w:p>
        </w:tc>
        <w:tc>
          <w:tcPr>
            <w:tcW w:w="885" w:type="dxa"/>
            <w:tcBorders>
              <w:top w:val="single" w:color="000000" w:sz="4" w:space="0"/>
              <w:left w:val="single" w:color="000000" w:sz="4" w:space="0"/>
              <w:bottom w:val="single" w:color="000000" w:sz="4" w:space="0"/>
              <w:right w:val="single" w:color="000000" w:sz="4" w:space="0"/>
            </w:tcBorders>
            <w:vAlign w:val="center"/>
          </w:tcPr>
          <w:p w14:paraId="2B1EBDF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4</w:t>
            </w:r>
          </w:p>
        </w:tc>
        <w:tc>
          <w:tcPr>
            <w:tcW w:w="705" w:type="dxa"/>
            <w:tcBorders>
              <w:top w:val="single" w:color="000000" w:sz="4" w:space="0"/>
              <w:left w:val="single" w:color="000000" w:sz="4" w:space="0"/>
              <w:bottom w:val="single" w:color="000000" w:sz="4" w:space="0"/>
              <w:right w:val="single" w:color="000000" w:sz="4" w:space="0"/>
            </w:tcBorders>
            <w:vAlign w:val="center"/>
          </w:tcPr>
          <w:p w14:paraId="25FA11A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E25880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0718285">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DCD9D9F">
            <w:pPr>
              <w:jc w:val="left"/>
              <w:rPr>
                <w:rFonts w:ascii="宋体" w:hAnsi="宋体" w:eastAsia="宋体" w:cs="宋体"/>
                <w:color w:val="000000"/>
                <w:sz w:val="24"/>
                <w:szCs w:val="24"/>
              </w:rPr>
            </w:pPr>
          </w:p>
        </w:tc>
      </w:tr>
      <w:tr w14:paraId="1CFA85F1">
        <w:tblPrEx>
          <w:tblCellMar>
            <w:top w:w="0" w:type="dxa"/>
            <w:left w:w="108" w:type="dxa"/>
            <w:bottom w:w="0" w:type="dxa"/>
            <w:right w:w="108" w:type="dxa"/>
          </w:tblCellMar>
        </w:tblPrEx>
        <w:trPr>
          <w:trHeight w:val="6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3D516C">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41</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5AF4BEEA">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企业级路由器</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71D0646E">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5个千兆电口，推荐带终端数100台，支持600M-1000M，内置AC功能，支持EaSy VPN、IPSec VPN、OPEN VPN，支持PPPoE Server、扫码认证、授权认证，支持应用流控、应用阻断，支持云平台与APP管理</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6B30E2D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4585F5C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14:paraId="71B9D36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6619BF0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EB8CEEA">
            <w:pPr>
              <w:jc w:val="left"/>
              <w:rPr>
                <w:rFonts w:ascii="Calibri" w:hAnsi="Calibri" w:eastAsia="宋体" w:cs="Times New Roman"/>
                <w:sz w:val="24"/>
                <w:szCs w:val="24"/>
              </w:rPr>
            </w:pPr>
          </w:p>
        </w:tc>
      </w:tr>
      <w:tr w14:paraId="3E4A6D72">
        <w:tblPrEx>
          <w:tblCellMar>
            <w:top w:w="0" w:type="dxa"/>
            <w:left w:w="108" w:type="dxa"/>
            <w:bottom w:w="0" w:type="dxa"/>
            <w:right w:w="108" w:type="dxa"/>
          </w:tblCellMar>
        </w:tblPrEx>
        <w:trPr>
          <w:trHeight w:val="69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3B5D2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42</w:t>
            </w:r>
          </w:p>
        </w:tc>
        <w:tc>
          <w:tcPr>
            <w:tcW w:w="825" w:type="dxa"/>
            <w:tcBorders>
              <w:top w:val="single" w:color="000000" w:sz="4" w:space="0"/>
              <w:left w:val="single" w:color="000000" w:sz="4" w:space="0"/>
              <w:bottom w:val="single" w:color="000000" w:sz="4" w:space="0"/>
              <w:right w:val="single" w:color="000000" w:sz="4" w:space="0"/>
            </w:tcBorders>
            <w:vAlign w:val="center"/>
          </w:tcPr>
          <w:p w14:paraId="1FC5003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16口千兆交换机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59B25D0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16个10/100/1000Mbps电口</w:t>
            </w:r>
          </w:p>
        </w:tc>
        <w:tc>
          <w:tcPr>
            <w:tcW w:w="885" w:type="dxa"/>
            <w:tcBorders>
              <w:top w:val="single" w:color="000000" w:sz="4" w:space="0"/>
              <w:left w:val="single" w:color="000000" w:sz="4" w:space="0"/>
              <w:bottom w:val="single" w:color="000000" w:sz="4" w:space="0"/>
              <w:right w:val="single" w:color="000000" w:sz="4" w:space="0"/>
            </w:tcBorders>
            <w:vAlign w:val="center"/>
          </w:tcPr>
          <w:p w14:paraId="212895D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4</w:t>
            </w:r>
          </w:p>
        </w:tc>
        <w:tc>
          <w:tcPr>
            <w:tcW w:w="705" w:type="dxa"/>
            <w:tcBorders>
              <w:top w:val="single" w:color="000000" w:sz="4" w:space="0"/>
              <w:left w:val="single" w:color="000000" w:sz="4" w:space="0"/>
              <w:bottom w:val="single" w:color="000000" w:sz="4" w:space="0"/>
              <w:right w:val="single" w:color="000000" w:sz="4" w:space="0"/>
            </w:tcBorders>
            <w:vAlign w:val="center"/>
          </w:tcPr>
          <w:p w14:paraId="6E2F2EF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3881CCB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8EE745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7F146E9">
            <w:pPr>
              <w:jc w:val="left"/>
              <w:rPr>
                <w:rFonts w:ascii="宋体" w:hAnsi="宋体" w:eastAsia="宋体" w:cs="宋体"/>
                <w:color w:val="000000"/>
                <w:sz w:val="24"/>
                <w:szCs w:val="24"/>
              </w:rPr>
            </w:pPr>
          </w:p>
        </w:tc>
      </w:tr>
      <w:tr w14:paraId="1A005516">
        <w:tblPrEx>
          <w:tblCellMar>
            <w:top w:w="0" w:type="dxa"/>
            <w:left w:w="108" w:type="dxa"/>
            <w:bottom w:w="0" w:type="dxa"/>
            <w:right w:w="108" w:type="dxa"/>
          </w:tblCellMar>
        </w:tblPrEx>
        <w:trPr>
          <w:trHeight w:val="110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2D17D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43</w:t>
            </w:r>
          </w:p>
        </w:tc>
        <w:tc>
          <w:tcPr>
            <w:tcW w:w="825" w:type="dxa"/>
            <w:tcBorders>
              <w:top w:val="single" w:color="000000" w:sz="4" w:space="0"/>
              <w:left w:val="single" w:color="000000" w:sz="4" w:space="0"/>
              <w:bottom w:val="single" w:color="000000" w:sz="4" w:space="0"/>
              <w:right w:val="single" w:color="000000" w:sz="4" w:space="0"/>
            </w:tcBorders>
            <w:vAlign w:val="center"/>
          </w:tcPr>
          <w:p w14:paraId="5BA5F60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24口千兆交换机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47458CD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24个10/100/1000Mbps电口，支持端口状态/流量查询，端口远程重启，交换机远程重启，VLAN隔离，端口隔离，环路保护，DHCP Snooping等</w:t>
            </w:r>
          </w:p>
        </w:tc>
        <w:tc>
          <w:tcPr>
            <w:tcW w:w="885" w:type="dxa"/>
            <w:tcBorders>
              <w:top w:val="single" w:color="000000" w:sz="4" w:space="0"/>
              <w:left w:val="single" w:color="000000" w:sz="4" w:space="0"/>
              <w:bottom w:val="single" w:color="000000" w:sz="4" w:space="0"/>
              <w:right w:val="single" w:color="000000" w:sz="4" w:space="0"/>
            </w:tcBorders>
            <w:vAlign w:val="center"/>
          </w:tcPr>
          <w:p w14:paraId="09A0F074">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3</w:t>
            </w:r>
          </w:p>
        </w:tc>
        <w:tc>
          <w:tcPr>
            <w:tcW w:w="705" w:type="dxa"/>
            <w:tcBorders>
              <w:top w:val="single" w:color="000000" w:sz="4" w:space="0"/>
              <w:left w:val="single" w:color="000000" w:sz="4" w:space="0"/>
              <w:bottom w:val="single" w:color="000000" w:sz="4" w:space="0"/>
              <w:right w:val="single" w:color="000000" w:sz="4" w:space="0"/>
            </w:tcBorders>
            <w:vAlign w:val="center"/>
          </w:tcPr>
          <w:p w14:paraId="1077790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2AA5499">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601584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780895D">
            <w:pPr>
              <w:jc w:val="left"/>
              <w:rPr>
                <w:rFonts w:ascii="宋体" w:hAnsi="宋体" w:eastAsia="宋体" w:cs="宋体"/>
                <w:color w:val="000000"/>
                <w:sz w:val="24"/>
                <w:szCs w:val="24"/>
              </w:rPr>
            </w:pPr>
          </w:p>
        </w:tc>
      </w:tr>
      <w:tr w14:paraId="14B62FC0">
        <w:tblPrEx>
          <w:tblCellMar>
            <w:top w:w="0" w:type="dxa"/>
            <w:left w:w="108" w:type="dxa"/>
            <w:bottom w:w="0" w:type="dxa"/>
            <w:right w:w="108" w:type="dxa"/>
          </w:tblCellMar>
        </w:tblPrEx>
        <w:trPr>
          <w:trHeight w:val="102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76BD69">
            <w:pPr>
              <w:widowControl/>
              <w:jc w:val="center"/>
              <w:textAlignment w:val="center"/>
              <w:rPr>
                <w:rFonts w:ascii="宋体" w:hAnsi="宋体" w:eastAsia="宋体" w:cs="宋体"/>
                <w:b/>
                <w:bCs/>
                <w:color w:val="FF0000"/>
                <w:sz w:val="24"/>
                <w:szCs w:val="24"/>
              </w:rPr>
            </w:pPr>
            <w:r>
              <w:rPr>
                <w:rFonts w:hint="eastAsia" w:ascii="宋体" w:hAnsi="宋体" w:eastAsia="宋体" w:cs="宋体"/>
                <w:color w:val="000000"/>
                <w:kern w:val="0"/>
                <w:sz w:val="24"/>
                <w:szCs w:val="24"/>
                <w:lang w:bidi="ar"/>
              </w:rPr>
              <w:t>44</w:t>
            </w:r>
          </w:p>
        </w:tc>
        <w:tc>
          <w:tcPr>
            <w:tcW w:w="825" w:type="dxa"/>
            <w:tcBorders>
              <w:top w:val="single" w:color="000000" w:sz="4" w:space="0"/>
              <w:left w:val="single" w:color="000000" w:sz="4" w:space="0"/>
              <w:bottom w:val="single" w:color="000000" w:sz="4" w:space="0"/>
              <w:right w:val="single" w:color="000000" w:sz="4" w:space="0"/>
            </w:tcBorders>
            <w:noWrap/>
            <w:vAlign w:val="center"/>
          </w:tcPr>
          <w:p w14:paraId="251EAF59">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8口千兆交换机</w:t>
            </w:r>
          </w:p>
        </w:tc>
        <w:tc>
          <w:tcPr>
            <w:tcW w:w="7770" w:type="dxa"/>
            <w:tcBorders>
              <w:top w:val="single" w:color="000000" w:sz="4" w:space="0"/>
              <w:left w:val="single" w:color="000000" w:sz="4" w:space="0"/>
              <w:bottom w:val="single" w:color="000000" w:sz="4" w:space="0"/>
              <w:right w:val="single" w:color="000000" w:sz="4" w:space="0"/>
            </w:tcBorders>
            <w:noWrap/>
            <w:vAlign w:val="center"/>
          </w:tcPr>
          <w:p w14:paraId="3560347C">
            <w:pPr>
              <w:widowControl/>
              <w:jc w:val="left"/>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8个10/100/1000Mbps电口</w:t>
            </w:r>
          </w:p>
        </w:tc>
        <w:tc>
          <w:tcPr>
            <w:tcW w:w="885" w:type="dxa"/>
            <w:tcBorders>
              <w:top w:val="single" w:color="000000" w:sz="4" w:space="0"/>
              <w:left w:val="single" w:color="000000" w:sz="4" w:space="0"/>
              <w:bottom w:val="single" w:color="000000" w:sz="4" w:space="0"/>
              <w:right w:val="single" w:color="000000" w:sz="4" w:space="0"/>
            </w:tcBorders>
            <w:noWrap/>
            <w:vAlign w:val="center"/>
          </w:tcPr>
          <w:p w14:paraId="4C3C9EB3">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529C13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noWrap/>
            <w:vAlign w:val="center"/>
          </w:tcPr>
          <w:p w14:paraId="2B294FF2">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noWrap/>
            <w:vAlign w:val="center"/>
          </w:tcPr>
          <w:p w14:paraId="5EB1F88D">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4BA4DBEA">
            <w:pPr>
              <w:jc w:val="left"/>
              <w:rPr>
                <w:rFonts w:ascii="Calibri" w:hAnsi="Calibri" w:eastAsia="宋体" w:cs="Times New Roman"/>
                <w:sz w:val="24"/>
                <w:szCs w:val="24"/>
              </w:rPr>
            </w:pPr>
          </w:p>
        </w:tc>
      </w:tr>
      <w:tr w14:paraId="45C4F99F">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4B38638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45</w:t>
            </w:r>
          </w:p>
        </w:tc>
        <w:tc>
          <w:tcPr>
            <w:tcW w:w="825" w:type="dxa"/>
            <w:tcBorders>
              <w:top w:val="single" w:color="000000" w:sz="4" w:space="0"/>
              <w:left w:val="single" w:color="000000" w:sz="4" w:space="0"/>
              <w:bottom w:val="single" w:color="000000" w:sz="4" w:space="0"/>
              <w:right w:val="single" w:color="000000" w:sz="4" w:space="0"/>
            </w:tcBorders>
            <w:vAlign w:val="center"/>
          </w:tcPr>
          <w:p w14:paraId="14EA6D4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机柜</w:t>
            </w:r>
          </w:p>
        </w:tc>
        <w:tc>
          <w:tcPr>
            <w:tcW w:w="7770" w:type="dxa"/>
            <w:tcBorders>
              <w:top w:val="single" w:color="000000" w:sz="4" w:space="0"/>
              <w:left w:val="single" w:color="000000" w:sz="4" w:space="0"/>
              <w:bottom w:val="single" w:color="000000" w:sz="4" w:space="0"/>
              <w:right w:val="single" w:color="000000" w:sz="4" w:space="0"/>
            </w:tcBorders>
            <w:vAlign w:val="center"/>
          </w:tcPr>
          <w:p w14:paraId="452E910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6U机柜</w:t>
            </w:r>
          </w:p>
        </w:tc>
        <w:tc>
          <w:tcPr>
            <w:tcW w:w="885" w:type="dxa"/>
            <w:tcBorders>
              <w:top w:val="single" w:color="000000" w:sz="4" w:space="0"/>
              <w:left w:val="single" w:color="000000" w:sz="4" w:space="0"/>
              <w:bottom w:val="single" w:color="000000" w:sz="4" w:space="0"/>
              <w:right w:val="single" w:color="000000" w:sz="4" w:space="0"/>
            </w:tcBorders>
            <w:vAlign w:val="center"/>
          </w:tcPr>
          <w:p w14:paraId="5EB6656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8</w:t>
            </w:r>
          </w:p>
        </w:tc>
        <w:tc>
          <w:tcPr>
            <w:tcW w:w="705" w:type="dxa"/>
            <w:tcBorders>
              <w:top w:val="single" w:color="000000" w:sz="4" w:space="0"/>
              <w:left w:val="single" w:color="000000" w:sz="4" w:space="0"/>
              <w:bottom w:val="single" w:color="000000" w:sz="4" w:space="0"/>
              <w:right w:val="single" w:color="000000" w:sz="4" w:space="0"/>
            </w:tcBorders>
            <w:vAlign w:val="center"/>
          </w:tcPr>
          <w:p w14:paraId="6084689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24200C10">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78C4C1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2BCCB89C">
            <w:pPr>
              <w:jc w:val="left"/>
              <w:rPr>
                <w:rFonts w:ascii="宋体" w:hAnsi="宋体" w:eastAsia="宋体" w:cs="宋体"/>
                <w:color w:val="000000"/>
                <w:sz w:val="24"/>
                <w:szCs w:val="24"/>
              </w:rPr>
            </w:pPr>
          </w:p>
        </w:tc>
      </w:tr>
      <w:tr w14:paraId="37939630">
        <w:tblPrEx>
          <w:tblCellMar>
            <w:top w:w="0" w:type="dxa"/>
            <w:left w:w="108" w:type="dxa"/>
            <w:bottom w:w="0" w:type="dxa"/>
            <w:right w:w="108" w:type="dxa"/>
          </w:tblCellMar>
        </w:tblPrEx>
        <w:trPr>
          <w:trHeight w:val="83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E8D278F">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46</w:t>
            </w:r>
          </w:p>
        </w:tc>
        <w:tc>
          <w:tcPr>
            <w:tcW w:w="825" w:type="dxa"/>
            <w:tcBorders>
              <w:top w:val="single" w:color="000000" w:sz="4" w:space="0"/>
              <w:left w:val="single" w:color="000000" w:sz="4" w:space="0"/>
              <w:bottom w:val="single" w:color="000000" w:sz="4" w:space="0"/>
              <w:right w:val="single" w:color="000000" w:sz="4" w:space="0"/>
            </w:tcBorders>
            <w:vAlign w:val="center"/>
          </w:tcPr>
          <w:p w14:paraId="0C131E5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无线路由器</w:t>
            </w:r>
          </w:p>
        </w:tc>
        <w:tc>
          <w:tcPr>
            <w:tcW w:w="7770" w:type="dxa"/>
            <w:tcBorders>
              <w:top w:val="single" w:color="000000" w:sz="4" w:space="0"/>
              <w:left w:val="single" w:color="000000" w:sz="4" w:space="0"/>
              <w:bottom w:val="single" w:color="000000" w:sz="4" w:space="0"/>
              <w:right w:val="single" w:color="000000" w:sz="4" w:space="0"/>
            </w:tcBorders>
            <w:vAlign w:val="center"/>
          </w:tcPr>
          <w:p w14:paraId="58F695B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双频千兆无线路由器</w:t>
            </w:r>
          </w:p>
        </w:tc>
        <w:tc>
          <w:tcPr>
            <w:tcW w:w="885" w:type="dxa"/>
            <w:tcBorders>
              <w:top w:val="single" w:color="000000" w:sz="4" w:space="0"/>
              <w:left w:val="single" w:color="000000" w:sz="4" w:space="0"/>
              <w:bottom w:val="single" w:color="000000" w:sz="4" w:space="0"/>
              <w:right w:val="single" w:color="000000" w:sz="4" w:space="0"/>
            </w:tcBorders>
            <w:vAlign w:val="center"/>
          </w:tcPr>
          <w:p w14:paraId="6DD80E6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10</w:t>
            </w:r>
          </w:p>
        </w:tc>
        <w:tc>
          <w:tcPr>
            <w:tcW w:w="705" w:type="dxa"/>
            <w:tcBorders>
              <w:top w:val="single" w:color="000000" w:sz="4" w:space="0"/>
              <w:left w:val="single" w:color="000000" w:sz="4" w:space="0"/>
              <w:bottom w:val="single" w:color="000000" w:sz="4" w:space="0"/>
              <w:right w:val="single" w:color="000000" w:sz="4" w:space="0"/>
            </w:tcBorders>
            <w:vAlign w:val="center"/>
          </w:tcPr>
          <w:p w14:paraId="25441B85">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463897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70AE9D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1BEB9DD3">
            <w:pPr>
              <w:jc w:val="left"/>
              <w:rPr>
                <w:rFonts w:ascii="宋体" w:hAnsi="宋体" w:eastAsia="宋体" w:cs="宋体"/>
                <w:color w:val="000000"/>
                <w:sz w:val="24"/>
                <w:szCs w:val="24"/>
              </w:rPr>
            </w:pPr>
          </w:p>
        </w:tc>
      </w:tr>
      <w:tr w14:paraId="3CFEE1D0">
        <w:tblPrEx>
          <w:tblCellMar>
            <w:top w:w="0" w:type="dxa"/>
            <w:left w:w="108" w:type="dxa"/>
            <w:bottom w:w="0" w:type="dxa"/>
            <w:right w:w="108" w:type="dxa"/>
          </w:tblCellMar>
        </w:tblPrEx>
        <w:trPr>
          <w:trHeight w:val="113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6587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47</w:t>
            </w:r>
          </w:p>
        </w:tc>
        <w:tc>
          <w:tcPr>
            <w:tcW w:w="825" w:type="dxa"/>
            <w:tcBorders>
              <w:top w:val="single" w:color="000000" w:sz="4" w:space="0"/>
              <w:left w:val="single" w:color="000000" w:sz="4" w:space="0"/>
              <w:bottom w:val="single" w:color="000000" w:sz="4" w:space="0"/>
              <w:right w:val="single" w:color="000000" w:sz="4" w:space="0"/>
            </w:tcBorders>
            <w:vAlign w:val="center"/>
          </w:tcPr>
          <w:p w14:paraId="7DA28A9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12芯光纤</w:t>
            </w:r>
          </w:p>
        </w:tc>
        <w:tc>
          <w:tcPr>
            <w:tcW w:w="7770" w:type="dxa"/>
            <w:tcBorders>
              <w:top w:val="single" w:color="000000" w:sz="4" w:space="0"/>
              <w:left w:val="single" w:color="000000" w:sz="4" w:space="0"/>
              <w:bottom w:val="single" w:color="000000" w:sz="4" w:space="0"/>
              <w:right w:val="single" w:color="000000" w:sz="4" w:space="0"/>
            </w:tcBorders>
            <w:vAlign w:val="center"/>
          </w:tcPr>
          <w:p w14:paraId="6586AFA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电信级国标12芯光缆</w:t>
            </w:r>
          </w:p>
        </w:tc>
        <w:tc>
          <w:tcPr>
            <w:tcW w:w="885" w:type="dxa"/>
            <w:tcBorders>
              <w:top w:val="single" w:color="000000" w:sz="4" w:space="0"/>
              <w:left w:val="single" w:color="000000" w:sz="4" w:space="0"/>
              <w:bottom w:val="single" w:color="000000" w:sz="4" w:space="0"/>
              <w:right w:val="single" w:color="000000" w:sz="4" w:space="0"/>
            </w:tcBorders>
            <w:vAlign w:val="center"/>
          </w:tcPr>
          <w:p w14:paraId="2C609C2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1200</w:t>
            </w:r>
          </w:p>
        </w:tc>
        <w:tc>
          <w:tcPr>
            <w:tcW w:w="705" w:type="dxa"/>
            <w:tcBorders>
              <w:top w:val="single" w:color="000000" w:sz="4" w:space="0"/>
              <w:left w:val="single" w:color="000000" w:sz="4" w:space="0"/>
              <w:bottom w:val="single" w:color="000000" w:sz="4" w:space="0"/>
              <w:right w:val="single" w:color="000000" w:sz="4" w:space="0"/>
            </w:tcBorders>
            <w:vAlign w:val="center"/>
          </w:tcPr>
          <w:p w14:paraId="1A43EC9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534C4C61">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92ED0A1">
            <w:pPr>
              <w:widowControl/>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6ADA1D6">
            <w:pPr>
              <w:jc w:val="left"/>
              <w:rPr>
                <w:rFonts w:ascii="宋体" w:hAnsi="宋体" w:eastAsia="宋体" w:cs="宋体"/>
                <w:color w:val="000000"/>
                <w:sz w:val="24"/>
                <w:szCs w:val="24"/>
              </w:rPr>
            </w:pPr>
          </w:p>
        </w:tc>
      </w:tr>
      <w:tr w14:paraId="724D8FCC">
        <w:tblPrEx>
          <w:tblCellMar>
            <w:top w:w="0" w:type="dxa"/>
            <w:left w:w="108" w:type="dxa"/>
            <w:bottom w:w="0" w:type="dxa"/>
            <w:right w:w="108" w:type="dxa"/>
          </w:tblCellMar>
        </w:tblPrEx>
        <w:trPr>
          <w:trHeight w:val="64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5521E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48</w:t>
            </w:r>
          </w:p>
        </w:tc>
        <w:tc>
          <w:tcPr>
            <w:tcW w:w="825" w:type="dxa"/>
            <w:tcBorders>
              <w:top w:val="single" w:color="000000" w:sz="4" w:space="0"/>
              <w:left w:val="single" w:color="000000" w:sz="4" w:space="0"/>
              <w:bottom w:val="single" w:color="000000" w:sz="4" w:space="0"/>
              <w:right w:val="single" w:color="000000" w:sz="4" w:space="0"/>
            </w:tcBorders>
            <w:vAlign w:val="center"/>
          </w:tcPr>
          <w:p w14:paraId="194469F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4芯光纤</w:t>
            </w:r>
          </w:p>
        </w:tc>
        <w:tc>
          <w:tcPr>
            <w:tcW w:w="7770" w:type="dxa"/>
            <w:tcBorders>
              <w:top w:val="single" w:color="000000" w:sz="4" w:space="0"/>
              <w:left w:val="single" w:color="000000" w:sz="4" w:space="0"/>
              <w:bottom w:val="single" w:color="000000" w:sz="4" w:space="0"/>
              <w:right w:val="single" w:color="000000" w:sz="4" w:space="0"/>
            </w:tcBorders>
            <w:vAlign w:val="center"/>
          </w:tcPr>
          <w:p w14:paraId="776AAD2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电信级国标4芯光缆</w:t>
            </w:r>
          </w:p>
        </w:tc>
        <w:tc>
          <w:tcPr>
            <w:tcW w:w="885" w:type="dxa"/>
            <w:tcBorders>
              <w:top w:val="single" w:color="000000" w:sz="4" w:space="0"/>
              <w:left w:val="single" w:color="000000" w:sz="4" w:space="0"/>
              <w:bottom w:val="single" w:color="000000" w:sz="4" w:space="0"/>
              <w:right w:val="single" w:color="000000" w:sz="4" w:space="0"/>
            </w:tcBorders>
            <w:vAlign w:val="center"/>
          </w:tcPr>
          <w:p w14:paraId="173B39D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2000</w:t>
            </w:r>
          </w:p>
        </w:tc>
        <w:tc>
          <w:tcPr>
            <w:tcW w:w="705" w:type="dxa"/>
            <w:tcBorders>
              <w:top w:val="single" w:color="000000" w:sz="4" w:space="0"/>
              <w:left w:val="single" w:color="000000" w:sz="4" w:space="0"/>
              <w:bottom w:val="single" w:color="000000" w:sz="4" w:space="0"/>
              <w:right w:val="single" w:color="000000" w:sz="4" w:space="0"/>
            </w:tcBorders>
            <w:vAlign w:val="center"/>
          </w:tcPr>
          <w:p w14:paraId="652AEAC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米</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3C03DC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74D85E4">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6711FA27">
            <w:pPr>
              <w:jc w:val="left"/>
              <w:rPr>
                <w:rFonts w:ascii="宋体" w:hAnsi="宋体" w:eastAsia="宋体" w:cs="宋体"/>
                <w:color w:val="000000"/>
                <w:sz w:val="24"/>
                <w:szCs w:val="24"/>
              </w:rPr>
            </w:pPr>
          </w:p>
        </w:tc>
      </w:tr>
      <w:tr w14:paraId="483024F4">
        <w:tblPrEx>
          <w:tblCellMar>
            <w:top w:w="0" w:type="dxa"/>
            <w:left w:w="108" w:type="dxa"/>
            <w:bottom w:w="0" w:type="dxa"/>
            <w:right w:w="108" w:type="dxa"/>
          </w:tblCellMar>
        </w:tblPrEx>
        <w:trPr>
          <w:trHeight w:val="85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8B88A1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49</w:t>
            </w:r>
          </w:p>
        </w:tc>
        <w:tc>
          <w:tcPr>
            <w:tcW w:w="825" w:type="dxa"/>
            <w:tcBorders>
              <w:top w:val="single" w:color="000000" w:sz="4" w:space="0"/>
              <w:left w:val="single" w:color="000000" w:sz="4" w:space="0"/>
              <w:bottom w:val="single" w:color="000000" w:sz="4" w:space="0"/>
              <w:right w:val="single" w:color="000000" w:sz="4" w:space="0"/>
            </w:tcBorders>
            <w:vAlign w:val="center"/>
          </w:tcPr>
          <w:p w14:paraId="7BC6C02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工费</w:t>
            </w:r>
          </w:p>
        </w:tc>
        <w:tc>
          <w:tcPr>
            <w:tcW w:w="7770" w:type="dxa"/>
            <w:tcBorders>
              <w:top w:val="single" w:color="000000" w:sz="4" w:space="0"/>
              <w:left w:val="single" w:color="000000" w:sz="4" w:space="0"/>
              <w:bottom w:val="single" w:color="000000" w:sz="4" w:space="0"/>
              <w:right w:val="single" w:color="000000" w:sz="4" w:space="0"/>
            </w:tcBorders>
            <w:vAlign w:val="center"/>
          </w:tcPr>
          <w:p w14:paraId="61CC0117">
            <w:pPr>
              <w:jc w:val="left"/>
              <w:rPr>
                <w:rFonts w:ascii="宋体" w:hAnsi="宋体" w:eastAsia="宋体" w:cs="宋体"/>
                <w:color w:val="000000"/>
                <w:sz w:val="24"/>
                <w:szCs w:val="24"/>
              </w:rPr>
            </w:pPr>
            <w:r>
              <w:rPr>
                <w:rFonts w:hint="eastAsia" w:ascii="宋体" w:hAnsi="宋体" w:eastAsia="宋体" w:cs="宋体"/>
                <w:color w:val="000000"/>
                <w:sz w:val="24"/>
                <w:szCs w:val="24"/>
              </w:rPr>
              <w:t>人工费</w:t>
            </w:r>
          </w:p>
        </w:tc>
        <w:tc>
          <w:tcPr>
            <w:tcW w:w="885" w:type="dxa"/>
            <w:tcBorders>
              <w:top w:val="single" w:color="000000" w:sz="4" w:space="0"/>
              <w:left w:val="single" w:color="000000" w:sz="4" w:space="0"/>
              <w:bottom w:val="single" w:color="000000" w:sz="4" w:space="0"/>
              <w:right w:val="single" w:color="000000" w:sz="4" w:space="0"/>
            </w:tcBorders>
            <w:vAlign w:val="center"/>
          </w:tcPr>
          <w:p w14:paraId="5D7F1776">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54</w:t>
            </w:r>
          </w:p>
        </w:tc>
        <w:tc>
          <w:tcPr>
            <w:tcW w:w="705" w:type="dxa"/>
            <w:tcBorders>
              <w:top w:val="single" w:color="000000" w:sz="4" w:space="0"/>
              <w:left w:val="single" w:color="000000" w:sz="4" w:space="0"/>
              <w:bottom w:val="single" w:color="000000" w:sz="4" w:space="0"/>
              <w:right w:val="single" w:color="000000" w:sz="4" w:space="0"/>
            </w:tcBorders>
            <w:vAlign w:val="center"/>
          </w:tcPr>
          <w:p w14:paraId="234EC98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776E21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F50428C">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64B69193">
            <w:pPr>
              <w:jc w:val="left"/>
              <w:rPr>
                <w:rFonts w:ascii="宋体" w:hAnsi="宋体" w:eastAsia="宋体" w:cs="宋体"/>
                <w:color w:val="000000"/>
                <w:sz w:val="24"/>
                <w:szCs w:val="24"/>
              </w:rPr>
            </w:pPr>
          </w:p>
        </w:tc>
      </w:tr>
      <w:tr w14:paraId="441930C7">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0BAA9F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50</w:t>
            </w:r>
          </w:p>
        </w:tc>
        <w:tc>
          <w:tcPr>
            <w:tcW w:w="825" w:type="dxa"/>
            <w:tcBorders>
              <w:top w:val="single" w:color="000000" w:sz="4" w:space="0"/>
              <w:left w:val="single" w:color="000000" w:sz="4" w:space="0"/>
              <w:bottom w:val="single" w:color="000000" w:sz="4" w:space="0"/>
              <w:right w:val="single" w:color="000000" w:sz="4" w:space="0"/>
            </w:tcBorders>
            <w:vAlign w:val="center"/>
          </w:tcPr>
          <w:p w14:paraId="5CC1CE7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千兆光纤收发器</w:t>
            </w:r>
          </w:p>
        </w:tc>
        <w:tc>
          <w:tcPr>
            <w:tcW w:w="7770" w:type="dxa"/>
            <w:tcBorders>
              <w:top w:val="single" w:color="000000" w:sz="4" w:space="0"/>
              <w:left w:val="single" w:color="000000" w:sz="4" w:space="0"/>
              <w:bottom w:val="single" w:color="000000" w:sz="4" w:space="0"/>
              <w:right w:val="single" w:color="000000" w:sz="4" w:space="0"/>
            </w:tcBorders>
            <w:vAlign w:val="center"/>
          </w:tcPr>
          <w:p w14:paraId="1512A98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内置电源千兆单模</w:t>
            </w:r>
          </w:p>
        </w:tc>
        <w:tc>
          <w:tcPr>
            <w:tcW w:w="885" w:type="dxa"/>
            <w:tcBorders>
              <w:top w:val="single" w:color="000000" w:sz="4" w:space="0"/>
              <w:left w:val="single" w:color="000000" w:sz="4" w:space="0"/>
              <w:bottom w:val="single" w:color="000000" w:sz="4" w:space="0"/>
              <w:right w:val="single" w:color="000000" w:sz="4" w:space="0"/>
            </w:tcBorders>
            <w:vAlign w:val="center"/>
          </w:tcPr>
          <w:p w14:paraId="6FF76A1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71C7E5B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AE4E618">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72E3894">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9C03A83">
            <w:pPr>
              <w:jc w:val="left"/>
              <w:rPr>
                <w:rFonts w:ascii="宋体" w:hAnsi="宋体" w:eastAsia="宋体" w:cs="宋体"/>
                <w:color w:val="000000"/>
                <w:sz w:val="24"/>
                <w:szCs w:val="24"/>
              </w:rPr>
            </w:pPr>
          </w:p>
        </w:tc>
      </w:tr>
      <w:tr w14:paraId="4EF103ED">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1ADB6D8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51</w:t>
            </w:r>
          </w:p>
        </w:tc>
        <w:tc>
          <w:tcPr>
            <w:tcW w:w="825" w:type="dxa"/>
            <w:tcBorders>
              <w:top w:val="single" w:color="000000" w:sz="4" w:space="0"/>
              <w:left w:val="single" w:color="000000" w:sz="4" w:space="0"/>
              <w:bottom w:val="single" w:color="000000" w:sz="4" w:space="0"/>
              <w:right w:val="single" w:color="000000" w:sz="4" w:space="0"/>
            </w:tcBorders>
            <w:vAlign w:val="center"/>
          </w:tcPr>
          <w:p w14:paraId="1B3D72F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核心企业级路由器</w:t>
            </w:r>
          </w:p>
        </w:tc>
        <w:tc>
          <w:tcPr>
            <w:tcW w:w="7770" w:type="dxa"/>
            <w:tcBorders>
              <w:top w:val="single" w:color="000000" w:sz="4" w:space="0"/>
              <w:left w:val="single" w:color="000000" w:sz="4" w:space="0"/>
              <w:bottom w:val="single" w:color="000000" w:sz="4" w:space="0"/>
              <w:right w:val="single" w:color="000000" w:sz="4" w:space="0"/>
            </w:tcBorders>
            <w:vAlign w:val="center"/>
          </w:tcPr>
          <w:p w14:paraId="320F3B3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多WAN口中小企业网关，5个千兆电口，带终端数200台，带宽1000Mbps，支持Easy VPN、IPSec VPN、SSL VPN，支持Web认证、PPPoE Server、本地服务器认证，支持应用流控、应用控制、URL阻断，支持应用路由、策略路由等多类型路由，支持云平台与APP管理</w:t>
            </w:r>
          </w:p>
        </w:tc>
        <w:tc>
          <w:tcPr>
            <w:tcW w:w="885" w:type="dxa"/>
            <w:tcBorders>
              <w:top w:val="single" w:color="000000" w:sz="4" w:space="0"/>
              <w:left w:val="single" w:color="000000" w:sz="4" w:space="0"/>
              <w:bottom w:val="single" w:color="000000" w:sz="4" w:space="0"/>
              <w:right w:val="single" w:color="000000" w:sz="4" w:space="0"/>
            </w:tcBorders>
            <w:vAlign w:val="center"/>
          </w:tcPr>
          <w:p w14:paraId="5A0CEDD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0381437F">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7E9F88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7995698">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504A7507">
            <w:pPr>
              <w:jc w:val="left"/>
              <w:rPr>
                <w:rFonts w:ascii="宋体" w:hAnsi="宋体" w:eastAsia="宋体" w:cs="宋体"/>
                <w:color w:val="000000"/>
                <w:sz w:val="24"/>
                <w:szCs w:val="24"/>
              </w:rPr>
            </w:pPr>
          </w:p>
        </w:tc>
      </w:tr>
      <w:tr w14:paraId="405E13BF">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6787F0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52</w:t>
            </w:r>
          </w:p>
        </w:tc>
        <w:tc>
          <w:tcPr>
            <w:tcW w:w="825" w:type="dxa"/>
            <w:tcBorders>
              <w:top w:val="single" w:color="000000" w:sz="4" w:space="0"/>
              <w:left w:val="single" w:color="000000" w:sz="4" w:space="0"/>
              <w:bottom w:val="single" w:color="000000" w:sz="4" w:space="0"/>
              <w:right w:val="single" w:color="000000" w:sz="4" w:space="0"/>
            </w:tcBorders>
            <w:vAlign w:val="center"/>
          </w:tcPr>
          <w:p w14:paraId="0F9D50F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核心三层交换机</w:t>
            </w:r>
          </w:p>
        </w:tc>
        <w:tc>
          <w:tcPr>
            <w:tcW w:w="7770" w:type="dxa"/>
            <w:tcBorders>
              <w:top w:val="single" w:color="000000" w:sz="4" w:space="0"/>
              <w:left w:val="single" w:color="000000" w:sz="4" w:space="0"/>
              <w:bottom w:val="single" w:color="000000" w:sz="4" w:space="0"/>
              <w:right w:val="single" w:color="000000" w:sz="4" w:space="0"/>
            </w:tcBorders>
            <w:vAlign w:val="center"/>
          </w:tcPr>
          <w:p w14:paraId="5D6BD1D9">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三层网管交换机，交换容量396Gbps/3.96Tbps，包转发率108Mpps/144Mpps，24口10/100/1000Mbps自适应电口交换机，固化4个SFP千兆光口，支持静态路由、三层聚合口、ACL、端口镜像等功能，支持APP和云平台统一管理。</w:t>
            </w:r>
          </w:p>
        </w:tc>
        <w:tc>
          <w:tcPr>
            <w:tcW w:w="885" w:type="dxa"/>
            <w:tcBorders>
              <w:top w:val="single" w:color="000000" w:sz="4" w:space="0"/>
              <w:left w:val="single" w:color="000000" w:sz="4" w:space="0"/>
              <w:bottom w:val="single" w:color="000000" w:sz="4" w:space="0"/>
              <w:right w:val="single" w:color="000000" w:sz="4" w:space="0"/>
            </w:tcBorders>
            <w:vAlign w:val="center"/>
          </w:tcPr>
          <w:p w14:paraId="1E15C42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756B619B">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台</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945005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485F330">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45FF2903">
            <w:pPr>
              <w:jc w:val="left"/>
              <w:rPr>
                <w:rFonts w:ascii="宋体" w:hAnsi="宋体" w:eastAsia="宋体" w:cs="宋体"/>
                <w:color w:val="000000"/>
                <w:sz w:val="24"/>
                <w:szCs w:val="24"/>
              </w:rPr>
            </w:pPr>
          </w:p>
        </w:tc>
      </w:tr>
      <w:tr w14:paraId="5DA0B916">
        <w:tblPrEx>
          <w:tblCellMar>
            <w:top w:w="0" w:type="dxa"/>
            <w:left w:w="108" w:type="dxa"/>
            <w:bottom w:w="0" w:type="dxa"/>
            <w:right w:w="108" w:type="dxa"/>
          </w:tblCellMar>
        </w:tblPrEx>
        <w:trPr>
          <w:trHeight w:val="93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3A6E9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53</w:t>
            </w:r>
          </w:p>
        </w:tc>
        <w:tc>
          <w:tcPr>
            <w:tcW w:w="825" w:type="dxa"/>
            <w:tcBorders>
              <w:top w:val="single" w:color="000000" w:sz="4" w:space="0"/>
              <w:left w:val="single" w:color="000000" w:sz="4" w:space="0"/>
              <w:bottom w:val="single" w:color="000000" w:sz="4" w:space="0"/>
              <w:right w:val="single" w:color="000000" w:sz="4" w:space="0"/>
            </w:tcBorders>
            <w:vAlign w:val="center"/>
          </w:tcPr>
          <w:p w14:paraId="00F4178C">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光端盒</w:t>
            </w:r>
          </w:p>
        </w:tc>
        <w:tc>
          <w:tcPr>
            <w:tcW w:w="7770" w:type="dxa"/>
            <w:tcBorders>
              <w:top w:val="single" w:color="000000" w:sz="4" w:space="0"/>
              <w:left w:val="single" w:color="000000" w:sz="4" w:space="0"/>
              <w:bottom w:val="single" w:color="000000" w:sz="4" w:space="0"/>
              <w:right w:val="single" w:color="000000" w:sz="4" w:space="0"/>
            </w:tcBorders>
            <w:vAlign w:val="center"/>
          </w:tcPr>
          <w:p w14:paraId="36DA504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光纤末端盒</w:t>
            </w:r>
          </w:p>
        </w:tc>
        <w:tc>
          <w:tcPr>
            <w:tcW w:w="885" w:type="dxa"/>
            <w:tcBorders>
              <w:top w:val="single" w:color="000000" w:sz="4" w:space="0"/>
              <w:left w:val="single" w:color="000000" w:sz="4" w:space="0"/>
              <w:bottom w:val="single" w:color="000000" w:sz="4" w:space="0"/>
              <w:right w:val="single" w:color="000000" w:sz="4" w:space="0"/>
            </w:tcBorders>
            <w:vAlign w:val="center"/>
          </w:tcPr>
          <w:p w14:paraId="388CB78A">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20</w:t>
            </w:r>
          </w:p>
        </w:tc>
        <w:tc>
          <w:tcPr>
            <w:tcW w:w="705" w:type="dxa"/>
            <w:tcBorders>
              <w:top w:val="single" w:color="000000" w:sz="4" w:space="0"/>
              <w:left w:val="single" w:color="000000" w:sz="4" w:space="0"/>
              <w:bottom w:val="single" w:color="000000" w:sz="4" w:space="0"/>
              <w:right w:val="single" w:color="000000" w:sz="4" w:space="0"/>
            </w:tcBorders>
            <w:vAlign w:val="center"/>
          </w:tcPr>
          <w:p w14:paraId="26DC658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A6906D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778A4B7">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vAlign w:val="center"/>
          </w:tcPr>
          <w:p w14:paraId="0D9888C2">
            <w:pPr>
              <w:jc w:val="left"/>
              <w:rPr>
                <w:rFonts w:ascii="宋体" w:hAnsi="宋体" w:eastAsia="宋体" w:cs="宋体"/>
                <w:color w:val="000000"/>
                <w:sz w:val="24"/>
                <w:szCs w:val="24"/>
              </w:rPr>
            </w:pPr>
          </w:p>
        </w:tc>
      </w:tr>
      <w:tr w14:paraId="7BAC2593">
        <w:tblPrEx>
          <w:tblCellMar>
            <w:top w:w="0" w:type="dxa"/>
            <w:left w:w="108" w:type="dxa"/>
            <w:bottom w:w="0" w:type="dxa"/>
            <w:right w:w="108" w:type="dxa"/>
          </w:tblCellMar>
        </w:tblPrEx>
        <w:trPr>
          <w:trHeight w:val="437"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3BA29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54</w:t>
            </w:r>
          </w:p>
        </w:tc>
        <w:tc>
          <w:tcPr>
            <w:tcW w:w="825" w:type="dxa"/>
            <w:tcBorders>
              <w:top w:val="single" w:color="000000" w:sz="4" w:space="0"/>
              <w:left w:val="single" w:color="000000" w:sz="4" w:space="0"/>
              <w:bottom w:val="single" w:color="000000" w:sz="4" w:space="0"/>
              <w:right w:val="single" w:color="000000" w:sz="4" w:space="0"/>
            </w:tcBorders>
            <w:vAlign w:val="center"/>
          </w:tcPr>
          <w:p w14:paraId="29701DEF">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尾纤</w:t>
            </w:r>
          </w:p>
        </w:tc>
        <w:tc>
          <w:tcPr>
            <w:tcW w:w="7770" w:type="dxa"/>
            <w:tcBorders>
              <w:top w:val="single" w:color="000000" w:sz="4" w:space="0"/>
              <w:left w:val="single" w:color="000000" w:sz="4" w:space="0"/>
              <w:bottom w:val="single" w:color="000000" w:sz="4" w:space="0"/>
              <w:right w:val="single" w:color="000000" w:sz="4" w:space="0"/>
            </w:tcBorders>
            <w:vAlign w:val="center"/>
          </w:tcPr>
          <w:p w14:paraId="41171E31">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电信级光纤尾纤</w:t>
            </w:r>
          </w:p>
        </w:tc>
        <w:tc>
          <w:tcPr>
            <w:tcW w:w="885" w:type="dxa"/>
            <w:tcBorders>
              <w:top w:val="single" w:color="000000" w:sz="4" w:space="0"/>
              <w:left w:val="single" w:color="000000" w:sz="4" w:space="0"/>
              <w:bottom w:val="single" w:color="000000" w:sz="4" w:space="0"/>
              <w:right w:val="single" w:color="000000" w:sz="4" w:space="0"/>
            </w:tcBorders>
            <w:vAlign w:val="center"/>
          </w:tcPr>
          <w:p w14:paraId="6E99E4B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140</w:t>
            </w:r>
          </w:p>
        </w:tc>
        <w:tc>
          <w:tcPr>
            <w:tcW w:w="705" w:type="dxa"/>
            <w:tcBorders>
              <w:top w:val="single" w:color="000000" w:sz="4" w:space="0"/>
              <w:left w:val="single" w:color="000000" w:sz="4" w:space="0"/>
              <w:bottom w:val="single" w:color="000000" w:sz="4" w:space="0"/>
              <w:right w:val="single" w:color="000000" w:sz="4" w:space="0"/>
            </w:tcBorders>
            <w:vAlign w:val="center"/>
          </w:tcPr>
          <w:p w14:paraId="1DCE1CA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66020AF">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E67FEFB">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0D5594F">
            <w:pPr>
              <w:jc w:val="left"/>
              <w:rPr>
                <w:rFonts w:ascii="宋体" w:hAnsi="宋体" w:eastAsia="宋体" w:cs="宋体"/>
                <w:color w:val="000000"/>
                <w:sz w:val="24"/>
                <w:szCs w:val="24"/>
              </w:rPr>
            </w:pPr>
          </w:p>
        </w:tc>
      </w:tr>
      <w:tr w14:paraId="40FD8BA7">
        <w:tblPrEx>
          <w:tblCellMar>
            <w:top w:w="0" w:type="dxa"/>
            <w:left w:w="108" w:type="dxa"/>
            <w:bottom w:w="0" w:type="dxa"/>
            <w:right w:w="108" w:type="dxa"/>
          </w:tblCellMar>
        </w:tblPrEx>
        <w:trPr>
          <w:trHeight w:val="719"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ABEF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55</w:t>
            </w:r>
          </w:p>
        </w:tc>
        <w:tc>
          <w:tcPr>
            <w:tcW w:w="825" w:type="dxa"/>
            <w:tcBorders>
              <w:top w:val="single" w:color="000000" w:sz="4" w:space="0"/>
              <w:left w:val="single" w:color="000000" w:sz="4" w:space="0"/>
              <w:bottom w:val="single" w:color="000000" w:sz="4" w:space="0"/>
              <w:right w:val="single" w:color="000000" w:sz="4" w:space="0"/>
            </w:tcBorders>
            <w:vAlign w:val="center"/>
          </w:tcPr>
          <w:p w14:paraId="0C79FED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布线辅料</w:t>
            </w:r>
          </w:p>
        </w:tc>
        <w:tc>
          <w:tcPr>
            <w:tcW w:w="7770" w:type="dxa"/>
            <w:tcBorders>
              <w:top w:val="single" w:color="000000" w:sz="4" w:space="0"/>
              <w:left w:val="single" w:color="000000" w:sz="4" w:space="0"/>
              <w:bottom w:val="single" w:color="000000" w:sz="4" w:space="0"/>
              <w:right w:val="single" w:color="000000" w:sz="4" w:space="0"/>
            </w:tcBorders>
            <w:vAlign w:val="center"/>
          </w:tcPr>
          <w:p w14:paraId="34EBC7B4">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线材、线卡、扎带、桥架等</w:t>
            </w:r>
          </w:p>
        </w:tc>
        <w:tc>
          <w:tcPr>
            <w:tcW w:w="885" w:type="dxa"/>
            <w:tcBorders>
              <w:top w:val="single" w:color="000000" w:sz="4" w:space="0"/>
              <w:left w:val="single" w:color="000000" w:sz="4" w:space="0"/>
              <w:bottom w:val="single" w:color="000000" w:sz="4" w:space="0"/>
              <w:right w:val="single" w:color="000000" w:sz="4" w:space="0"/>
            </w:tcBorders>
            <w:vAlign w:val="center"/>
          </w:tcPr>
          <w:p w14:paraId="12C50E2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w:t>
            </w:r>
          </w:p>
        </w:tc>
        <w:tc>
          <w:tcPr>
            <w:tcW w:w="705" w:type="dxa"/>
            <w:tcBorders>
              <w:top w:val="single" w:color="000000" w:sz="4" w:space="0"/>
              <w:left w:val="single" w:color="000000" w:sz="4" w:space="0"/>
              <w:bottom w:val="single" w:color="000000" w:sz="4" w:space="0"/>
              <w:right w:val="single" w:color="000000" w:sz="4" w:space="0"/>
            </w:tcBorders>
            <w:vAlign w:val="center"/>
          </w:tcPr>
          <w:p w14:paraId="4112214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61C78CCB">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A22A4C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60D01B8">
            <w:pPr>
              <w:jc w:val="left"/>
              <w:rPr>
                <w:rFonts w:ascii="宋体" w:hAnsi="宋体" w:eastAsia="宋体" w:cs="宋体"/>
                <w:color w:val="000000"/>
                <w:sz w:val="24"/>
                <w:szCs w:val="24"/>
              </w:rPr>
            </w:pPr>
          </w:p>
        </w:tc>
      </w:tr>
      <w:tr w14:paraId="7056E9A3">
        <w:tblPrEx>
          <w:tblCellMar>
            <w:top w:w="0" w:type="dxa"/>
            <w:left w:w="108" w:type="dxa"/>
            <w:bottom w:w="0" w:type="dxa"/>
            <w:right w:w="108" w:type="dxa"/>
          </w:tblCellMar>
        </w:tblPrEx>
        <w:trPr>
          <w:trHeight w:val="734"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42C560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56</w:t>
            </w:r>
          </w:p>
        </w:tc>
        <w:tc>
          <w:tcPr>
            <w:tcW w:w="825" w:type="dxa"/>
            <w:tcBorders>
              <w:top w:val="single" w:color="000000" w:sz="4" w:space="0"/>
              <w:left w:val="single" w:color="000000" w:sz="4" w:space="0"/>
              <w:bottom w:val="single" w:color="000000" w:sz="4" w:space="0"/>
              <w:right w:val="single" w:color="000000" w:sz="4" w:space="0"/>
            </w:tcBorders>
            <w:vAlign w:val="center"/>
          </w:tcPr>
          <w:p w14:paraId="39F7F8A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防雨箱</w:t>
            </w:r>
          </w:p>
        </w:tc>
        <w:tc>
          <w:tcPr>
            <w:tcW w:w="7770" w:type="dxa"/>
            <w:tcBorders>
              <w:top w:val="single" w:color="000000" w:sz="4" w:space="0"/>
              <w:left w:val="single" w:color="000000" w:sz="4" w:space="0"/>
              <w:bottom w:val="single" w:color="000000" w:sz="4" w:space="0"/>
              <w:right w:val="single" w:color="000000" w:sz="4" w:space="0"/>
            </w:tcBorders>
            <w:vAlign w:val="center"/>
          </w:tcPr>
          <w:p w14:paraId="7FD5A00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常规电源箱子</w:t>
            </w:r>
          </w:p>
        </w:tc>
        <w:tc>
          <w:tcPr>
            <w:tcW w:w="885" w:type="dxa"/>
            <w:tcBorders>
              <w:top w:val="single" w:color="000000" w:sz="4" w:space="0"/>
              <w:left w:val="single" w:color="000000" w:sz="4" w:space="0"/>
              <w:bottom w:val="single" w:color="000000" w:sz="4" w:space="0"/>
              <w:right w:val="single" w:color="000000" w:sz="4" w:space="0"/>
            </w:tcBorders>
            <w:vAlign w:val="center"/>
          </w:tcPr>
          <w:p w14:paraId="47DD46BD">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w:t>
            </w:r>
          </w:p>
        </w:tc>
        <w:tc>
          <w:tcPr>
            <w:tcW w:w="705" w:type="dxa"/>
            <w:tcBorders>
              <w:top w:val="single" w:color="000000" w:sz="4" w:space="0"/>
              <w:left w:val="single" w:color="000000" w:sz="4" w:space="0"/>
              <w:bottom w:val="single" w:color="000000" w:sz="4" w:space="0"/>
              <w:right w:val="single" w:color="000000" w:sz="4" w:space="0"/>
            </w:tcBorders>
            <w:vAlign w:val="center"/>
          </w:tcPr>
          <w:p w14:paraId="492F9337">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534E83D">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2F1D2F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33A60257">
            <w:pPr>
              <w:jc w:val="left"/>
              <w:rPr>
                <w:rFonts w:ascii="宋体" w:hAnsi="宋体" w:eastAsia="宋体" w:cs="宋体"/>
                <w:color w:val="000000"/>
                <w:sz w:val="24"/>
                <w:szCs w:val="24"/>
              </w:rPr>
            </w:pPr>
          </w:p>
        </w:tc>
      </w:tr>
      <w:tr w14:paraId="5FAE526E">
        <w:tblPrEx>
          <w:tblCellMar>
            <w:top w:w="0" w:type="dxa"/>
            <w:left w:w="108" w:type="dxa"/>
            <w:bottom w:w="0" w:type="dxa"/>
            <w:right w:w="108" w:type="dxa"/>
          </w:tblCellMar>
        </w:tblPrEx>
        <w:trPr>
          <w:trHeight w:val="65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F05B5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57</w:t>
            </w:r>
          </w:p>
        </w:tc>
        <w:tc>
          <w:tcPr>
            <w:tcW w:w="825" w:type="dxa"/>
            <w:tcBorders>
              <w:top w:val="single" w:color="000000" w:sz="4" w:space="0"/>
              <w:left w:val="single" w:color="000000" w:sz="4" w:space="0"/>
              <w:bottom w:val="single" w:color="000000" w:sz="4" w:space="0"/>
              <w:right w:val="single" w:color="000000" w:sz="4" w:space="0"/>
            </w:tcBorders>
            <w:vAlign w:val="center"/>
          </w:tcPr>
          <w:p w14:paraId="72BE739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网线</w:t>
            </w:r>
          </w:p>
        </w:tc>
        <w:tc>
          <w:tcPr>
            <w:tcW w:w="7770" w:type="dxa"/>
            <w:tcBorders>
              <w:top w:val="single" w:color="000000" w:sz="4" w:space="0"/>
              <w:left w:val="single" w:color="000000" w:sz="4" w:space="0"/>
              <w:bottom w:val="single" w:color="000000" w:sz="4" w:space="0"/>
              <w:right w:val="single" w:color="000000" w:sz="4" w:space="0"/>
            </w:tcBorders>
            <w:vAlign w:val="center"/>
          </w:tcPr>
          <w:p w14:paraId="15204A4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超五类国标网线</w:t>
            </w:r>
          </w:p>
        </w:tc>
        <w:tc>
          <w:tcPr>
            <w:tcW w:w="885" w:type="dxa"/>
            <w:tcBorders>
              <w:top w:val="single" w:color="000000" w:sz="4" w:space="0"/>
              <w:left w:val="single" w:color="000000" w:sz="4" w:space="0"/>
              <w:bottom w:val="single" w:color="000000" w:sz="4" w:space="0"/>
              <w:right w:val="single" w:color="000000" w:sz="4" w:space="0"/>
            </w:tcBorders>
            <w:vAlign w:val="center"/>
          </w:tcPr>
          <w:p w14:paraId="62387749">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13</w:t>
            </w:r>
          </w:p>
        </w:tc>
        <w:tc>
          <w:tcPr>
            <w:tcW w:w="705" w:type="dxa"/>
            <w:tcBorders>
              <w:top w:val="single" w:color="000000" w:sz="4" w:space="0"/>
              <w:left w:val="single" w:color="000000" w:sz="4" w:space="0"/>
              <w:bottom w:val="single" w:color="000000" w:sz="4" w:space="0"/>
              <w:right w:val="single" w:color="000000" w:sz="4" w:space="0"/>
            </w:tcBorders>
            <w:vAlign w:val="center"/>
          </w:tcPr>
          <w:p w14:paraId="2AD2F44C">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箱</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75F080B0">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B3FA339">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2385ADF5">
            <w:pPr>
              <w:jc w:val="center"/>
              <w:rPr>
                <w:rFonts w:ascii="宋体" w:hAnsi="宋体" w:eastAsia="宋体" w:cs="宋体"/>
                <w:color w:val="000000"/>
                <w:sz w:val="24"/>
                <w:szCs w:val="24"/>
              </w:rPr>
            </w:pPr>
          </w:p>
        </w:tc>
      </w:tr>
      <w:tr w14:paraId="7E2599A2">
        <w:tblPrEx>
          <w:tblCellMar>
            <w:top w:w="0" w:type="dxa"/>
            <w:left w:w="108" w:type="dxa"/>
            <w:bottom w:w="0" w:type="dxa"/>
            <w:right w:w="108" w:type="dxa"/>
          </w:tblCellMar>
        </w:tblPrEx>
        <w:trPr>
          <w:trHeight w:val="482"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4E89F7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58</w:t>
            </w:r>
          </w:p>
        </w:tc>
        <w:tc>
          <w:tcPr>
            <w:tcW w:w="825" w:type="dxa"/>
            <w:tcBorders>
              <w:top w:val="single" w:color="000000" w:sz="4" w:space="0"/>
              <w:left w:val="single" w:color="000000" w:sz="4" w:space="0"/>
              <w:bottom w:val="single" w:color="000000" w:sz="4" w:space="0"/>
              <w:right w:val="single" w:color="000000" w:sz="4" w:space="0"/>
            </w:tcBorders>
            <w:vAlign w:val="center"/>
          </w:tcPr>
          <w:p w14:paraId="7698D23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线槽</w:t>
            </w:r>
          </w:p>
        </w:tc>
        <w:tc>
          <w:tcPr>
            <w:tcW w:w="7770" w:type="dxa"/>
            <w:tcBorders>
              <w:top w:val="single" w:color="000000" w:sz="4" w:space="0"/>
              <w:left w:val="single" w:color="000000" w:sz="4" w:space="0"/>
              <w:bottom w:val="single" w:color="000000" w:sz="4" w:space="0"/>
              <w:right w:val="single" w:color="000000" w:sz="4" w:space="0"/>
            </w:tcBorders>
            <w:vAlign w:val="center"/>
          </w:tcPr>
          <w:p w14:paraId="41D8EDF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3cm</w:t>
            </w:r>
          </w:p>
        </w:tc>
        <w:tc>
          <w:tcPr>
            <w:tcW w:w="885" w:type="dxa"/>
            <w:tcBorders>
              <w:top w:val="single" w:color="000000" w:sz="4" w:space="0"/>
              <w:left w:val="single" w:color="000000" w:sz="4" w:space="0"/>
              <w:bottom w:val="single" w:color="000000" w:sz="4" w:space="0"/>
              <w:right w:val="single" w:color="000000" w:sz="4" w:space="0"/>
            </w:tcBorders>
            <w:vAlign w:val="center"/>
          </w:tcPr>
          <w:p w14:paraId="31A56700">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640</w:t>
            </w:r>
          </w:p>
        </w:tc>
        <w:tc>
          <w:tcPr>
            <w:tcW w:w="705" w:type="dxa"/>
            <w:tcBorders>
              <w:top w:val="single" w:color="000000" w:sz="4" w:space="0"/>
              <w:left w:val="single" w:color="000000" w:sz="4" w:space="0"/>
              <w:bottom w:val="single" w:color="000000" w:sz="4" w:space="0"/>
              <w:right w:val="single" w:color="000000" w:sz="4" w:space="0"/>
            </w:tcBorders>
            <w:vAlign w:val="center"/>
          </w:tcPr>
          <w:p w14:paraId="2AE15188">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根</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47D8356E">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D8E6AAF">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54321C6E">
            <w:pPr>
              <w:jc w:val="center"/>
              <w:rPr>
                <w:rFonts w:ascii="宋体" w:hAnsi="宋体" w:eastAsia="宋体" w:cs="宋体"/>
                <w:color w:val="000000"/>
                <w:sz w:val="24"/>
                <w:szCs w:val="24"/>
              </w:rPr>
            </w:pPr>
          </w:p>
        </w:tc>
      </w:tr>
      <w:tr w14:paraId="59218677">
        <w:tblPrEx>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noWrap/>
            <w:vAlign w:val="center"/>
          </w:tcPr>
          <w:p w14:paraId="2B9A5F7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w:t>
            </w:r>
          </w:p>
        </w:tc>
        <w:tc>
          <w:tcPr>
            <w:tcW w:w="825" w:type="dxa"/>
            <w:tcBorders>
              <w:top w:val="single" w:color="000000" w:sz="4" w:space="0"/>
              <w:left w:val="single" w:color="000000" w:sz="4" w:space="0"/>
              <w:bottom w:val="single" w:color="000000" w:sz="4" w:space="0"/>
              <w:right w:val="single" w:color="000000" w:sz="4" w:space="0"/>
            </w:tcBorders>
            <w:vAlign w:val="center"/>
          </w:tcPr>
          <w:p w14:paraId="32E9A9DE">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室外监控</w:t>
            </w:r>
          </w:p>
        </w:tc>
        <w:tc>
          <w:tcPr>
            <w:tcW w:w="7770" w:type="dxa"/>
            <w:tcBorders>
              <w:top w:val="single" w:color="000000" w:sz="4" w:space="0"/>
              <w:left w:val="single" w:color="000000" w:sz="4" w:space="0"/>
              <w:bottom w:val="single" w:color="000000" w:sz="4" w:space="0"/>
              <w:right w:val="single" w:color="000000" w:sz="4" w:space="0"/>
            </w:tcBorders>
            <w:vAlign w:val="center"/>
          </w:tcPr>
          <w:p w14:paraId="5D80035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1. 最大分辨率2560x1440@25fps。</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 最低照度彩色0.0005lx。</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 靶面尺寸1/1.8英寸，内置GPU芯片，麦克风，扬声器。</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4. 白光灯开启时，可识别距离设备30m处人体轮廓，白天、夜晚均可输出彩色视频图像。</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5. 同一静止场景相同图像质量下，设备在H.264、H.265编码方式时，开启智能编码功能和不开启智能编码相比，码率节约80%。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6. 支持像素显示功能，可通过IE浏览器显示监视画面中鼠标所选区域水平及垂直方向的像素数</w:t>
            </w:r>
          </w:p>
        </w:tc>
        <w:tc>
          <w:tcPr>
            <w:tcW w:w="885" w:type="dxa"/>
            <w:tcBorders>
              <w:top w:val="single" w:color="000000" w:sz="4" w:space="0"/>
              <w:left w:val="single" w:color="000000" w:sz="4" w:space="0"/>
              <w:bottom w:val="single" w:color="000000" w:sz="4" w:space="0"/>
              <w:right w:val="single" w:color="000000" w:sz="4" w:space="0"/>
            </w:tcBorders>
            <w:vAlign w:val="center"/>
          </w:tcPr>
          <w:p w14:paraId="334447B1">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50</w:t>
            </w:r>
          </w:p>
        </w:tc>
        <w:tc>
          <w:tcPr>
            <w:tcW w:w="705" w:type="dxa"/>
            <w:tcBorders>
              <w:top w:val="single" w:color="000000" w:sz="4" w:space="0"/>
              <w:left w:val="single" w:color="000000" w:sz="4" w:space="0"/>
              <w:bottom w:val="single" w:color="000000" w:sz="4" w:space="0"/>
              <w:right w:val="single" w:color="000000" w:sz="4" w:space="0"/>
            </w:tcBorders>
            <w:vAlign w:val="center"/>
          </w:tcPr>
          <w:p w14:paraId="67948F52">
            <w:pPr>
              <w:widowControl/>
              <w:jc w:val="center"/>
              <w:textAlignment w:val="center"/>
              <w:rPr>
                <w:rFonts w:ascii="Calibri" w:hAnsi="Calibri" w:eastAsia="宋体" w:cs="Times New Roman"/>
                <w:sz w:val="24"/>
                <w:szCs w:val="24"/>
              </w:rPr>
            </w:pPr>
            <w:r>
              <w:rPr>
                <w:rFonts w:hint="eastAsia" w:ascii="宋体" w:hAnsi="宋体" w:eastAsia="宋体" w:cs="宋体"/>
                <w:color w:val="000000"/>
                <w:kern w:val="0"/>
                <w:sz w:val="24"/>
                <w:szCs w:val="24"/>
                <w:lang w:bidi="ar"/>
              </w:rPr>
              <w:t>个</w:t>
            </w:r>
          </w:p>
        </w:tc>
        <w:tc>
          <w:tcPr>
            <w:tcW w:w="1185" w:type="dxa"/>
            <w:gridSpan w:val="2"/>
            <w:tcBorders>
              <w:top w:val="single" w:color="000000" w:sz="4" w:space="0"/>
              <w:left w:val="single" w:color="000000" w:sz="4" w:space="0"/>
              <w:bottom w:val="single" w:color="000000" w:sz="4" w:space="0"/>
              <w:right w:val="single" w:color="000000" w:sz="4" w:space="0"/>
            </w:tcBorders>
            <w:vAlign w:val="center"/>
          </w:tcPr>
          <w:p w14:paraId="08F58B87">
            <w:pPr>
              <w:widowControl/>
              <w:jc w:val="center"/>
              <w:textAlignment w:val="center"/>
              <w:rPr>
                <w:rFonts w:ascii="Calibri" w:hAnsi="Calibri" w:eastAsia="宋体" w:cs="Times New Roman"/>
                <w:sz w:val="24"/>
                <w:szCs w:val="24"/>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9F2933">
            <w:pPr>
              <w:widowControl/>
              <w:jc w:val="center"/>
              <w:textAlignment w:val="center"/>
              <w:rPr>
                <w:rFonts w:ascii="Calibri" w:hAnsi="Calibri" w:eastAsia="宋体" w:cs="Times New Roman"/>
                <w:sz w:val="24"/>
                <w:szCs w:val="24"/>
              </w:rPr>
            </w:pPr>
          </w:p>
        </w:tc>
        <w:tc>
          <w:tcPr>
            <w:tcW w:w="1432" w:type="dxa"/>
            <w:tcBorders>
              <w:top w:val="single" w:color="000000" w:sz="4" w:space="0"/>
              <w:left w:val="single" w:color="000000" w:sz="4" w:space="0"/>
              <w:bottom w:val="single" w:color="000000" w:sz="4" w:space="0"/>
              <w:right w:val="single" w:color="000000" w:sz="4" w:space="0"/>
            </w:tcBorders>
            <w:noWrap/>
            <w:vAlign w:val="center"/>
          </w:tcPr>
          <w:p w14:paraId="1AF6845D">
            <w:pPr>
              <w:jc w:val="center"/>
              <w:rPr>
                <w:rFonts w:ascii="宋体" w:hAnsi="宋体" w:eastAsia="宋体" w:cs="宋体"/>
                <w:color w:val="000000"/>
                <w:sz w:val="24"/>
                <w:szCs w:val="24"/>
              </w:rPr>
            </w:pPr>
          </w:p>
        </w:tc>
      </w:tr>
    </w:tbl>
    <w:p w14:paraId="7A1A637D">
      <w:pPr>
        <w:pStyle w:val="2"/>
      </w:pPr>
    </w:p>
    <w:p w14:paraId="57E58592"/>
    <w:p w14:paraId="5133ABE8">
      <w:pPr>
        <w:pStyle w:val="2"/>
      </w:pPr>
    </w:p>
    <w:p w14:paraId="13762B8E"/>
    <w:p w14:paraId="4FC9525B">
      <w:pPr>
        <w:pStyle w:val="2"/>
      </w:pPr>
    </w:p>
    <w:p w14:paraId="4E266C80"/>
    <w:p w14:paraId="277A7D07"/>
    <w:p w14:paraId="720224B6">
      <w:pPr>
        <w:pStyle w:val="2"/>
        <w:jc w:val="center"/>
        <w:rPr>
          <w:rFonts w:ascii="宋体" w:hAnsi="宋体"/>
          <w:b/>
          <w:bCs/>
          <w:sz w:val="36"/>
          <w:szCs w:val="36"/>
        </w:rPr>
      </w:pPr>
      <w:r>
        <w:rPr>
          <w:rFonts w:hint="eastAsia" w:ascii="宋体" w:hAnsi="宋体"/>
          <w:b/>
          <w:bCs/>
          <w:sz w:val="36"/>
          <w:szCs w:val="36"/>
        </w:rPr>
        <w:t>B包采购</w:t>
      </w:r>
      <w:r>
        <w:rPr>
          <w:rFonts w:ascii="宋体" w:hAnsi="宋体"/>
          <w:b/>
          <w:bCs/>
          <w:sz w:val="36"/>
          <w:szCs w:val="36"/>
        </w:rPr>
        <w:t>清单</w:t>
      </w:r>
    </w:p>
    <w:tbl>
      <w:tblPr>
        <w:tblStyle w:val="89"/>
        <w:tblW w:w="1505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776"/>
        <w:gridCol w:w="9271"/>
        <w:gridCol w:w="915"/>
        <w:gridCol w:w="975"/>
        <w:gridCol w:w="891"/>
        <w:gridCol w:w="857"/>
        <w:gridCol w:w="862"/>
      </w:tblGrid>
      <w:tr w14:paraId="34CF4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2" w:hRule="atLeast"/>
        </w:trPr>
        <w:tc>
          <w:tcPr>
            <w:tcW w:w="15059" w:type="dxa"/>
            <w:gridSpan w:val="8"/>
            <w:tcBorders>
              <w:top w:val="nil"/>
              <w:left w:val="nil"/>
              <w:bottom w:val="single" w:color="auto" w:sz="4" w:space="0"/>
              <w:right w:val="nil"/>
            </w:tcBorders>
            <w:noWrap/>
            <w:vAlign w:val="center"/>
          </w:tcPr>
          <w:p w14:paraId="7869C10D">
            <w:pPr>
              <w:widowControl/>
              <w:jc w:val="center"/>
              <w:rPr>
                <w:rFonts w:ascii="宋体" w:hAnsi="宋体" w:eastAsia="宋体" w:cs="宋体"/>
                <w:b/>
                <w:bCs/>
                <w:kern w:val="0"/>
                <w:sz w:val="36"/>
                <w:szCs w:val="36"/>
              </w:rPr>
            </w:pPr>
            <w:r>
              <w:rPr>
                <w:rFonts w:hint="eastAsia" w:ascii="宋体" w:hAnsi="宋体" w:eastAsia="宋体" w:cs="宋体"/>
                <w:b/>
                <w:bCs/>
                <w:kern w:val="0"/>
                <w:sz w:val="36"/>
                <w:szCs w:val="36"/>
              </w:rPr>
              <w:t>灵宝市高级技工学校灵宝市公共就业创业服务驿站项目B包招标清单</w:t>
            </w:r>
          </w:p>
        </w:tc>
      </w:tr>
      <w:tr w14:paraId="07F3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2" w:type="dxa"/>
            <w:tcBorders>
              <w:top w:val="single" w:color="auto" w:sz="4" w:space="0"/>
            </w:tcBorders>
            <w:noWrap/>
            <w:vAlign w:val="center"/>
          </w:tcPr>
          <w:p w14:paraId="39C4A86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776" w:type="dxa"/>
            <w:tcBorders>
              <w:top w:val="single" w:color="auto" w:sz="4" w:space="0"/>
            </w:tcBorders>
            <w:vAlign w:val="center"/>
          </w:tcPr>
          <w:p w14:paraId="28A6B00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建设内容</w:t>
            </w:r>
          </w:p>
        </w:tc>
        <w:tc>
          <w:tcPr>
            <w:tcW w:w="9271" w:type="dxa"/>
            <w:tcBorders>
              <w:top w:val="single" w:color="auto" w:sz="4" w:space="0"/>
            </w:tcBorders>
            <w:noWrap/>
            <w:vAlign w:val="center"/>
          </w:tcPr>
          <w:p w14:paraId="5C45675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参数或者功能</w:t>
            </w:r>
          </w:p>
        </w:tc>
        <w:tc>
          <w:tcPr>
            <w:tcW w:w="915" w:type="dxa"/>
            <w:tcBorders>
              <w:top w:val="single" w:color="auto" w:sz="4" w:space="0"/>
            </w:tcBorders>
            <w:noWrap/>
            <w:vAlign w:val="center"/>
          </w:tcPr>
          <w:p w14:paraId="437F0FB4">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975" w:type="dxa"/>
            <w:tcBorders>
              <w:top w:val="single" w:color="auto" w:sz="4" w:space="0"/>
            </w:tcBorders>
            <w:noWrap/>
            <w:vAlign w:val="center"/>
          </w:tcPr>
          <w:p w14:paraId="40CBA24F">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891" w:type="dxa"/>
            <w:tcBorders>
              <w:top w:val="single" w:color="auto" w:sz="4" w:space="0"/>
            </w:tcBorders>
            <w:vAlign w:val="center"/>
          </w:tcPr>
          <w:p w14:paraId="1FFA9ED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单价</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（元）</w:t>
            </w:r>
          </w:p>
        </w:tc>
        <w:tc>
          <w:tcPr>
            <w:tcW w:w="857" w:type="dxa"/>
            <w:tcBorders>
              <w:top w:val="single" w:color="auto" w:sz="4" w:space="0"/>
            </w:tcBorders>
            <w:vAlign w:val="center"/>
          </w:tcPr>
          <w:p w14:paraId="112917D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小计</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（元）</w:t>
            </w:r>
          </w:p>
        </w:tc>
        <w:tc>
          <w:tcPr>
            <w:tcW w:w="862" w:type="dxa"/>
            <w:tcBorders>
              <w:top w:val="single" w:color="auto" w:sz="4" w:space="0"/>
            </w:tcBorders>
            <w:noWrap/>
            <w:vAlign w:val="center"/>
          </w:tcPr>
          <w:p w14:paraId="77848BE0">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3B25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5059" w:type="dxa"/>
            <w:gridSpan w:val="8"/>
            <w:noWrap/>
            <w:vAlign w:val="center"/>
          </w:tcPr>
          <w:p w14:paraId="0D76CFE9">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驿站接待大厅</w:t>
            </w:r>
          </w:p>
        </w:tc>
      </w:tr>
      <w:tr w14:paraId="120EB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trPr>
        <w:tc>
          <w:tcPr>
            <w:tcW w:w="512" w:type="dxa"/>
            <w:noWrap/>
            <w:vAlign w:val="center"/>
          </w:tcPr>
          <w:p w14:paraId="548628A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776" w:type="dxa"/>
            <w:vAlign w:val="center"/>
          </w:tcPr>
          <w:p w14:paraId="38C07784">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灵宝公共就业抖音带岗号搭建</w:t>
            </w:r>
          </w:p>
        </w:tc>
        <w:tc>
          <w:tcPr>
            <w:tcW w:w="9271" w:type="dxa"/>
            <w:vAlign w:val="center"/>
          </w:tcPr>
          <w:p w14:paraId="2B9D87EB">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灵宝公共就业创业服务驿站抖音账号的搭建，可以实现在线直播，咨询，留言。设立小窗口对就业企业的宣传和岗位进行描述。主要发布招聘需求，招聘求职人员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投递求职简历，急招岗位，首页、找工作、沟通、面试邀请。及时发布招聘职位基本信息：职位名称、薪资待遇、地点、招聘人数、学历要求、全职/兼职、职位描述等，实现在线互动等。</w:t>
            </w:r>
          </w:p>
        </w:tc>
        <w:tc>
          <w:tcPr>
            <w:tcW w:w="915" w:type="dxa"/>
            <w:noWrap/>
            <w:vAlign w:val="center"/>
          </w:tcPr>
          <w:p w14:paraId="7FDCB9D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5296315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016287E0">
            <w:pPr>
              <w:widowControl/>
              <w:spacing w:line="360" w:lineRule="auto"/>
              <w:jc w:val="center"/>
              <w:rPr>
                <w:rFonts w:ascii="宋体" w:hAnsi="宋体" w:eastAsia="宋体" w:cs="Times New Roman"/>
                <w:kern w:val="0"/>
                <w:sz w:val="24"/>
                <w:szCs w:val="24"/>
              </w:rPr>
            </w:pPr>
          </w:p>
        </w:tc>
        <w:tc>
          <w:tcPr>
            <w:tcW w:w="857" w:type="dxa"/>
            <w:noWrap/>
            <w:vAlign w:val="center"/>
          </w:tcPr>
          <w:p w14:paraId="1003F2B5">
            <w:pPr>
              <w:widowControl/>
              <w:spacing w:line="360" w:lineRule="auto"/>
              <w:jc w:val="center"/>
              <w:rPr>
                <w:rFonts w:ascii="宋体" w:hAnsi="宋体" w:eastAsia="宋体" w:cs="Times New Roman"/>
                <w:kern w:val="0"/>
                <w:sz w:val="24"/>
                <w:szCs w:val="24"/>
              </w:rPr>
            </w:pPr>
          </w:p>
        </w:tc>
        <w:tc>
          <w:tcPr>
            <w:tcW w:w="862" w:type="dxa"/>
            <w:noWrap/>
            <w:vAlign w:val="center"/>
          </w:tcPr>
          <w:p w14:paraId="21ADE13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9C3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F6B303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776" w:type="dxa"/>
            <w:vAlign w:val="center"/>
          </w:tcPr>
          <w:p w14:paraId="040B7508">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制度文化建设</w:t>
            </w:r>
          </w:p>
        </w:tc>
        <w:tc>
          <w:tcPr>
            <w:tcW w:w="9271" w:type="dxa"/>
            <w:vAlign w:val="center"/>
          </w:tcPr>
          <w:p w14:paraId="4452D48C">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采取软膜灯箱或者PVC的广告材质，对就业、创业、企业、岗位、工伤等政策和文化进行包装宣传，在园区内形成较浓厚的就业创业文化氛围。</w:t>
            </w:r>
          </w:p>
        </w:tc>
        <w:tc>
          <w:tcPr>
            <w:tcW w:w="915" w:type="dxa"/>
            <w:noWrap/>
            <w:vAlign w:val="center"/>
          </w:tcPr>
          <w:p w14:paraId="7D671BB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3CA8F02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noWrap/>
            <w:vAlign w:val="center"/>
          </w:tcPr>
          <w:p w14:paraId="2B006117">
            <w:pPr>
              <w:widowControl/>
              <w:spacing w:line="360" w:lineRule="auto"/>
              <w:jc w:val="center"/>
              <w:rPr>
                <w:rFonts w:ascii="宋体" w:hAnsi="宋体" w:eastAsia="宋体" w:cs="Times New Roman"/>
                <w:kern w:val="0"/>
                <w:sz w:val="24"/>
                <w:szCs w:val="24"/>
              </w:rPr>
            </w:pPr>
          </w:p>
        </w:tc>
        <w:tc>
          <w:tcPr>
            <w:tcW w:w="857" w:type="dxa"/>
            <w:noWrap/>
            <w:vAlign w:val="center"/>
          </w:tcPr>
          <w:p w14:paraId="50F9CE08">
            <w:pPr>
              <w:widowControl/>
              <w:spacing w:line="360" w:lineRule="auto"/>
              <w:jc w:val="center"/>
              <w:rPr>
                <w:rFonts w:ascii="宋体" w:hAnsi="宋体" w:eastAsia="宋体" w:cs="Times New Roman"/>
                <w:kern w:val="0"/>
                <w:sz w:val="24"/>
                <w:szCs w:val="24"/>
              </w:rPr>
            </w:pPr>
          </w:p>
        </w:tc>
        <w:tc>
          <w:tcPr>
            <w:tcW w:w="862" w:type="dxa"/>
            <w:noWrap/>
            <w:vAlign w:val="center"/>
          </w:tcPr>
          <w:p w14:paraId="3059417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F42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337E353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776" w:type="dxa"/>
            <w:vAlign w:val="center"/>
          </w:tcPr>
          <w:p w14:paraId="32FB6588">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就业信息栏</w:t>
            </w:r>
          </w:p>
        </w:tc>
        <w:tc>
          <w:tcPr>
            <w:tcW w:w="9271" w:type="dxa"/>
            <w:vAlign w:val="center"/>
          </w:tcPr>
          <w:p w14:paraId="09093A4D">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PVC或者塑料宣传栏，主要对企业和用工信息进行宣传，可拆卸和更换型的。</w:t>
            </w:r>
          </w:p>
        </w:tc>
        <w:tc>
          <w:tcPr>
            <w:tcW w:w="915" w:type="dxa"/>
            <w:noWrap/>
            <w:vAlign w:val="center"/>
          </w:tcPr>
          <w:p w14:paraId="5648D13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975" w:type="dxa"/>
            <w:noWrap/>
            <w:vAlign w:val="center"/>
          </w:tcPr>
          <w:p w14:paraId="0BE275A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30F87A81">
            <w:pPr>
              <w:widowControl/>
              <w:spacing w:line="360" w:lineRule="auto"/>
              <w:jc w:val="center"/>
              <w:rPr>
                <w:rFonts w:ascii="宋体" w:hAnsi="宋体" w:eastAsia="宋体" w:cs="Times New Roman"/>
                <w:kern w:val="0"/>
                <w:sz w:val="24"/>
                <w:szCs w:val="24"/>
              </w:rPr>
            </w:pPr>
          </w:p>
        </w:tc>
        <w:tc>
          <w:tcPr>
            <w:tcW w:w="857" w:type="dxa"/>
            <w:noWrap/>
            <w:vAlign w:val="center"/>
          </w:tcPr>
          <w:p w14:paraId="491D4A31">
            <w:pPr>
              <w:widowControl/>
              <w:spacing w:line="360" w:lineRule="auto"/>
              <w:jc w:val="center"/>
              <w:rPr>
                <w:rFonts w:ascii="宋体" w:hAnsi="宋体" w:eastAsia="宋体" w:cs="Times New Roman"/>
                <w:kern w:val="0"/>
                <w:sz w:val="24"/>
                <w:szCs w:val="24"/>
              </w:rPr>
            </w:pPr>
          </w:p>
        </w:tc>
        <w:tc>
          <w:tcPr>
            <w:tcW w:w="862" w:type="dxa"/>
            <w:noWrap/>
            <w:vAlign w:val="center"/>
          </w:tcPr>
          <w:p w14:paraId="6BE6B7E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4DD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5ECD03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776" w:type="dxa"/>
            <w:vAlign w:val="center"/>
          </w:tcPr>
          <w:p w14:paraId="540AADA8">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组合式洽谈</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桌椅（接待为主）</w:t>
            </w:r>
          </w:p>
        </w:tc>
        <w:tc>
          <w:tcPr>
            <w:tcW w:w="9271" w:type="dxa"/>
            <w:vAlign w:val="center"/>
          </w:tcPr>
          <w:p w14:paraId="5AB3FCA1">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设计体现工业风格,长度、宽度和高度需根据办公空间大小和使用需求进行定制；座椅符合人体工程学原理；桌面强度满足日常使用需求；桌面与桌腿的连接应采用螺丝连接或焊接连接，确保结构牢固且易于维修；办公桌具备一定的储物空间；应配备电线管理槽或孔洞，确保电线整齐有序；所有材料符合国家环保标准，具备良好的耐用性和稳定性；</w:t>
            </w:r>
          </w:p>
        </w:tc>
        <w:tc>
          <w:tcPr>
            <w:tcW w:w="915" w:type="dxa"/>
            <w:noWrap/>
            <w:vAlign w:val="center"/>
          </w:tcPr>
          <w:p w14:paraId="05C8A28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975" w:type="dxa"/>
            <w:noWrap/>
            <w:vAlign w:val="center"/>
          </w:tcPr>
          <w:p w14:paraId="29321CB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1EB81455">
            <w:pPr>
              <w:widowControl/>
              <w:spacing w:line="360" w:lineRule="auto"/>
              <w:jc w:val="center"/>
              <w:rPr>
                <w:rFonts w:ascii="宋体" w:hAnsi="宋体" w:eastAsia="宋体" w:cs="宋体"/>
                <w:kern w:val="0"/>
                <w:sz w:val="24"/>
                <w:szCs w:val="24"/>
              </w:rPr>
            </w:pPr>
          </w:p>
        </w:tc>
        <w:tc>
          <w:tcPr>
            <w:tcW w:w="857" w:type="dxa"/>
            <w:noWrap/>
            <w:vAlign w:val="center"/>
          </w:tcPr>
          <w:p w14:paraId="4B4DB9C4">
            <w:pPr>
              <w:widowControl/>
              <w:spacing w:line="360" w:lineRule="auto"/>
              <w:jc w:val="center"/>
              <w:rPr>
                <w:rFonts w:ascii="宋体" w:hAnsi="宋体" w:eastAsia="宋体" w:cs="Times New Roman"/>
                <w:kern w:val="0"/>
                <w:sz w:val="24"/>
                <w:szCs w:val="24"/>
              </w:rPr>
            </w:pPr>
          </w:p>
        </w:tc>
        <w:tc>
          <w:tcPr>
            <w:tcW w:w="862" w:type="dxa"/>
            <w:noWrap/>
            <w:vAlign w:val="center"/>
          </w:tcPr>
          <w:p w14:paraId="26F7FEC8">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750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9EA9CA8">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776" w:type="dxa"/>
            <w:vAlign w:val="center"/>
          </w:tcPr>
          <w:p w14:paraId="35CE39B9">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接待大厅休闲茶座</w:t>
            </w:r>
          </w:p>
        </w:tc>
        <w:tc>
          <w:tcPr>
            <w:tcW w:w="9271" w:type="dxa"/>
            <w:vAlign w:val="center"/>
          </w:tcPr>
          <w:p w14:paraId="3400122C">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符合工业风格，色彩搭配需与整体环境相协调；采用环保材料制造，材质坚固耐用，确保柜台的结构稳定性和使用寿命；长度、宽度和高度需根据办公空间大小和使用需求进行定制；应配备电线管理槽或孔洞，确保电线整齐有序；</w:t>
            </w:r>
          </w:p>
        </w:tc>
        <w:tc>
          <w:tcPr>
            <w:tcW w:w="915" w:type="dxa"/>
            <w:noWrap/>
            <w:vAlign w:val="center"/>
          </w:tcPr>
          <w:p w14:paraId="5D5D3A2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4E80711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3AE137A1">
            <w:pPr>
              <w:widowControl/>
              <w:spacing w:line="360" w:lineRule="auto"/>
              <w:jc w:val="center"/>
              <w:rPr>
                <w:rFonts w:ascii="宋体" w:hAnsi="宋体" w:eastAsia="宋体" w:cs="宋体"/>
                <w:kern w:val="0"/>
                <w:sz w:val="24"/>
                <w:szCs w:val="24"/>
              </w:rPr>
            </w:pPr>
          </w:p>
        </w:tc>
        <w:tc>
          <w:tcPr>
            <w:tcW w:w="857" w:type="dxa"/>
            <w:noWrap/>
            <w:vAlign w:val="center"/>
          </w:tcPr>
          <w:p w14:paraId="7ACEBBAA">
            <w:pPr>
              <w:widowControl/>
              <w:spacing w:line="360" w:lineRule="auto"/>
              <w:jc w:val="center"/>
              <w:rPr>
                <w:rFonts w:ascii="宋体" w:hAnsi="宋体" w:eastAsia="宋体" w:cs="Times New Roman"/>
                <w:kern w:val="0"/>
                <w:sz w:val="24"/>
                <w:szCs w:val="24"/>
              </w:rPr>
            </w:pPr>
          </w:p>
        </w:tc>
        <w:tc>
          <w:tcPr>
            <w:tcW w:w="862" w:type="dxa"/>
            <w:noWrap/>
            <w:vAlign w:val="center"/>
          </w:tcPr>
          <w:p w14:paraId="3840871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AF5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308C743E">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6</w:t>
            </w:r>
          </w:p>
        </w:tc>
        <w:tc>
          <w:tcPr>
            <w:tcW w:w="776" w:type="dxa"/>
            <w:vAlign w:val="center"/>
          </w:tcPr>
          <w:p w14:paraId="00922E1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室外休息凳子</w:t>
            </w:r>
          </w:p>
        </w:tc>
        <w:tc>
          <w:tcPr>
            <w:tcW w:w="9271" w:type="dxa"/>
            <w:vAlign w:val="center"/>
          </w:tcPr>
          <w:p w14:paraId="48A8DC7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防晒，防雨，符合人体工学设计；采用环保材质，安全防静电；工业风风格，颜色符合园区特色。</w:t>
            </w:r>
          </w:p>
        </w:tc>
        <w:tc>
          <w:tcPr>
            <w:tcW w:w="915" w:type="dxa"/>
            <w:vAlign w:val="center"/>
          </w:tcPr>
          <w:p w14:paraId="6A02644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975" w:type="dxa"/>
            <w:noWrap/>
            <w:vAlign w:val="center"/>
          </w:tcPr>
          <w:p w14:paraId="5F19D8D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vAlign w:val="center"/>
          </w:tcPr>
          <w:p w14:paraId="12D58177">
            <w:pPr>
              <w:widowControl/>
              <w:spacing w:line="360" w:lineRule="auto"/>
              <w:jc w:val="center"/>
              <w:rPr>
                <w:rFonts w:ascii="宋体" w:hAnsi="宋体" w:eastAsia="宋体" w:cs="宋体"/>
                <w:kern w:val="0"/>
                <w:sz w:val="24"/>
                <w:szCs w:val="24"/>
              </w:rPr>
            </w:pPr>
          </w:p>
        </w:tc>
        <w:tc>
          <w:tcPr>
            <w:tcW w:w="857" w:type="dxa"/>
            <w:noWrap/>
            <w:vAlign w:val="center"/>
          </w:tcPr>
          <w:p w14:paraId="23323118">
            <w:pPr>
              <w:widowControl/>
              <w:spacing w:line="360" w:lineRule="auto"/>
              <w:jc w:val="center"/>
              <w:rPr>
                <w:rFonts w:ascii="宋体" w:hAnsi="宋体" w:eastAsia="宋体" w:cs="Times New Roman"/>
                <w:kern w:val="0"/>
                <w:sz w:val="24"/>
                <w:szCs w:val="24"/>
              </w:rPr>
            </w:pPr>
          </w:p>
        </w:tc>
        <w:tc>
          <w:tcPr>
            <w:tcW w:w="862" w:type="dxa"/>
            <w:noWrap/>
            <w:vAlign w:val="center"/>
          </w:tcPr>
          <w:p w14:paraId="4B34F26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F43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20F8ADE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7</w:t>
            </w:r>
          </w:p>
        </w:tc>
        <w:tc>
          <w:tcPr>
            <w:tcW w:w="776" w:type="dxa"/>
            <w:vAlign w:val="center"/>
          </w:tcPr>
          <w:p w14:paraId="06848846">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自助拍照片机</w:t>
            </w:r>
          </w:p>
        </w:tc>
        <w:tc>
          <w:tcPr>
            <w:tcW w:w="9271" w:type="dxa"/>
            <w:vAlign w:val="center"/>
          </w:tcPr>
          <w:p w14:paraId="74493B2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一、一体机规格及机身工艺</w:t>
            </w:r>
            <w:r>
              <w:rPr>
                <w:rFonts w:hint="eastAsia" w:ascii="宋体" w:hAnsi="宋体" w:eastAsia="宋体" w:cs="宋体"/>
                <w:kern w:val="0"/>
                <w:sz w:val="24"/>
                <w:szCs w:val="24"/>
              </w:rPr>
              <w:br w:type="page"/>
            </w:r>
            <w:r>
              <w:rPr>
                <w:rFonts w:hint="eastAsia" w:ascii="宋体" w:hAnsi="宋体" w:eastAsia="宋体" w:cs="宋体"/>
                <w:kern w:val="0"/>
                <w:sz w:val="24"/>
                <w:szCs w:val="24"/>
              </w:rPr>
              <w:t>1、占地面积：≤1㎡；</w:t>
            </w:r>
            <w:r>
              <w:rPr>
                <w:rFonts w:hint="eastAsia" w:ascii="宋体" w:hAnsi="宋体" w:eastAsia="宋体" w:cs="宋体"/>
                <w:kern w:val="0"/>
                <w:sz w:val="24"/>
                <w:szCs w:val="24"/>
              </w:rPr>
              <w:br w:type="page"/>
            </w:r>
            <w:r>
              <w:rPr>
                <w:rFonts w:hint="eastAsia" w:ascii="宋体" w:hAnsi="宋体" w:eastAsia="宋体" w:cs="宋体"/>
                <w:kern w:val="0"/>
                <w:sz w:val="24"/>
                <w:szCs w:val="24"/>
              </w:rPr>
              <w:t>2、一体机采用优质碳素钢材制作，光洁无毛刺。机身钢材厚度≥1.5mm，具有防钻、防电焊、防切割、防潮、防腐蚀等功能，机身总重量：≤280kg。3、一体机表面进行防腐处理，要具有防腐蚀功能。</w:t>
            </w:r>
            <w:r>
              <w:rPr>
                <w:rFonts w:hint="eastAsia" w:ascii="宋体" w:hAnsi="宋体" w:eastAsia="宋体" w:cs="宋体"/>
                <w:kern w:val="0"/>
                <w:sz w:val="24"/>
                <w:szCs w:val="24"/>
              </w:rPr>
              <w:br w:type="page"/>
            </w:r>
            <w:r>
              <w:rPr>
                <w:rFonts w:hint="eastAsia" w:ascii="宋体" w:hAnsi="宋体" w:eastAsia="宋体" w:cs="宋体"/>
                <w:kern w:val="0"/>
                <w:sz w:val="24"/>
                <w:szCs w:val="24"/>
              </w:rPr>
              <w:t>4、一体机底部自带螺纹顶脚，采用方向轮。</w:t>
            </w:r>
            <w:r>
              <w:rPr>
                <w:rFonts w:hint="eastAsia" w:ascii="宋体" w:hAnsi="宋体" w:eastAsia="宋体" w:cs="宋体"/>
                <w:kern w:val="0"/>
                <w:sz w:val="24"/>
                <w:szCs w:val="24"/>
              </w:rPr>
              <w:br w:type="page"/>
            </w:r>
            <w:r>
              <w:rPr>
                <w:rFonts w:hint="eastAsia" w:ascii="宋体" w:hAnsi="宋体" w:eastAsia="宋体" w:cs="宋体"/>
                <w:kern w:val="0"/>
                <w:sz w:val="24"/>
                <w:szCs w:val="24"/>
              </w:rPr>
              <w:t>二、信息采集组件</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1、证件照机柜 1.5MM冷轧钢机柜、不易变形，时尚流线外观专利、自有知识产权，外观美观、大方，符合人体工程学设计，布局合理，工艺精细，防尘、防锈、防腐、耐磨. 130（长）mm×750(宽) mm×2100（高）mm整机占地≤1㎡； </w:t>
            </w:r>
            <w:r>
              <w:rPr>
                <w:rFonts w:hint="eastAsia" w:ascii="宋体" w:hAnsi="宋体" w:eastAsia="宋体" w:cs="宋体"/>
                <w:kern w:val="0"/>
                <w:sz w:val="24"/>
                <w:szCs w:val="24"/>
              </w:rPr>
              <w:br w:type="page"/>
            </w:r>
            <w:r>
              <w:rPr>
                <w:rFonts w:hint="eastAsia" w:ascii="宋体" w:hAnsi="宋体" w:eastAsia="宋体" w:cs="宋体"/>
                <w:kern w:val="0"/>
                <w:sz w:val="24"/>
                <w:szCs w:val="24"/>
              </w:rPr>
              <w:t>2、主机 Intel J3160(四核，2M缓存,高频率可达2.0GHz)，4G存储，120固态硬盘，可扩展WiFi+蓝牙扩展卡，VGA和DVI显示接口</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3、灯光系统 拍摄补光系统：采用LED光源，顶灯、面灯、背景灯色温6000K，显色指数&gt;90，可自主调整顶灯、面灯、背景灯的灯光亮度，以达到最佳拍摄效果。LED闪光拍摄引导系统：语音提示被拍摄人员平视相机镜头,目视正前方。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4、摄像座椅 智能双导轨升降座椅，输入电压：24VDC，最大负载：300KG，速度：5mm/s，最低40CM最高可升到65CM；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5、智能人像识别 自动识别人像仪态，如识别到人像过高，自动语音提示“请降低座椅高度”；识别到人像过低，自动语音提示“请升高座椅高度”；识别到人像偏左，自动语音提示“请向右偏”；识别到人像偏右，自动语音提示“请向左偏”；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6、操作屏 触摸显示屏，自助式触摸操作屏，无需鼠标键盘，嵌入式工业金属显示器，17英寸超大液晶，正屏4：3，黑白响应时间：5ms，灰阶响应时间：3ms，点距(mm):0.255,接口类型：VGA，平均亮度：400cd/m2,分辨率：1280x1024，水平垂直可视角度：160度，触摸类型：红外触摸；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7、专用单反相机 相机类型：单反相机；镜头类型：可更换镜头；有效像素：1800万像素；实际焦距：18—55mm；传感器类型：CMOS；传感器尺寸：APS画幅（22.3*14.9mm）；高清摄像：全高清（1080）；图像分辨率：5184×3456；对焦方式：单次自动对焦，人工智能伺服自动对焦，人工智能自动对焦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8、背景颜色 红、蓝、白三色背景自动实时切换，背景板59*85公分 </w:t>
            </w:r>
            <w:r>
              <w:rPr>
                <w:rFonts w:hint="eastAsia" w:ascii="宋体" w:hAnsi="宋体" w:eastAsia="宋体" w:cs="宋体"/>
                <w:kern w:val="0"/>
                <w:sz w:val="24"/>
                <w:szCs w:val="24"/>
              </w:rPr>
              <w:br w:type="page"/>
            </w:r>
            <w:r>
              <w:rPr>
                <w:rFonts w:hint="eastAsia" w:ascii="宋体" w:hAnsi="宋体" w:eastAsia="宋体" w:cs="宋体"/>
                <w:kern w:val="0"/>
                <w:sz w:val="24"/>
                <w:szCs w:val="24"/>
              </w:rPr>
              <w:t>9、操作系统 采用兼容性最佳的WIN7系统为自助证件机专用操作系统</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10、证件照系统 ZZT2.05自主研发软件，语音系统引导顾客自行操作。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11、语音系统 语音播放软件操作提示;双声道输出，带物理音量条件开关，8欧姆5w.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12、支持证件类型 可灵活选择所需拍摄的证件相片，身份证，居住证，驾驶证，美国签证，欧洲/台湾签证，社保卡，健康证等73种证照类型， </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13、整机功耗 待机时约150W，工作时约300W，电流小于1安培； </w:t>
            </w:r>
            <w:r>
              <w:rPr>
                <w:rFonts w:hint="eastAsia" w:ascii="宋体" w:hAnsi="宋体" w:eastAsia="宋体" w:cs="宋体"/>
                <w:kern w:val="0"/>
                <w:sz w:val="24"/>
                <w:szCs w:val="24"/>
              </w:rPr>
              <w:br w:type="page"/>
            </w:r>
            <w:r>
              <w:rPr>
                <w:rFonts w:hint="eastAsia" w:ascii="宋体" w:hAnsi="宋体" w:eastAsia="宋体" w:cs="宋体"/>
                <w:kern w:val="0"/>
                <w:sz w:val="24"/>
                <w:szCs w:val="24"/>
              </w:rPr>
              <w:t>14、软件系统 默认互联网，软件具有可发性，可与不同的系统平台接合，需对接方提供接口。</w:t>
            </w:r>
            <w:r>
              <w:rPr>
                <w:rFonts w:hint="eastAsia" w:ascii="宋体" w:hAnsi="宋体" w:eastAsia="宋体" w:cs="宋体"/>
                <w:kern w:val="0"/>
                <w:sz w:val="24"/>
                <w:szCs w:val="24"/>
              </w:rPr>
              <w:br w:type="page"/>
            </w:r>
            <w:r>
              <w:rPr>
                <w:rFonts w:hint="eastAsia" w:ascii="宋体" w:hAnsi="宋体" w:eastAsia="宋体" w:cs="宋体"/>
                <w:kern w:val="0"/>
                <w:sz w:val="24"/>
                <w:szCs w:val="24"/>
              </w:rPr>
              <w:t>15、支付系统 默认支付宝和微信支付。16、有打印功能，含免费100张使用打印纸，打相片功能</w:t>
            </w:r>
          </w:p>
        </w:tc>
        <w:tc>
          <w:tcPr>
            <w:tcW w:w="915" w:type="dxa"/>
            <w:noWrap/>
            <w:vAlign w:val="center"/>
          </w:tcPr>
          <w:p w14:paraId="5FE10CE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3F372855">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49624D81">
            <w:pPr>
              <w:widowControl/>
              <w:jc w:val="center"/>
              <w:rPr>
                <w:rFonts w:ascii="宋体" w:hAnsi="宋体" w:eastAsia="宋体" w:cs="宋体"/>
                <w:kern w:val="0"/>
                <w:sz w:val="24"/>
                <w:szCs w:val="24"/>
              </w:rPr>
            </w:pPr>
          </w:p>
        </w:tc>
        <w:tc>
          <w:tcPr>
            <w:tcW w:w="857" w:type="dxa"/>
            <w:noWrap/>
            <w:vAlign w:val="center"/>
          </w:tcPr>
          <w:p w14:paraId="180304D5">
            <w:pPr>
              <w:widowControl/>
              <w:jc w:val="center"/>
              <w:rPr>
                <w:rFonts w:ascii="宋体" w:hAnsi="宋体" w:eastAsia="宋体" w:cs="Times New Roman"/>
                <w:kern w:val="0"/>
                <w:sz w:val="24"/>
                <w:szCs w:val="24"/>
              </w:rPr>
            </w:pPr>
          </w:p>
        </w:tc>
        <w:tc>
          <w:tcPr>
            <w:tcW w:w="862" w:type="dxa"/>
            <w:noWrap/>
            <w:vAlign w:val="center"/>
          </w:tcPr>
          <w:p w14:paraId="6AB5FE5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B61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512" w:type="dxa"/>
            <w:noWrap/>
            <w:vAlign w:val="center"/>
          </w:tcPr>
          <w:p w14:paraId="11E03C01">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776" w:type="dxa"/>
            <w:vAlign w:val="center"/>
          </w:tcPr>
          <w:p w14:paraId="2F89D65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综合布线</w:t>
            </w:r>
          </w:p>
        </w:tc>
        <w:tc>
          <w:tcPr>
            <w:tcW w:w="9271" w:type="dxa"/>
            <w:vAlign w:val="center"/>
          </w:tcPr>
          <w:p w14:paraId="378BAB3C">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在现有照明基础上，根据工位和实际需要，对现有电源线进行改造和升级，保证所有电器和照明正常使用，线路风格和工程标准参照现有校区风格。</w:t>
            </w:r>
          </w:p>
        </w:tc>
        <w:tc>
          <w:tcPr>
            <w:tcW w:w="915" w:type="dxa"/>
            <w:vAlign w:val="center"/>
          </w:tcPr>
          <w:p w14:paraId="4EBC63AB">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3F21FD7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vAlign w:val="center"/>
          </w:tcPr>
          <w:p w14:paraId="4E68115B">
            <w:pPr>
              <w:widowControl/>
              <w:spacing w:line="360" w:lineRule="auto"/>
              <w:jc w:val="center"/>
              <w:rPr>
                <w:rFonts w:ascii="宋体" w:hAnsi="宋体" w:eastAsia="宋体" w:cs="宋体"/>
                <w:kern w:val="0"/>
                <w:sz w:val="24"/>
                <w:szCs w:val="24"/>
              </w:rPr>
            </w:pPr>
          </w:p>
        </w:tc>
        <w:tc>
          <w:tcPr>
            <w:tcW w:w="857" w:type="dxa"/>
            <w:noWrap/>
            <w:vAlign w:val="center"/>
          </w:tcPr>
          <w:p w14:paraId="01E84A0F">
            <w:pPr>
              <w:widowControl/>
              <w:spacing w:line="360" w:lineRule="auto"/>
              <w:jc w:val="center"/>
              <w:rPr>
                <w:rFonts w:ascii="宋体" w:hAnsi="宋体" w:eastAsia="宋体" w:cs="Times New Roman"/>
                <w:kern w:val="0"/>
                <w:sz w:val="24"/>
                <w:szCs w:val="24"/>
              </w:rPr>
            </w:pPr>
          </w:p>
        </w:tc>
        <w:tc>
          <w:tcPr>
            <w:tcW w:w="862" w:type="dxa"/>
            <w:noWrap/>
            <w:vAlign w:val="center"/>
          </w:tcPr>
          <w:p w14:paraId="5611271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A01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2" w:type="dxa"/>
            <w:noWrap/>
            <w:vAlign w:val="center"/>
          </w:tcPr>
          <w:p w14:paraId="416A93E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9</w:t>
            </w:r>
          </w:p>
        </w:tc>
        <w:tc>
          <w:tcPr>
            <w:tcW w:w="776" w:type="dxa"/>
            <w:vAlign w:val="center"/>
          </w:tcPr>
          <w:p w14:paraId="1C5A8A8B">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塑胶地板</w:t>
            </w:r>
          </w:p>
        </w:tc>
        <w:tc>
          <w:tcPr>
            <w:tcW w:w="9271" w:type="dxa"/>
            <w:vAlign w:val="center"/>
          </w:tcPr>
          <w:p w14:paraId="0479D9DA">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对办公区域内的地面进行塑胶或者运动地板处理，地板2、0以上厚度，防滑，颜色符合工业风风格。</w:t>
            </w:r>
          </w:p>
        </w:tc>
        <w:tc>
          <w:tcPr>
            <w:tcW w:w="915" w:type="dxa"/>
            <w:noWrap/>
            <w:vAlign w:val="center"/>
          </w:tcPr>
          <w:p w14:paraId="2E7DAD90">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6E8229F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noWrap/>
            <w:vAlign w:val="center"/>
          </w:tcPr>
          <w:p w14:paraId="179D490E">
            <w:pPr>
              <w:widowControl/>
              <w:spacing w:line="360" w:lineRule="auto"/>
              <w:jc w:val="center"/>
              <w:rPr>
                <w:rFonts w:ascii="宋体" w:hAnsi="宋体" w:eastAsia="宋体" w:cs="宋体"/>
                <w:kern w:val="0"/>
                <w:sz w:val="24"/>
                <w:szCs w:val="24"/>
              </w:rPr>
            </w:pPr>
          </w:p>
        </w:tc>
        <w:tc>
          <w:tcPr>
            <w:tcW w:w="857" w:type="dxa"/>
            <w:noWrap/>
            <w:vAlign w:val="center"/>
          </w:tcPr>
          <w:p w14:paraId="75BF98E3">
            <w:pPr>
              <w:widowControl/>
              <w:spacing w:line="360" w:lineRule="auto"/>
              <w:jc w:val="center"/>
              <w:rPr>
                <w:rFonts w:ascii="宋体" w:hAnsi="宋体" w:eastAsia="宋体" w:cs="Times New Roman"/>
                <w:kern w:val="0"/>
                <w:sz w:val="24"/>
                <w:szCs w:val="24"/>
              </w:rPr>
            </w:pPr>
          </w:p>
        </w:tc>
        <w:tc>
          <w:tcPr>
            <w:tcW w:w="862" w:type="dxa"/>
            <w:noWrap/>
            <w:vAlign w:val="center"/>
          </w:tcPr>
          <w:p w14:paraId="562F5D5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573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trPr>
        <w:tc>
          <w:tcPr>
            <w:tcW w:w="512" w:type="dxa"/>
            <w:noWrap/>
            <w:vAlign w:val="center"/>
          </w:tcPr>
          <w:p w14:paraId="2F06685D">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776" w:type="dxa"/>
            <w:vAlign w:val="center"/>
          </w:tcPr>
          <w:p w14:paraId="6463EB1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触摸屏就业查询机</w:t>
            </w:r>
          </w:p>
        </w:tc>
        <w:tc>
          <w:tcPr>
            <w:tcW w:w="9271" w:type="dxa"/>
            <w:vAlign w:val="center"/>
          </w:tcPr>
          <w:p w14:paraId="73EB4C91">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1、主机 计算机:CPU I5、 8G 内存、 256 G固态硬盘、无线网卡</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2、触摸屏 10点红外触摸屏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3、液晶面板，尺寸65寸</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4、物理分辨率 1920×1080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5、显示色彩 16.7M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6、可视角度 H178º V178º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7、亮度 450cd/m2</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8、对比度1500:1</w:t>
            </w:r>
          </w:p>
        </w:tc>
        <w:tc>
          <w:tcPr>
            <w:tcW w:w="915" w:type="dxa"/>
            <w:noWrap/>
            <w:vAlign w:val="center"/>
          </w:tcPr>
          <w:p w14:paraId="1FC09AD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4445C4CC">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330CA357">
            <w:pPr>
              <w:widowControl/>
              <w:spacing w:line="360" w:lineRule="auto"/>
              <w:jc w:val="center"/>
              <w:rPr>
                <w:rFonts w:ascii="宋体" w:hAnsi="宋体" w:eastAsia="宋体" w:cs="宋体"/>
                <w:kern w:val="0"/>
                <w:sz w:val="24"/>
                <w:szCs w:val="24"/>
              </w:rPr>
            </w:pPr>
          </w:p>
        </w:tc>
        <w:tc>
          <w:tcPr>
            <w:tcW w:w="857" w:type="dxa"/>
            <w:noWrap/>
            <w:vAlign w:val="center"/>
          </w:tcPr>
          <w:p w14:paraId="13B9872A">
            <w:pPr>
              <w:widowControl/>
              <w:spacing w:line="360" w:lineRule="auto"/>
              <w:jc w:val="center"/>
              <w:rPr>
                <w:rFonts w:ascii="宋体" w:hAnsi="宋体" w:eastAsia="宋体" w:cs="Times New Roman"/>
                <w:kern w:val="0"/>
                <w:sz w:val="24"/>
                <w:szCs w:val="24"/>
              </w:rPr>
            </w:pPr>
          </w:p>
        </w:tc>
        <w:tc>
          <w:tcPr>
            <w:tcW w:w="862" w:type="dxa"/>
            <w:noWrap/>
            <w:vAlign w:val="center"/>
          </w:tcPr>
          <w:p w14:paraId="11A92E6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07C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85A55F1">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11</w:t>
            </w:r>
          </w:p>
        </w:tc>
        <w:tc>
          <w:tcPr>
            <w:tcW w:w="776" w:type="dxa"/>
            <w:vAlign w:val="center"/>
          </w:tcPr>
          <w:p w14:paraId="3B182AC8">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就业小程序</w:t>
            </w:r>
          </w:p>
        </w:tc>
        <w:tc>
          <w:tcPr>
            <w:tcW w:w="9271" w:type="dxa"/>
            <w:vAlign w:val="center"/>
          </w:tcPr>
          <w:p w14:paraId="071099C3">
            <w:pPr>
              <w:widowControl/>
              <w:spacing w:line="480" w:lineRule="auto"/>
              <w:jc w:val="left"/>
              <w:rPr>
                <w:rFonts w:ascii="宋体" w:hAnsi="宋体" w:eastAsia="宋体" w:cs="宋体"/>
                <w:kern w:val="0"/>
                <w:sz w:val="24"/>
                <w:szCs w:val="24"/>
              </w:rPr>
            </w:pPr>
            <w:r>
              <w:rPr>
                <w:rFonts w:hint="eastAsia" w:ascii="宋体" w:hAnsi="宋体" w:eastAsia="宋体" w:cs="宋体"/>
                <w:kern w:val="0"/>
                <w:sz w:val="24"/>
                <w:szCs w:val="24"/>
              </w:rPr>
              <w:t>一、企业端功能</w:t>
            </w:r>
            <w:r>
              <w:rPr>
                <w:rFonts w:hint="eastAsia" w:ascii="宋体" w:hAnsi="宋体" w:eastAsia="宋体" w:cs="宋体"/>
                <w:kern w:val="0"/>
                <w:sz w:val="24"/>
                <w:szCs w:val="24"/>
              </w:rPr>
              <w:br w:type="page"/>
            </w:r>
            <w:r>
              <w:rPr>
                <w:rFonts w:hint="eastAsia" w:ascii="宋体" w:hAnsi="宋体" w:eastAsia="宋体" w:cs="宋体"/>
                <w:kern w:val="0"/>
                <w:sz w:val="24"/>
                <w:szCs w:val="24"/>
              </w:rPr>
              <w:t>招聘信息发布：</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1、企业可以在小程序上发布职位信息，包括职位名称、职位描述、薪资待遇、工作地点、任职要求等详细信息。</w:t>
            </w:r>
            <w:r>
              <w:rPr>
                <w:rFonts w:hint="eastAsia" w:ascii="宋体" w:hAnsi="宋体" w:eastAsia="宋体" w:cs="宋体"/>
                <w:kern w:val="0"/>
                <w:sz w:val="24"/>
                <w:szCs w:val="24"/>
              </w:rPr>
              <w:br w:type="page"/>
            </w:r>
            <w:r>
              <w:rPr>
                <w:rFonts w:hint="eastAsia" w:ascii="宋体" w:hAnsi="宋体" w:eastAsia="宋体" w:cs="宋体"/>
                <w:kern w:val="0"/>
                <w:sz w:val="24"/>
                <w:szCs w:val="24"/>
              </w:rPr>
              <w:t>2、支持上传公司logo、企业介绍视频或图片，以展示企业形象。</w:t>
            </w:r>
            <w:r>
              <w:rPr>
                <w:rFonts w:hint="eastAsia" w:ascii="宋体" w:hAnsi="宋体" w:eastAsia="宋体" w:cs="宋体"/>
                <w:kern w:val="0"/>
                <w:sz w:val="24"/>
                <w:szCs w:val="24"/>
              </w:rPr>
              <w:br w:type="page"/>
            </w:r>
            <w:r>
              <w:rPr>
                <w:rFonts w:hint="eastAsia" w:ascii="宋体" w:hAnsi="宋体" w:eastAsia="宋体" w:cs="宋体"/>
                <w:kern w:val="0"/>
                <w:sz w:val="24"/>
                <w:szCs w:val="24"/>
              </w:rPr>
              <w:t>简历筛选与管理：</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1、企业可以设置筛选条件，从海量简历中快速筛选出符合要求的求职者。</w:t>
            </w:r>
            <w:r>
              <w:rPr>
                <w:rFonts w:hint="eastAsia" w:ascii="宋体" w:hAnsi="宋体" w:eastAsia="宋体" w:cs="宋体"/>
                <w:kern w:val="0"/>
                <w:sz w:val="24"/>
                <w:szCs w:val="24"/>
              </w:rPr>
              <w:br w:type="page"/>
            </w:r>
            <w:r>
              <w:rPr>
                <w:rFonts w:hint="eastAsia" w:ascii="宋体" w:hAnsi="宋体" w:eastAsia="宋体" w:cs="宋体"/>
                <w:kern w:val="0"/>
                <w:sz w:val="24"/>
                <w:szCs w:val="24"/>
              </w:rPr>
              <w:t>2、提供简历库管理功能，保存所有收到的简历，并支持按条件搜索、分类管理。</w:t>
            </w:r>
            <w:r>
              <w:rPr>
                <w:rFonts w:hint="eastAsia" w:ascii="宋体" w:hAnsi="宋体" w:eastAsia="宋体" w:cs="宋体"/>
                <w:kern w:val="0"/>
                <w:sz w:val="24"/>
                <w:szCs w:val="24"/>
              </w:rPr>
              <w:br w:type="page"/>
            </w:r>
            <w:r>
              <w:rPr>
                <w:rFonts w:hint="eastAsia" w:ascii="宋体" w:hAnsi="宋体" w:eastAsia="宋体" w:cs="宋体"/>
                <w:kern w:val="0"/>
                <w:sz w:val="24"/>
                <w:szCs w:val="24"/>
              </w:rPr>
              <w:t>面试安排与通知：</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1、企业可以在小程序上安排面试时间，并自动向候选人发送面试邀请和提醒。</w:t>
            </w:r>
            <w:r>
              <w:rPr>
                <w:rFonts w:hint="eastAsia" w:ascii="宋体" w:hAnsi="宋体" w:eastAsia="宋体" w:cs="宋体"/>
                <w:kern w:val="0"/>
                <w:sz w:val="24"/>
                <w:szCs w:val="24"/>
              </w:rPr>
              <w:br w:type="page"/>
            </w:r>
            <w:r>
              <w:rPr>
                <w:rFonts w:hint="eastAsia" w:ascii="宋体" w:hAnsi="宋体" w:eastAsia="宋体" w:cs="宋体"/>
                <w:kern w:val="0"/>
                <w:sz w:val="24"/>
                <w:szCs w:val="24"/>
              </w:rPr>
              <w:t>2、支持面试结果记录，方便后续评估与决策。</w:t>
            </w:r>
            <w:r>
              <w:rPr>
                <w:rFonts w:hint="eastAsia" w:ascii="宋体" w:hAnsi="宋体" w:eastAsia="宋体" w:cs="宋体"/>
                <w:kern w:val="0"/>
                <w:sz w:val="24"/>
                <w:szCs w:val="24"/>
              </w:rPr>
              <w:br w:type="page"/>
            </w:r>
            <w:r>
              <w:rPr>
                <w:rFonts w:hint="eastAsia" w:ascii="宋体" w:hAnsi="宋体" w:eastAsia="宋体" w:cs="宋体"/>
                <w:kern w:val="0"/>
                <w:sz w:val="24"/>
                <w:szCs w:val="24"/>
              </w:rPr>
              <w:t>签约管理：</w:t>
            </w:r>
            <w:r>
              <w:rPr>
                <w:rFonts w:hint="eastAsia" w:ascii="宋体" w:hAnsi="宋体" w:eastAsia="宋体" w:cs="宋体"/>
                <w:kern w:val="0"/>
                <w:sz w:val="24"/>
                <w:szCs w:val="24"/>
              </w:rPr>
              <w:br w:type="page"/>
            </w:r>
            <w:r>
              <w:rPr>
                <w:rFonts w:hint="eastAsia" w:ascii="宋体" w:hAnsi="宋体" w:eastAsia="宋体" w:cs="宋体"/>
                <w:kern w:val="0"/>
                <w:sz w:val="24"/>
                <w:szCs w:val="24"/>
              </w:rPr>
              <w:t>1、确定录用后，企业可以通过小程序与候选人签订电子合同，简化签约流程。</w:t>
            </w:r>
            <w:r>
              <w:rPr>
                <w:rFonts w:hint="eastAsia" w:ascii="宋体" w:hAnsi="宋体" w:eastAsia="宋体" w:cs="宋体"/>
                <w:kern w:val="0"/>
                <w:sz w:val="24"/>
                <w:szCs w:val="24"/>
              </w:rPr>
              <w:br w:type="page"/>
            </w:r>
            <w:r>
              <w:rPr>
                <w:rFonts w:hint="eastAsia" w:ascii="宋体" w:hAnsi="宋体" w:eastAsia="宋体" w:cs="宋体"/>
                <w:kern w:val="0"/>
                <w:sz w:val="24"/>
                <w:szCs w:val="24"/>
              </w:rPr>
              <w:t>2、合同管理功能，包括合同查看、下载、续签等。</w:t>
            </w:r>
            <w:r>
              <w:rPr>
                <w:rFonts w:hint="eastAsia" w:ascii="宋体" w:hAnsi="宋体" w:eastAsia="宋体" w:cs="宋体"/>
                <w:kern w:val="0"/>
                <w:sz w:val="24"/>
                <w:szCs w:val="24"/>
              </w:rPr>
              <w:br w:type="page"/>
            </w:r>
            <w:r>
              <w:rPr>
                <w:rFonts w:hint="eastAsia" w:ascii="宋体" w:hAnsi="宋体" w:eastAsia="宋体" w:cs="宋体"/>
                <w:kern w:val="0"/>
                <w:sz w:val="24"/>
                <w:szCs w:val="24"/>
              </w:rPr>
              <w:t>数据统计与分析：</w:t>
            </w:r>
            <w:r>
              <w:rPr>
                <w:rFonts w:hint="eastAsia" w:ascii="宋体" w:hAnsi="宋体" w:eastAsia="宋体" w:cs="宋体"/>
                <w:kern w:val="0"/>
                <w:sz w:val="24"/>
                <w:szCs w:val="24"/>
              </w:rPr>
              <w:br w:type="page"/>
            </w:r>
            <w:r>
              <w:rPr>
                <w:rFonts w:hint="eastAsia" w:ascii="宋体" w:hAnsi="宋体" w:eastAsia="宋体" w:cs="宋体"/>
                <w:kern w:val="0"/>
                <w:sz w:val="24"/>
                <w:szCs w:val="24"/>
              </w:rPr>
              <w:t>1、提供招聘过程中的数据统计功能，如职位申请人数、面试人数、录用人数等。</w:t>
            </w:r>
            <w:r>
              <w:rPr>
                <w:rFonts w:hint="eastAsia" w:ascii="宋体" w:hAnsi="宋体" w:eastAsia="宋体" w:cs="宋体"/>
                <w:kern w:val="0"/>
                <w:sz w:val="24"/>
                <w:szCs w:val="24"/>
              </w:rPr>
              <w:br w:type="page"/>
            </w:r>
            <w:r>
              <w:rPr>
                <w:rFonts w:hint="eastAsia" w:ascii="宋体" w:hAnsi="宋体" w:eastAsia="宋体" w:cs="宋体"/>
                <w:kern w:val="0"/>
                <w:sz w:val="24"/>
                <w:szCs w:val="24"/>
              </w:rPr>
              <w:t>2、分析招聘效果，为企业优化招聘策略提供依据。</w:t>
            </w:r>
            <w:r>
              <w:rPr>
                <w:rFonts w:hint="eastAsia" w:ascii="宋体" w:hAnsi="宋体" w:eastAsia="宋体" w:cs="宋体"/>
                <w:kern w:val="0"/>
                <w:sz w:val="24"/>
                <w:szCs w:val="24"/>
              </w:rPr>
              <w:br w:type="page"/>
            </w:r>
            <w:r>
              <w:rPr>
                <w:rFonts w:hint="eastAsia" w:ascii="宋体" w:hAnsi="宋体" w:eastAsia="宋体" w:cs="宋体"/>
                <w:kern w:val="0"/>
                <w:sz w:val="24"/>
                <w:szCs w:val="24"/>
              </w:rPr>
              <w:t>权限管理：</w:t>
            </w:r>
            <w:r>
              <w:rPr>
                <w:rFonts w:hint="eastAsia" w:ascii="宋体" w:hAnsi="宋体" w:eastAsia="宋体" w:cs="宋体"/>
                <w:kern w:val="0"/>
                <w:sz w:val="24"/>
                <w:szCs w:val="24"/>
              </w:rPr>
              <w:br w:type="page"/>
            </w:r>
            <w:r>
              <w:rPr>
                <w:rFonts w:hint="eastAsia" w:ascii="宋体" w:hAnsi="宋体" w:eastAsia="宋体" w:cs="宋体"/>
                <w:kern w:val="0"/>
                <w:sz w:val="24"/>
                <w:szCs w:val="24"/>
              </w:rPr>
              <w:t>1、支持多角色权限设置，如HR、部门主管等，不同角色拥有不同的操作权限。</w:t>
            </w:r>
            <w:r>
              <w:rPr>
                <w:rFonts w:hint="eastAsia" w:ascii="宋体" w:hAnsi="宋体" w:eastAsia="宋体" w:cs="宋体"/>
                <w:kern w:val="0"/>
                <w:sz w:val="24"/>
                <w:szCs w:val="24"/>
              </w:rPr>
              <w:br w:type="page"/>
            </w:r>
            <w:r>
              <w:rPr>
                <w:rFonts w:hint="eastAsia" w:ascii="宋体" w:hAnsi="宋体" w:eastAsia="宋体" w:cs="宋体"/>
                <w:kern w:val="0"/>
                <w:sz w:val="24"/>
                <w:szCs w:val="24"/>
              </w:rPr>
              <w:t>2、确保企业数据的安全性和操作的规范性。</w:t>
            </w:r>
            <w:r>
              <w:rPr>
                <w:rFonts w:hint="eastAsia" w:ascii="宋体" w:hAnsi="宋体" w:eastAsia="宋体" w:cs="宋体"/>
                <w:kern w:val="0"/>
                <w:sz w:val="24"/>
                <w:szCs w:val="24"/>
              </w:rPr>
              <w:br w:type="page"/>
            </w:r>
            <w:r>
              <w:rPr>
                <w:rFonts w:hint="eastAsia" w:ascii="宋体" w:hAnsi="宋体" w:eastAsia="宋体" w:cs="宋体"/>
                <w:kern w:val="0"/>
                <w:sz w:val="24"/>
                <w:szCs w:val="24"/>
              </w:rPr>
              <w:t>企业资料管理：</w:t>
            </w:r>
            <w:r>
              <w:rPr>
                <w:rFonts w:hint="eastAsia" w:ascii="宋体" w:hAnsi="宋体" w:eastAsia="宋体" w:cs="宋体"/>
                <w:kern w:val="0"/>
                <w:sz w:val="24"/>
                <w:szCs w:val="24"/>
              </w:rPr>
              <w:br w:type="page"/>
            </w:r>
            <w:r>
              <w:rPr>
                <w:rFonts w:hint="eastAsia" w:ascii="宋体" w:hAnsi="宋体" w:eastAsia="宋体" w:cs="宋体"/>
                <w:kern w:val="0"/>
                <w:sz w:val="24"/>
                <w:szCs w:val="24"/>
              </w:rPr>
              <w:t>1、企业可以在小程序中管理自己的企业资料，包括企业介绍、联系方式、企业文化等。</w:t>
            </w:r>
            <w:r>
              <w:rPr>
                <w:rFonts w:hint="eastAsia" w:ascii="宋体" w:hAnsi="宋体" w:eastAsia="宋体" w:cs="宋体"/>
                <w:kern w:val="0"/>
                <w:sz w:val="24"/>
                <w:szCs w:val="24"/>
              </w:rPr>
              <w:br w:type="page"/>
            </w:r>
            <w:r>
              <w:rPr>
                <w:rFonts w:hint="eastAsia" w:ascii="宋体" w:hAnsi="宋体" w:eastAsia="宋体" w:cs="宋体"/>
                <w:kern w:val="0"/>
                <w:sz w:val="24"/>
                <w:szCs w:val="24"/>
              </w:rPr>
              <w:t>2、方便求职者了解企业详情，增强企业形象。</w:t>
            </w:r>
            <w:r>
              <w:rPr>
                <w:rFonts w:hint="eastAsia" w:ascii="宋体" w:hAnsi="宋体" w:eastAsia="宋体" w:cs="宋体"/>
                <w:kern w:val="0"/>
                <w:sz w:val="24"/>
                <w:szCs w:val="24"/>
              </w:rPr>
              <w:br w:type="page"/>
            </w:r>
            <w:r>
              <w:rPr>
                <w:rFonts w:hint="eastAsia" w:ascii="宋体" w:hAnsi="宋体" w:eastAsia="宋体" w:cs="宋体"/>
                <w:kern w:val="0"/>
                <w:sz w:val="24"/>
                <w:szCs w:val="24"/>
              </w:rPr>
              <w:t>二、求职者端功能</w:t>
            </w:r>
            <w:r>
              <w:rPr>
                <w:rFonts w:hint="eastAsia" w:ascii="宋体" w:hAnsi="宋体" w:eastAsia="宋体" w:cs="宋体"/>
                <w:kern w:val="0"/>
                <w:sz w:val="24"/>
                <w:szCs w:val="24"/>
              </w:rPr>
              <w:br w:type="page"/>
            </w:r>
            <w:r>
              <w:rPr>
                <w:rFonts w:hint="eastAsia" w:ascii="宋体" w:hAnsi="宋体" w:eastAsia="宋体" w:cs="宋体"/>
                <w:kern w:val="0"/>
                <w:sz w:val="24"/>
                <w:szCs w:val="24"/>
              </w:rPr>
              <w:t>职位搜索与浏览：</w:t>
            </w:r>
            <w:r>
              <w:rPr>
                <w:rFonts w:hint="eastAsia" w:ascii="宋体" w:hAnsi="宋体" w:eastAsia="宋体" w:cs="宋体"/>
                <w:kern w:val="0"/>
                <w:sz w:val="24"/>
                <w:szCs w:val="24"/>
              </w:rPr>
              <w:br w:type="page"/>
            </w:r>
            <w:r>
              <w:rPr>
                <w:rFonts w:hint="eastAsia" w:ascii="宋体" w:hAnsi="宋体" w:eastAsia="宋体" w:cs="宋体"/>
                <w:kern w:val="0"/>
                <w:sz w:val="24"/>
                <w:szCs w:val="24"/>
              </w:rPr>
              <w:t>1、求职者可以通过关键词、行业、工作地点等条件搜索到符合自己要求的职位。</w:t>
            </w:r>
            <w:r>
              <w:rPr>
                <w:rFonts w:hint="eastAsia" w:ascii="宋体" w:hAnsi="宋体" w:eastAsia="宋体" w:cs="宋体"/>
                <w:kern w:val="0"/>
                <w:sz w:val="24"/>
                <w:szCs w:val="24"/>
              </w:rPr>
              <w:br w:type="page"/>
            </w:r>
            <w:r>
              <w:rPr>
                <w:rFonts w:hint="eastAsia" w:ascii="宋体" w:hAnsi="宋体" w:eastAsia="宋体" w:cs="宋体"/>
                <w:kern w:val="0"/>
                <w:sz w:val="24"/>
                <w:szCs w:val="24"/>
              </w:rPr>
              <w:t>2、浏览职位详细信息，包括职位描述、薪资待遇、工作地点等等。</w:t>
            </w:r>
            <w:r>
              <w:rPr>
                <w:rFonts w:hint="eastAsia" w:ascii="宋体" w:hAnsi="宋体" w:eastAsia="宋体" w:cs="宋体"/>
                <w:kern w:val="0"/>
                <w:sz w:val="24"/>
                <w:szCs w:val="24"/>
              </w:rPr>
              <w:br w:type="page"/>
            </w:r>
            <w:r>
              <w:rPr>
                <w:rFonts w:hint="eastAsia" w:ascii="宋体" w:hAnsi="宋体" w:eastAsia="宋体" w:cs="宋体"/>
                <w:kern w:val="0"/>
                <w:sz w:val="24"/>
                <w:szCs w:val="24"/>
              </w:rPr>
              <w:t>简历投递：</w:t>
            </w:r>
            <w:r>
              <w:rPr>
                <w:rFonts w:hint="eastAsia" w:ascii="宋体" w:hAnsi="宋体" w:eastAsia="宋体" w:cs="宋体"/>
                <w:kern w:val="0"/>
                <w:sz w:val="24"/>
                <w:szCs w:val="24"/>
              </w:rPr>
              <w:br w:type="page"/>
            </w:r>
            <w:r>
              <w:rPr>
                <w:rFonts w:hint="eastAsia" w:ascii="宋体" w:hAnsi="宋体" w:eastAsia="宋体" w:cs="宋体"/>
                <w:kern w:val="0"/>
                <w:sz w:val="24"/>
                <w:szCs w:val="24"/>
              </w:rPr>
              <w:t>1、求职者可以在小程序上创建或上传个人简历，并投递给感兴趣的职位。</w:t>
            </w:r>
            <w:r>
              <w:rPr>
                <w:rFonts w:hint="eastAsia" w:ascii="宋体" w:hAnsi="宋体" w:eastAsia="宋体" w:cs="宋体"/>
                <w:kern w:val="0"/>
                <w:sz w:val="24"/>
                <w:szCs w:val="24"/>
              </w:rPr>
              <w:br w:type="page"/>
            </w:r>
            <w:r>
              <w:rPr>
                <w:rFonts w:hint="eastAsia" w:ascii="宋体" w:hAnsi="宋体" w:eastAsia="宋体" w:cs="宋体"/>
                <w:kern w:val="0"/>
                <w:sz w:val="24"/>
                <w:szCs w:val="24"/>
              </w:rPr>
              <w:t>2、支持查看已投递职位的状态和反馈。</w:t>
            </w:r>
            <w:r>
              <w:rPr>
                <w:rFonts w:hint="eastAsia" w:ascii="宋体" w:hAnsi="宋体" w:eastAsia="宋体" w:cs="宋体"/>
                <w:kern w:val="0"/>
                <w:sz w:val="24"/>
                <w:szCs w:val="24"/>
              </w:rPr>
              <w:br w:type="page"/>
            </w:r>
            <w:r>
              <w:rPr>
                <w:rFonts w:hint="eastAsia" w:ascii="宋体" w:hAnsi="宋体" w:eastAsia="宋体" w:cs="宋体"/>
                <w:kern w:val="0"/>
                <w:sz w:val="24"/>
                <w:szCs w:val="24"/>
              </w:rPr>
              <w:t>面试预约与提醒：</w:t>
            </w:r>
            <w:r>
              <w:rPr>
                <w:rFonts w:hint="eastAsia" w:ascii="宋体" w:hAnsi="宋体" w:eastAsia="宋体" w:cs="宋体"/>
                <w:kern w:val="0"/>
                <w:sz w:val="24"/>
                <w:szCs w:val="24"/>
              </w:rPr>
              <w:br w:type="page"/>
            </w:r>
            <w:r>
              <w:rPr>
                <w:rFonts w:hint="eastAsia" w:ascii="宋体" w:hAnsi="宋体" w:eastAsia="宋体" w:cs="宋体"/>
                <w:kern w:val="0"/>
                <w:sz w:val="24"/>
                <w:szCs w:val="24"/>
              </w:rPr>
              <w:t>1、求职者可以在小程序上查看面试邀请，并预约面试时间。</w:t>
            </w:r>
            <w:r>
              <w:rPr>
                <w:rFonts w:hint="eastAsia" w:ascii="宋体" w:hAnsi="宋体" w:eastAsia="宋体" w:cs="宋体"/>
                <w:kern w:val="0"/>
                <w:sz w:val="24"/>
                <w:szCs w:val="24"/>
              </w:rPr>
              <w:br w:type="page"/>
            </w:r>
            <w:r>
              <w:rPr>
                <w:rFonts w:hint="eastAsia" w:ascii="宋体" w:hAnsi="宋体" w:eastAsia="宋体" w:cs="宋体"/>
                <w:kern w:val="0"/>
                <w:sz w:val="24"/>
                <w:szCs w:val="24"/>
              </w:rPr>
              <w:t>2、面试前收到自动提醒，避免错过面试机会。</w:t>
            </w:r>
            <w:r>
              <w:rPr>
                <w:rFonts w:hint="eastAsia" w:ascii="宋体" w:hAnsi="宋体" w:eastAsia="宋体" w:cs="宋体"/>
                <w:kern w:val="0"/>
                <w:sz w:val="24"/>
                <w:szCs w:val="24"/>
              </w:rPr>
              <w:br w:type="page"/>
            </w:r>
            <w:r>
              <w:rPr>
                <w:rFonts w:hint="eastAsia" w:ascii="宋体" w:hAnsi="宋体" w:eastAsia="宋体" w:cs="宋体"/>
                <w:kern w:val="0"/>
                <w:sz w:val="24"/>
                <w:szCs w:val="24"/>
              </w:rPr>
              <w:t>在线沟通：</w:t>
            </w:r>
            <w:r>
              <w:rPr>
                <w:rFonts w:hint="eastAsia" w:ascii="宋体" w:hAnsi="宋体" w:eastAsia="宋体" w:cs="宋体"/>
                <w:kern w:val="0"/>
                <w:sz w:val="24"/>
                <w:szCs w:val="24"/>
              </w:rPr>
              <w:br w:type="page"/>
            </w:r>
            <w:r>
              <w:rPr>
                <w:rFonts w:hint="eastAsia" w:ascii="宋体" w:hAnsi="宋体" w:eastAsia="宋体" w:cs="宋体"/>
                <w:kern w:val="0"/>
                <w:sz w:val="24"/>
                <w:szCs w:val="24"/>
              </w:rPr>
              <w:t>1、提供企业与求职者之间的在线聊天功能，方便双方沟通面试细节、职位疑问等。</w:t>
            </w:r>
            <w:r>
              <w:rPr>
                <w:rFonts w:hint="eastAsia" w:ascii="宋体" w:hAnsi="宋体" w:eastAsia="宋体" w:cs="宋体"/>
                <w:kern w:val="0"/>
                <w:sz w:val="24"/>
                <w:szCs w:val="24"/>
              </w:rPr>
              <w:br w:type="page"/>
            </w:r>
            <w:r>
              <w:rPr>
                <w:rFonts w:hint="eastAsia" w:ascii="宋体" w:hAnsi="宋体" w:eastAsia="宋体" w:cs="宋体"/>
                <w:kern w:val="0"/>
                <w:sz w:val="24"/>
                <w:szCs w:val="24"/>
              </w:rPr>
              <w:t>2、实时交流，提高沟通效率。</w:t>
            </w:r>
            <w:r>
              <w:rPr>
                <w:rFonts w:hint="eastAsia" w:ascii="宋体" w:hAnsi="宋体" w:eastAsia="宋体" w:cs="宋体"/>
                <w:kern w:val="0"/>
                <w:sz w:val="24"/>
                <w:szCs w:val="24"/>
              </w:rPr>
              <w:br w:type="page"/>
            </w:r>
            <w:r>
              <w:rPr>
                <w:rFonts w:hint="eastAsia" w:ascii="宋体" w:hAnsi="宋体" w:eastAsia="宋体" w:cs="宋体"/>
                <w:kern w:val="0"/>
                <w:sz w:val="24"/>
                <w:szCs w:val="24"/>
              </w:rPr>
              <w:t>职业测评与规划：</w:t>
            </w:r>
            <w:r>
              <w:rPr>
                <w:rFonts w:hint="eastAsia" w:ascii="宋体" w:hAnsi="宋体" w:eastAsia="宋体" w:cs="宋体"/>
                <w:kern w:val="0"/>
                <w:sz w:val="24"/>
                <w:szCs w:val="24"/>
              </w:rPr>
              <w:br w:type="page"/>
            </w:r>
            <w:r>
              <w:rPr>
                <w:rFonts w:hint="eastAsia" w:ascii="宋体" w:hAnsi="宋体" w:eastAsia="宋体" w:cs="宋体"/>
                <w:kern w:val="0"/>
                <w:sz w:val="24"/>
                <w:szCs w:val="24"/>
              </w:rPr>
              <w:t>1、部分小程序可能还提供职业测评功能，帮助求职者了解自己的职业倾向和优势。</w:t>
            </w:r>
            <w:r>
              <w:rPr>
                <w:rFonts w:hint="eastAsia" w:ascii="宋体" w:hAnsi="宋体" w:eastAsia="宋体" w:cs="宋体"/>
                <w:kern w:val="0"/>
                <w:sz w:val="24"/>
                <w:szCs w:val="24"/>
              </w:rPr>
              <w:br w:type="page"/>
            </w:r>
            <w:r>
              <w:rPr>
                <w:rFonts w:hint="eastAsia" w:ascii="宋体" w:hAnsi="宋体" w:eastAsia="宋体" w:cs="宋体"/>
                <w:kern w:val="0"/>
                <w:sz w:val="24"/>
                <w:szCs w:val="24"/>
              </w:rPr>
              <w:t>2、提供职业规划建议，助力求职者更好地选择职业道路。</w:t>
            </w:r>
            <w:r>
              <w:rPr>
                <w:rFonts w:hint="eastAsia" w:ascii="宋体" w:hAnsi="宋体" w:eastAsia="宋体" w:cs="宋体"/>
                <w:kern w:val="0"/>
                <w:sz w:val="24"/>
                <w:szCs w:val="24"/>
              </w:rPr>
              <w:br w:type="page"/>
            </w:r>
            <w:r>
              <w:rPr>
                <w:rFonts w:hint="eastAsia" w:ascii="宋体" w:hAnsi="宋体" w:eastAsia="宋体" w:cs="宋体"/>
                <w:kern w:val="0"/>
                <w:sz w:val="24"/>
                <w:szCs w:val="24"/>
              </w:rPr>
              <w:t>行业资讯与动态：</w:t>
            </w:r>
            <w:r>
              <w:rPr>
                <w:rFonts w:hint="eastAsia" w:ascii="宋体" w:hAnsi="宋体" w:eastAsia="宋体" w:cs="宋体"/>
                <w:kern w:val="0"/>
                <w:sz w:val="24"/>
                <w:szCs w:val="24"/>
              </w:rPr>
              <w:br w:type="page"/>
            </w:r>
            <w:r>
              <w:rPr>
                <w:rFonts w:hint="eastAsia" w:ascii="宋体" w:hAnsi="宋体" w:eastAsia="宋体" w:cs="宋体"/>
                <w:kern w:val="0"/>
                <w:sz w:val="24"/>
                <w:szCs w:val="24"/>
              </w:rPr>
              <w:t>1、展示行业新闻、招聘趋势等资讯，帮助求职者了解行业动态和市场需求。</w:t>
            </w:r>
            <w:r>
              <w:rPr>
                <w:rFonts w:hint="eastAsia" w:ascii="宋体" w:hAnsi="宋体" w:eastAsia="宋体" w:cs="宋体"/>
                <w:kern w:val="0"/>
                <w:sz w:val="24"/>
                <w:szCs w:val="24"/>
              </w:rPr>
              <w:br w:type="page"/>
            </w:r>
            <w:r>
              <w:rPr>
                <w:rFonts w:hint="eastAsia" w:ascii="宋体" w:hAnsi="宋体" w:eastAsia="宋体" w:cs="宋体"/>
                <w:kern w:val="0"/>
                <w:sz w:val="24"/>
                <w:szCs w:val="24"/>
              </w:rPr>
              <w:t>2、提供有价值的求职信息和建议。</w:t>
            </w:r>
          </w:p>
        </w:tc>
        <w:tc>
          <w:tcPr>
            <w:tcW w:w="915" w:type="dxa"/>
            <w:noWrap/>
            <w:vAlign w:val="center"/>
          </w:tcPr>
          <w:p w14:paraId="42F554D4">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77BD52D0">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4A7419C9">
            <w:pPr>
              <w:widowControl/>
              <w:spacing w:line="480" w:lineRule="auto"/>
              <w:jc w:val="center"/>
              <w:rPr>
                <w:rFonts w:ascii="宋体" w:hAnsi="宋体" w:eastAsia="宋体" w:cs="宋体"/>
                <w:kern w:val="0"/>
                <w:sz w:val="24"/>
                <w:szCs w:val="24"/>
              </w:rPr>
            </w:pPr>
          </w:p>
        </w:tc>
        <w:tc>
          <w:tcPr>
            <w:tcW w:w="857" w:type="dxa"/>
            <w:noWrap/>
            <w:vAlign w:val="center"/>
          </w:tcPr>
          <w:p w14:paraId="46EB832D">
            <w:pPr>
              <w:widowControl/>
              <w:spacing w:line="480" w:lineRule="auto"/>
              <w:jc w:val="center"/>
              <w:rPr>
                <w:rFonts w:ascii="宋体" w:hAnsi="宋体" w:eastAsia="宋体" w:cs="Times New Roman"/>
                <w:kern w:val="0"/>
                <w:sz w:val="24"/>
                <w:szCs w:val="24"/>
              </w:rPr>
            </w:pPr>
          </w:p>
        </w:tc>
        <w:tc>
          <w:tcPr>
            <w:tcW w:w="862" w:type="dxa"/>
            <w:noWrap/>
            <w:vAlign w:val="center"/>
          </w:tcPr>
          <w:p w14:paraId="25857C79">
            <w:pPr>
              <w:widowControl/>
              <w:spacing w:line="48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10C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12449" w:type="dxa"/>
            <w:gridSpan w:val="5"/>
            <w:noWrap/>
            <w:vAlign w:val="center"/>
          </w:tcPr>
          <w:p w14:paraId="56E89CEF">
            <w:pPr>
              <w:widowControl/>
              <w:spacing w:line="360" w:lineRule="auto"/>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直播带岗直播间</w:t>
            </w:r>
          </w:p>
        </w:tc>
        <w:tc>
          <w:tcPr>
            <w:tcW w:w="891" w:type="dxa"/>
            <w:noWrap/>
            <w:vAlign w:val="center"/>
          </w:tcPr>
          <w:p w14:paraId="2CF6B596">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857" w:type="dxa"/>
            <w:noWrap/>
            <w:vAlign w:val="center"/>
          </w:tcPr>
          <w:p w14:paraId="59C26040">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c>
          <w:tcPr>
            <w:tcW w:w="862" w:type="dxa"/>
            <w:noWrap/>
            <w:vAlign w:val="center"/>
          </w:tcPr>
          <w:p w14:paraId="2E7E8A58">
            <w:pPr>
              <w:widowControl/>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　</w:t>
            </w:r>
          </w:p>
        </w:tc>
      </w:tr>
      <w:tr w14:paraId="35DB4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512" w:type="dxa"/>
            <w:noWrap/>
            <w:vAlign w:val="center"/>
          </w:tcPr>
          <w:p w14:paraId="6886AC1A">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12</w:t>
            </w:r>
          </w:p>
        </w:tc>
        <w:tc>
          <w:tcPr>
            <w:tcW w:w="776" w:type="dxa"/>
            <w:vAlign w:val="center"/>
          </w:tcPr>
          <w:p w14:paraId="6CC75889">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直播带岗一体机</w:t>
            </w:r>
          </w:p>
        </w:tc>
        <w:tc>
          <w:tcPr>
            <w:tcW w:w="9271" w:type="dxa"/>
            <w:vAlign w:val="center"/>
          </w:tcPr>
          <w:p w14:paraId="6134F06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一、服务器</w:t>
            </w:r>
          </w:p>
          <w:p w14:paraId="391BA85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1、主板芯片组≥Intel C256；</w:t>
            </w:r>
          </w:p>
          <w:p w14:paraId="2A88C96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2、处理器Intel Xeon≥4核、CPU主频≥ 3.1GHZ、动态加速频率≥4.6GHZ。</w:t>
            </w:r>
          </w:p>
          <w:p w14:paraId="3454EF1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3、内存实配≥32G DDR4 3200MHz,最高支持128GB，内存插槽数量≥4。</w:t>
            </w:r>
          </w:p>
          <w:p w14:paraId="6CF48E0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4、硬盘:实配≥两块3.5英寸1T 机械硬盘组RAID1。最大支持硬盘数量：≥4块硬盘，3个3.5英寸非热插拔HDD+1个2.5英寸非 热插拔HDD,支持在3.5英寸托架中混用2.5英寸SSD和3.5英寸SATA 硬盘驱动器，支持M.2 PCIe SSD,一个Slim ODD。</w:t>
            </w:r>
          </w:p>
          <w:p w14:paraId="15F0502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5、显卡：NVIDIA Turing GPU 架构≥896 NVIDIA CUDA核心，≥4GB GDDR6 內存，最高达 160GB/s显存频率, 最大功耗:≤ 50W，系统接口: PCI-E 3.0 x 16主动式散热，显示接口: mDP 1.4 (4)。</w:t>
            </w:r>
          </w:p>
          <w:p w14:paraId="529CBEA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6、网络 ：网卡子卡一个1Gbp s RJ-45以太网接口。</w:t>
            </w:r>
          </w:p>
          <w:p w14:paraId="684036D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7、前置接口： 2x USB 3.1 G1 ; LED: Power ;</w:t>
            </w:r>
          </w:p>
          <w:p w14:paraId="68BF129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后置接口：≥两个USB 3.0端口，一个DP视频端口，一个DB-9串行端口, 一个RJ-45 XClarity Controller（XCC）系统管理端口。</w:t>
            </w:r>
          </w:p>
          <w:p w14:paraId="2B21AE0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8、电源≥250W 80Plus电源。</w:t>
            </w:r>
          </w:p>
          <w:p w14:paraId="24A3314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9、配套无线鼠标键盘。</w:t>
            </w:r>
          </w:p>
          <w:p w14:paraId="5EAE4F9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二、显示器：</w:t>
            </w:r>
          </w:p>
          <w:p w14:paraId="7707E7B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1、屏幕尺寸：≥21.5英寸，VA广视角屏目LED背光。</w:t>
            </w:r>
          </w:p>
          <w:p w14:paraId="713BAFE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2、屏幕刷新率：≥60赫兹HZ，响亮度250cd/m2。</w:t>
            </w:r>
          </w:p>
          <w:p w14:paraId="71B276A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3、分辨率：≥1920*1080P,显示比例16：9。</w:t>
            </w:r>
          </w:p>
          <w:p w14:paraId="5EAAD2A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4、色域:NTSC72%。</w:t>
            </w:r>
          </w:p>
          <w:p w14:paraId="0ECAC9C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5、可配套悬挂于工作台立柱的机械臂上。</w:t>
            </w:r>
          </w:p>
          <w:p w14:paraId="611FAEF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6、输出接口：HDMI、VGA接口。</w:t>
            </w:r>
          </w:p>
          <w:p w14:paraId="7DA5906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三、收音设备</w:t>
            </w:r>
          </w:p>
          <w:p w14:paraId="7052814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1、频率响应：≥60Hz-15000KHz。</w:t>
            </w:r>
          </w:p>
          <w:p w14:paraId="0966E82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2、灵敏度: -54dB+3dB (0dB=1V/Pa，1KHzz)。</w:t>
            </w:r>
          </w:p>
          <w:p w14:paraId="14A6FD1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3、指向性: 单指向。</w:t>
            </w:r>
          </w:p>
          <w:p w14:paraId="1561762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4、连接方式:XLR-F类型+6.3mm双声道插头。</w:t>
            </w:r>
          </w:p>
          <w:p w14:paraId="5E33306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5、输出阻抗:≥ 500Ω+30%(1KHz)。</w:t>
            </w:r>
          </w:p>
          <w:p w14:paraId="03F0393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6、单体重量≤220g。</w:t>
            </w:r>
          </w:p>
          <w:p w14:paraId="06365D1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7、可悬挂于工作台立柱的云台上。</w:t>
            </w:r>
          </w:p>
          <w:p w14:paraId="0462A94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四、调音台1个</w:t>
            </w:r>
          </w:p>
          <w:p w14:paraId="6136862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1、尺寸：≥244*71*294mm。</w:t>
            </w:r>
          </w:p>
          <w:p w14:paraId="787E180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2、抗耐磨金属机身。</w:t>
            </w:r>
          </w:p>
          <w:p w14:paraId="7E4AA0C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3、4段路音频输入，4单声道3立体声。</w:t>
            </w:r>
          </w:p>
          <w:p w14:paraId="6AB3ACE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4、外接录音功能。</w:t>
            </w:r>
          </w:p>
          <w:p w14:paraId="70541F7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5、要求具有即时监听功能。</w:t>
            </w:r>
          </w:p>
          <w:p w14:paraId="7291389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6、要求具有可开关幻象电源和PAD开关。</w:t>
            </w:r>
          </w:p>
          <w:p w14:paraId="51D18AF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7、内含≥24组预置SPX效果器(含混响及延迟、合唱、镶边、失真效果)。</w:t>
            </w:r>
          </w:p>
          <w:p w14:paraId="04DAD3A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五、LED面光灯</w:t>
            </w:r>
          </w:p>
          <w:p w14:paraId="216A257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1、尺寸≧14寸圆环形补光灯，供电方式：DC12V，双色温，支持旋钮式无极调光\旋转式色温调节。</w:t>
            </w:r>
          </w:p>
          <w:p w14:paraId="3C9EF30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2、调光范围：10%-100%亮度。</w:t>
            </w:r>
          </w:p>
          <w:p w14:paraId="0F6E023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3、自由搭配，多平台直播，随意调动使用。</w:t>
            </w:r>
          </w:p>
          <w:p w14:paraId="534820A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4、双USB接口持久直播不断电。</w:t>
            </w:r>
          </w:p>
          <w:p w14:paraId="5CBDB7C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5、柔光罩设计，光线柔和均匀。</w:t>
            </w:r>
          </w:p>
          <w:p w14:paraId="0B00CF8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6、通用灯架接口，可以配灯架、桌面支架。</w:t>
            </w:r>
          </w:p>
          <w:p w14:paraId="0499F8B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7、可悬挂于工作台立柱的云台上。</w:t>
            </w:r>
          </w:p>
          <w:p w14:paraId="2F39230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六、直播台</w:t>
            </w:r>
          </w:p>
          <w:p w14:paraId="5DFEF72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1、设备分为立柱，机械臂云台，主体工作台面，直播车柜体，直播车移动轮。全车尺寸≥120*70*75cm。</w:t>
            </w:r>
          </w:p>
          <w:p w14:paraId="19B78AD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立柱：立柱共两根，位于直播车前侧和右侧车身，采用激光切割、折弯、焊接、喷塑工艺，整体材质：Q235，厚≥2mm。长立柱尺寸≥200mm*90mm*1180mm；短立柱尺寸≥200mm*90mm*800mm。长立柱搭载四架机械臂，用于悬挂显示器，两架云台用于悬挂补光灯摄像头；短立柱搭载三架云台用于悬挂补光灯，摄像头，话筒。</w:t>
            </w:r>
          </w:p>
          <w:p w14:paraId="5D5ED1B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机械臂：搭载于与工作台连接的长短立柱之上，长立柱搭载四架大机械臂，两架小机械臂；短立柱搭载三架小机械臂。机械臂用于悬挂显示器，补光灯，话筒，摄像镜头，实现各部分的调节旋转、升降、左右移动等功能；铝合金/ABS工程塑料材质，通用标准75mm*75mm臂挂规格，实现轻松承托及调节；五轴联动，视角随心，内置高端气弹穔驱动，支持≧20000次疲劳测试，灵活不松动。</w:t>
            </w:r>
          </w:p>
          <w:p w14:paraId="05C244D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主体工作台面：台面实木材质，厚度≥10mm，涂刷专业黑色和白色哑光聚氨酯树脂漆料，台面设置主工作区及卡槽，其中主工作区用于放置鼠标键盘及直播商品等物品，调音台卡槽≥245mm*290mm*70mm，另有备用卡槽满足放置各个专业设备。</w:t>
            </w:r>
          </w:p>
          <w:p w14:paraId="756390E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直播车柜体：整体车身一体成型，涂刷乳白色漆料，一侧开设抽屉及储物柜，抽屉为上下两层，按压式开合，规格≥540mm*120mm，用于放置替换零件及易损设备存放，储物柜柜体尺寸：≥1115mm*700mm*630mm按压式开合，可放置服务器及其他物品。</w:t>
            </w:r>
          </w:p>
          <w:p w14:paraId="02E6706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6、直播车移动轮：可自由推动，直播车底部安装可承载质量≧0.5吨的聚氨酯材质动向滑轮，承重顺滑、静音无声，耐磨、不伤地板，实现直播车平时室内室外交替移动。7、直播软件</w:t>
            </w:r>
          </w:p>
          <w:p w14:paraId="331ED14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支持双机位，除主摄像机以外，还可添加副摄像机，实现画中画显示搭载4K采集卡，支持4K视频图像采集，接收最高分辨率为2160x3840的视频信号，采用显卡加速算法，处理速度高达130 Mbps</w:t>
            </w:r>
          </w:p>
          <w:p w14:paraId="49DBEF7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多平台同时开播，最高支持3平台同时开播，支持多套抠像算法，抠像效果更佳可达发丝级质量，可视化图层操作，支持本地视频及图片导入，支持素材缩放、移动支持云场景、云特效，大量免费素材直接使用，支持自定义场景制作，支持短视频拍摄，提供安卓远程软件，方便主播一键操作软件服务通用高级功能</w:t>
            </w:r>
          </w:p>
          <w:p w14:paraId="5283F01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（1）数字人建模生成：</w:t>
            </w:r>
          </w:p>
          <w:p w14:paraId="1323BFEA">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形象创作模块是数字人平台的基础功能，通过单张照片建模、点云建模、模板捏脸等方式，创建LOD0级别的3D超写实数字人模型；并使用人脸融合，面部局部调整，身材调整方式，对3D模型进行高自由度的形状微调；支持照片建模的贴图支持下载上传。</w:t>
            </w:r>
          </w:p>
          <w:p w14:paraId="12413C9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（2）数字人创作：</w:t>
            </w:r>
          </w:p>
          <w:p w14:paraId="1A5EB1F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支持PBR肤质的切换和参数调节，实现实时渲染下的高品质写实效果；通过妆容管理，对头发、 瞳孔、眼妆、腮红、唇妆、睫毛、眉毛、胡须等核心部件进行参数化调整和元素替换；通过装扮系统，对套装、上衣 、下衣、鞋子、帽子、眼镜、项链、袜子、手套、耳环等主要部件进行替换和材质参数调整；</w:t>
            </w:r>
          </w:p>
          <w:p w14:paraId="0275F113">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（3）数字人驱动：</w:t>
            </w:r>
          </w:p>
          <w:p w14:paraId="56E05876">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通过算法自动完成面部和身体的骨骼绑定，以实现正确的运动效果；通过加载表情、动作文件，预览形象效果；</w:t>
            </w:r>
          </w:p>
          <w:p w14:paraId="73EF147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（4）表情录制功能</w:t>
            </w:r>
          </w:p>
          <w:p w14:paraId="65698A5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 xml:space="preserve">支持通过iPhone录制符合Arkit标准的CSV表情数据. （iPhoneX及以上iPhone机型）      </w:t>
            </w:r>
          </w:p>
          <w:p w14:paraId="2A44BD0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（5）数字人场景创作：</w:t>
            </w:r>
          </w:p>
          <w:p w14:paraId="5BB7EBC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预置不少于20套不同风格的3D环境资产，可直接加载使用；有部分环境资产支持材质样式编辑；</w:t>
            </w:r>
          </w:p>
          <w:p w14:paraId="56C0CDB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（6）云素材库：</w:t>
            </w:r>
          </w:p>
          <w:p w14:paraId="2601F4E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用来存储管理图片视频等媒体资源的系统，通过媒体库可以跨设备，实现媒体资产在端渲染和云渲染上的同步能力。媒体资源的上传下载；媒体库容量的计算管理；在云渲染场景下里，实现从媒体库读取媒体内容，渲染到画面里。</w:t>
            </w:r>
          </w:p>
          <w:p w14:paraId="793276A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（7）云渲染：</w:t>
            </w:r>
          </w:p>
          <w:p w14:paraId="291428A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部分功能需要同时支持端渲染和云渲染，云渲染要求可以在浏览器中。中之人驱动直播里，云渲染需要支持Livelink面部驱动；交互式数字人，可以通过云渲染进行分发，并实现全链路交互；提供后台查看云渲染线路的使用情况，包括IP统计，访问时长设置等。</w:t>
            </w:r>
          </w:p>
          <w:p w14:paraId="07CD09D1">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（8）其他：</w:t>
            </w:r>
          </w:p>
          <w:p w14:paraId="6084D0D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支持数字人镜头/眼球跟随；</w:t>
            </w:r>
          </w:p>
          <w:p w14:paraId="4425EFF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支持独立窗口/虚拟摄像头推流；</w:t>
            </w:r>
          </w:p>
          <w:p w14:paraId="2A9BF41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支持分辨率的选择和横竖屏切换；</w:t>
            </w:r>
          </w:p>
          <w:p w14:paraId="1CC52B28">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支持镜头的动态调整，粒子特效的使用；</w:t>
            </w:r>
          </w:p>
          <w:p w14:paraId="060D88D5">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七、数字人直播软件全部功能：</w:t>
            </w:r>
          </w:p>
          <w:p w14:paraId="04F80C0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1.数字人创作：支持用户自主上传单张照片/3张照片进行头部建模，生成LOD0级别的个性化脸型网格和原始纹理，完成自动面捕骨骼绑定，整体过程不超过360s.</w:t>
            </w:r>
          </w:p>
          <w:p w14:paraId="5376750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2.数字人形象面部/身体提供不少于90个调节项，调节过程实时渲染预览。</w:t>
            </w:r>
          </w:p>
          <w:p w14:paraId="0A98DEC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 xml:space="preserve">3.支持通过iPhone录制符合Arkit标准的CSV表情数据.                </w:t>
            </w:r>
          </w:p>
          <w:p w14:paraId="78367A7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4.输入文字/声音文件/歌曲， 生成真实、具有韵律节奏感的声音驱动，嘴型准确，真实自然.。</w:t>
            </w:r>
          </w:p>
          <w:p w14:paraId="5567773B">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5.提供不少于40个表情因子的配置功能，为不同的中之人保存不同的表情驱动方案。</w:t>
            </w:r>
          </w:p>
          <w:p w14:paraId="02BFDFC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6.同时支持标准BS和骨骼控制器两种驱动模式及切换功能，通过表情因子系统，为不同中之人保存不同的表情驱动方案；</w:t>
            </w:r>
          </w:p>
          <w:p w14:paraId="0104ABA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7.完成对不少于3个主流品牌的动捕设备的集成和接入，覆盖光补和惯捕两大类，实现实时驱动。</w:t>
            </w:r>
          </w:p>
          <w:p w14:paraId="66633B6C">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8.支持AI直播和中之人驱动直播之间的即时切换功能.</w:t>
            </w:r>
          </w:p>
          <w:p w14:paraId="5832505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9.至少接入3个以上语言大模型服务商。</w:t>
            </w:r>
          </w:p>
          <w:p w14:paraId="65C634C0">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10.直播支持弹幕抓取和回复，支持弹幕回答数量和等待时长的自定义，支持对回答内容的违禁词管理和过滤。</w:t>
            </w:r>
          </w:p>
          <w:p w14:paraId="40FE1CDE">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11.支持将剧本播报和弹幕问答进行自由编排，支持拖拽排序，支持一键开播，根据编排好的顺序自动播报和互动</w:t>
            </w:r>
          </w:p>
          <w:p w14:paraId="0843843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12.支持AI直播和中之人驱动直播之间的即时切换功能.</w:t>
            </w:r>
          </w:p>
          <w:p w14:paraId="729F46F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13.视频剪辑编辑界面支持形象、动作、嘴型、场景、道具、镜头、特效、字幕、背景音等轨道，其中部分内容需要支持多轨道；</w:t>
            </w:r>
          </w:p>
          <w:p w14:paraId="2EB75B5F">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14.视频剪辑编辑支持在每一个轨道上，通过拖动时间轴来快速检查时间线上的每个轨道的即时资产状态；</w:t>
            </w:r>
          </w:p>
          <w:p w14:paraId="69542D22">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15.视频剪辑编辑动作轨道支持动作融合；</w:t>
            </w:r>
          </w:p>
          <w:p w14:paraId="5AB03A9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16.视频剪辑编辑支持关键帧的删除和修改，场景轨道支持灯光参数的实时调整，并在每个时间点上准确实时渲染出对应的光照效果；镜头轨道支持参数实时调整设定。</w:t>
            </w:r>
          </w:p>
          <w:p w14:paraId="26EA9DF7">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17.支持为角色添加对应的互动库和知识库，配置知识库，并自动完成训练；</w:t>
            </w:r>
          </w:p>
          <w:p w14:paraId="5C1D10B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18.支持对数字人智能角色的创建、保存、修改，支持创建多个智能角色。</w:t>
            </w:r>
          </w:p>
          <w:p w14:paraId="46520159">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19.通过云渲染方式和端渲染方式发布元应用到终端，实现用户可以通过文字或语音向数字人进行提问</w:t>
            </w:r>
          </w:p>
          <w:p w14:paraId="4A20F264">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20.用户可通过文字或语音向数字人进行提问，数字人通过自然语言进行回答，对话响应时间在1秒钟左右。</w:t>
            </w:r>
          </w:p>
          <w:p w14:paraId="2A3ED99D">
            <w:pPr>
              <w:widowControl/>
              <w:spacing w:line="360" w:lineRule="auto"/>
              <w:jc w:val="left"/>
              <w:rPr>
                <w:rFonts w:ascii="Calibri" w:hAnsi="Calibri" w:eastAsia="宋体" w:cs="Times New Roman"/>
                <w:sz w:val="24"/>
                <w:szCs w:val="24"/>
              </w:rPr>
            </w:pPr>
            <w:r>
              <w:rPr>
                <w:rFonts w:hint="eastAsia" w:ascii="Calibri" w:hAnsi="Calibri" w:eastAsia="宋体" w:cs="Times New Roman"/>
                <w:sz w:val="24"/>
                <w:szCs w:val="24"/>
              </w:rPr>
              <w:t>21.支持浏览器，小程序，app，互动屏，全息仓等设备终端交互。</w:t>
            </w:r>
          </w:p>
          <w:p w14:paraId="7F326B90">
            <w:pPr>
              <w:widowControl/>
              <w:spacing w:line="360" w:lineRule="auto"/>
              <w:jc w:val="left"/>
              <w:rPr>
                <w:rFonts w:ascii="宋体" w:hAnsi="宋体" w:eastAsia="宋体" w:cs="宋体"/>
                <w:kern w:val="0"/>
                <w:sz w:val="24"/>
                <w:szCs w:val="24"/>
              </w:rPr>
            </w:pPr>
            <w:r>
              <w:rPr>
                <w:rFonts w:hint="eastAsia" w:ascii="Calibri" w:hAnsi="Calibri" w:eastAsia="宋体" w:cs="Times New Roman"/>
                <w:sz w:val="24"/>
                <w:szCs w:val="24"/>
              </w:rPr>
              <w:t>22.文字输入时，可以支持不少于20种TTS音色。</w:t>
            </w:r>
          </w:p>
        </w:tc>
        <w:tc>
          <w:tcPr>
            <w:tcW w:w="915" w:type="dxa"/>
            <w:noWrap/>
            <w:vAlign w:val="center"/>
          </w:tcPr>
          <w:p w14:paraId="63462759">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975" w:type="dxa"/>
            <w:noWrap/>
            <w:vAlign w:val="center"/>
          </w:tcPr>
          <w:p w14:paraId="031A31A3">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450665DD">
            <w:pPr>
              <w:widowControl/>
              <w:spacing w:line="360" w:lineRule="auto"/>
              <w:jc w:val="center"/>
              <w:rPr>
                <w:rFonts w:ascii="宋体" w:hAnsi="宋体" w:eastAsia="宋体" w:cs="Times New Roman"/>
                <w:kern w:val="0"/>
                <w:sz w:val="24"/>
                <w:szCs w:val="24"/>
              </w:rPr>
            </w:pPr>
          </w:p>
        </w:tc>
        <w:tc>
          <w:tcPr>
            <w:tcW w:w="857" w:type="dxa"/>
            <w:noWrap/>
            <w:vAlign w:val="center"/>
          </w:tcPr>
          <w:p w14:paraId="6BD01309">
            <w:pPr>
              <w:widowControl/>
              <w:spacing w:line="360" w:lineRule="auto"/>
              <w:jc w:val="center"/>
              <w:rPr>
                <w:rFonts w:ascii="宋体" w:hAnsi="宋体" w:eastAsia="宋体" w:cs="Times New Roman"/>
                <w:kern w:val="0"/>
                <w:sz w:val="24"/>
                <w:szCs w:val="24"/>
              </w:rPr>
            </w:pPr>
          </w:p>
        </w:tc>
        <w:tc>
          <w:tcPr>
            <w:tcW w:w="862" w:type="dxa"/>
            <w:noWrap/>
            <w:vAlign w:val="center"/>
          </w:tcPr>
          <w:p w14:paraId="0E3175F2">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62F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trPr>
        <w:tc>
          <w:tcPr>
            <w:tcW w:w="512" w:type="dxa"/>
            <w:noWrap/>
            <w:vAlign w:val="center"/>
          </w:tcPr>
          <w:p w14:paraId="3769AF75">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13</w:t>
            </w:r>
          </w:p>
        </w:tc>
        <w:tc>
          <w:tcPr>
            <w:tcW w:w="776" w:type="dxa"/>
            <w:vAlign w:val="center"/>
          </w:tcPr>
          <w:p w14:paraId="7540D33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直播场景打造</w:t>
            </w:r>
          </w:p>
        </w:tc>
        <w:tc>
          <w:tcPr>
            <w:tcW w:w="9271" w:type="dxa"/>
            <w:vAlign w:val="center"/>
          </w:tcPr>
          <w:p w14:paraId="3342D1A4">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根据直播间的尺寸和需要覆盖的区域定制尺寸；质轻便、耐用，且易于携带和安装，同时具备良好的抠像效果；抠像时能够清晰、准确地分离出人物和背景，避免出现绿边、反绿光等问题；面反光均匀，避免在灯光下出现明暗不均的情况，影响抠像效果；具有一定的耐磨、抗皱、抗撕裂性能；材质环保、无毒、无害</w:t>
            </w:r>
          </w:p>
        </w:tc>
        <w:tc>
          <w:tcPr>
            <w:tcW w:w="915" w:type="dxa"/>
            <w:noWrap/>
            <w:vAlign w:val="center"/>
          </w:tcPr>
          <w:p w14:paraId="066A9124">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975" w:type="dxa"/>
            <w:noWrap/>
            <w:vAlign w:val="center"/>
          </w:tcPr>
          <w:p w14:paraId="1D9E068F">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2BCECC4C">
            <w:pPr>
              <w:widowControl/>
              <w:spacing w:line="360" w:lineRule="auto"/>
              <w:jc w:val="center"/>
              <w:rPr>
                <w:rFonts w:ascii="宋体" w:hAnsi="宋体" w:eastAsia="宋体" w:cs="Times New Roman"/>
                <w:kern w:val="0"/>
                <w:sz w:val="24"/>
                <w:szCs w:val="24"/>
              </w:rPr>
            </w:pPr>
          </w:p>
        </w:tc>
        <w:tc>
          <w:tcPr>
            <w:tcW w:w="857" w:type="dxa"/>
            <w:noWrap/>
            <w:vAlign w:val="center"/>
          </w:tcPr>
          <w:p w14:paraId="5876EE6B">
            <w:pPr>
              <w:widowControl/>
              <w:spacing w:line="360" w:lineRule="auto"/>
              <w:jc w:val="center"/>
              <w:rPr>
                <w:rFonts w:ascii="宋体" w:hAnsi="宋体" w:eastAsia="宋体" w:cs="Times New Roman"/>
                <w:kern w:val="0"/>
                <w:sz w:val="24"/>
                <w:szCs w:val="24"/>
              </w:rPr>
            </w:pPr>
          </w:p>
        </w:tc>
        <w:tc>
          <w:tcPr>
            <w:tcW w:w="862" w:type="dxa"/>
            <w:noWrap/>
            <w:vAlign w:val="center"/>
          </w:tcPr>
          <w:p w14:paraId="2A920D67">
            <w:pPr>
              <w:widowControl/>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158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059" w:type="dxa"/>
            <w:gridSpan w:val="8"/>
            <w:noWrap/>
            <w:vAlign w:val="center"/>
          </w:tcPr>
          <w:p w14:paraId="70F52288">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路演大厅</w:t>
            </w:r>
          </w:p>
        </w:tc>
      </w:tr>
      <w:tr w14:paraId="3334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5FDAFF3C">
            <w:pPr>
              <w:widowControl/>
              <w:jc w:val="center"/>
              <w:rPr>
                <w:rFonts w:ascii="宋体" w:hAnsi="宋体" w:eastAsia="宋体" w:cs="宋体"/>
                <w:kern w:val="0"/>
                <w:sz w:val="24"/>
                <w:szCs w:val="24"/>
              </w:rPr>
            </w:pPr>
            <w:r>
              <w:rPr>
                <w:rFonts w:hint="eastAsia" w:ascii="宋体" w:hAnsi="宋体" w:eastAsia="宋体" w:cs="宋体"/>
                <w:kern w:val="0"/>
                <w:sz w:val="24"/>
                <w:szCs w:val="24"/>
              </w:rPr>
              <w:t>14</w:t>
            </w:r>
          </w:p>
        </w:tc>
        <w:tc>
          <w:tcPr>
            <w:tcW w:w="776" w:type="dxa"/>
            <w:vAlign w:val="center"/>
          </w:tcPr>
          <w:p w14:paraId="62776127">
            <w:pPr>
              <w:widowControl/>
              <w:jc w:val="left"/>
              <w:rPr>
                <w:rFonts w:ascii="宋体" w:hAnsi="宋体" w:eastAsia="宋体" w:cs="宋体"/>
                <w:kern w:val="0"/>
                <w:sz w:val="24"/>
                <w:szCs w:val="24"/>
              </w:rPr>
            </w:pPr>
            <w:r>
              <w:rPr>
                <w:rFonts w:hint="eastAsia" w:ascii="宋体" w:hAnsi="宋体" w:eastAsia="宋体" w:cs="宋体"/>
                <w:kern w:val="0"/>
                <w:sz w:val="24"/>
                <w:szCs w:val="24"/>
              </w:rPr>
              <w:t>调音台</w:t>
            </w:r>
          </w:p>
        </w:tc>
        <w:tc>
          <w:tcPr>
            <w:tcW w:w="9271" w:type="dxa"/>
          </w:tcPr>
          <w:p w14:paraId="00541141">
            <w:pPr>
              <w:widowControl/>
              <w:jc w:val="left"/>
              <w:rPr>
                <w:rFonts w:ascii="宋体" w:hAnsi="宋体" w:eastAsia="宋体" w:cs="宋体"/>
                <w:kern w:val="0"/>
                <w:sz w:val="24"/>
                <w:szCs w:val="24"/>
              </w:rPr>
            </w:pPr>
            <w:r>
              <w:rPr>
                <w:rFonts w:hint="eastAsia" w:ascii="宋体" w:hAnsi="宋体" w:eastAsia="宋体" w:cs="宋体"/>
                <w:kern w:val="0"/>
                <w:sz w:val="24"/>
                <w:szCs w:val="24"/>
              </w:rPr>
              <w:t>1.专业16路调音台，采用超低噪声离散式麦克风前置放大器和+48V幻象电源，功能强大齐全，音质动听。</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2.提供14路Mic输入接口兼容6/10/14路线路输入接口，1组立体声输入。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3.每路带独立48V幻象电源和PAD衰减可供选择。</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4.每路单声道输入通道设有3段EQ，并设有峰值指示灯和静音指示灯。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5.内置7段立体声均衡器，监听系统和主通道双排电平指示灯。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6.输入方面另带有一路单声道返回输入。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7.一组录音输入和一组录音输出。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8.两编组辅助输出。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9.提供3个AUX辅助输出。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10.一组主通道输出、1路耳机监听输出。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11.内置99种24位DSP效果器。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12.大屏播放器支持蓝牙、MP3、USB电脑录音、U盘录音直录。</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技术参数：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1.麦克风输入：6/10/14路单声道1组立体声（6/10/14个双用卡侬接口）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2.线路输入：6/10/14路单声道，1组立体声。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3.幻象电源：分路通道设有独立48V幻象电源开关控制。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4.主输入通道：带一路返回单声道输入和一组录音立体声输入。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5.输出通道：两组主通道立体声输出，3路AUX辅助输出、两编组输出，1组立体声录音输出、1路耳机监听输出。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6.电平指示：主通道一组立体声电平指示灯或编组电平指示灯。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7.效果器：99位DSP效果器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8.播放器：大屏显示，蓝牙播放，U盘播放，U盘录音。</w:t>
            </w:r>
            <w:r>
              <w:rPr>
                <w:rFonts w:hint="eastAsia" w:ascii="宋体" w:hAnsi="宋体" w:eastAsia="宋体" w:cs="宋体"/>
                <w:kern w:val="0"/>
                <w:sz w:val="24"/>
                <w:szCs w:val="24"/>
              </w:rPr>
              <w:br w:type="textWrapping"/>
            </w:r>
            <w:r>
              <w:rPr>
                <w:rFonts w:hint="eastAsia" w:ascii="宋体" w:hAnsi="宋体" w:eastAsia="宋体" w:cs="宋体"/>
                <w:kern w:val="0"/>
                <w:sz w:val="24"/>
                <w:szCs w:val="24"/>
              </w:rPr>
              <w:t>9.频率响应：20Hz-20kHz，±3dB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10.失真度：&lt;0.003%（A-weighted）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11.麦克风均衡输入噪音：-119dB（A-weighted）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12.共模抑制比：60dB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13.单通道输入增益：MIC：0 to 48dB，LINE:-33 to+15dB</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14.主混音串音：-87dBu（A-weighted）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15.通道串音：-85dBu（A-weighted）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16.最大输出水平：+20dBu</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17.MIC输入高通滤波：75Hz，18dB/oct</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18.单通道均衡：高频：±15dB@12KHz；中频：±12dB@2.5KHz；低频：±15dB@80Hz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19.电源：内置开关电源适配器110-220V，30W</w:t>
            </w:r>
          </w:p>
        </w:tc>
        <w:tc>
          <w:tcPr>
            <w:tcW w:w="915" w:type="dxa"/>
            <w:vAlign w:val="center"/>
          </w:tcPr>
          <w:p w14:paraId="73CD402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448EA615">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26FC4219">
            <w:pPr>
              <w:widowControl/>
              <w:jc w:val="center"/>
              <w:rPr>
                <w:rFonts w:ascii="宋体" w:hAnsi="宋体" w:eastAsia="宋体" w:cs="Times New Roman"/>
                <w:kern w:val="0"/>
                <w:sz w:val="24"/>
                <w:szCs w:val="24"/>
              </w:rPr>
            </w:pPr>
          </w:p>
        </w:tc>
        <w:tc>
          <w:tcPr>
            <w:tcW w:w="857" w:type="dxa"/>
            <w:noWrap/>
            <w:vAlign w:val="center"/>
          </w:tcPr>
          <w:p w14:paraId="36B7A4AC">
            <w:pPr>
              <w:widowControl/>
              <w:jc w:val="center"/>
              <w:rPr>
                <w:rFonts w:ascii="宋体" w:hAnsi="宋体" w:eastAsia="宋体" w:cs="Times New Roman"/>
                <w:kern w:val="0"/>
                <w:sz w:val="24"/>
                <w:szCs w:val="24"/>
              </w:rPr>
            </w:pPr>
          </w:p>
        </w:tc>
        <w:tc>
          <w:tcPr>
            <w:tcW w:w="862" w:type="dxa"/>
            <w:noWrap/>
            <w:vAlign w:val="center"/>
          </w:tcPr>
          <w:p w14:paraId="70FAB84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FC4B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2C30FEE9">
            <w:pPr>
              <w:widowControl/>
              <w:jc w:val="center"/>
              <w:rPr>
                <w:rFonts w:ascii="宋体" w:hAnsi="宋体" w:eastAsia="宋体" w:cs="宋体"/>
                <w:kern w:val="0"/>
                <w:sz w:val="24"/>
                <w:szCs w:val="24"/>
              </w:rPr>
            </w:pPr>
            <w:r>
              <w:rPr>
                <w:rFonts w:hint="eastAsia" w:ascii="宋体" w:hAnsi="宋体" w:eastAsia="宋体" w:cs="宋体"/>
                <w:kern w:val="0"/>
                <w:sz w:val="24"/>
                <w:szCs w:val="24"/>
              </w:rPr>
              <w:t>15</w:t>
            </w:r>
          </w:p>
        </w:tc>
        <w:tc>
          <w:tcPr>
            <w:tcW w:w="776" w:type="dxa"/>
            <w:vAlign w:val="center"/>
          </w:tcPr>
          <w:p w14:paraId="0DE17883">
            <w:pPr>
              <w:widowControl/>
              <w:jc w:val="left"/>
              <w:rPr>
                <w:rFonts w:ascii="宋体" w:hAnsi="宋体" w:eastAsia="宋体" w:cs="宋体"/>
                <w:kern w:val="0"/>
                <w:sz w:val="24"/>
                <w:szCs w:val="24"/>
              </w:rPr>
            </w:pPr>
            <w:r>
              <w:rPr>
                <w:rFonts w:hint="eastAsia" w:ascii="宋体" w:hAnsi="宋体" w:eastAsia="宋体" w:cs="宋体"/>
                <w:kern w:val="0"/>
                <w:sz w:val="24"/>
                <w:szCs w:val="24"/>
              </w:rPr>
              <w:t>数字音频处理器</w:t>
            </w:r>
          </w:p>
        </w:tc>
        <w:tc>
          <w:tcPr>
            <w:tcW w:w="9271" w:type="dxa"/>
          </w:tcPr>
          <w:p w14:paraId="4B15CAA5">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功能特性</w:t>
            </w:r>
            <w:r>
              <w:rPr>
                <w:rFonts w:hint="eastAsia" w:ascii="宋体" w:hAnsi="宋体" w:eastAsia="宋体" w:cs="宋体"/>
                <w:kern w:val="0"/>
                <w:sz w:val="24"/>
                <w:szCs w:val="24"/>
              </w:rPr>
              <w:br w:type="page"/>
            </w:r>
            <w:r>
              <w:rPr>
                <w:rFonts w:hint="eastAsia" w:ascii="宋体" w:hAnsi="宋体" w:eastAsia="宋体" w:cs="宋体"/>
                <w:kern w:val="0"/>
                <w:sz w:val="24"/>
                <w:szCs w:val="24"/>
              </w:rPr>
              <w:t>功能特点：</w:t>
            </w:r>
            <w:r>
              <w:rPr>
                <w:rFonts w:hint="eastAsia" w:ascii="宋体" w:hAnsi="宋体" w:eastAsia="宋体" w:cs="宋体"/>
                <w:kern w:val="0"/>
                <w:sz w:val="24"/>
                <w:szCs w:val="24"/>
              </w:rPr>
              <w:br w:type="page"/>
            </w:r>
            <w:r>
              <w:rPr>
                <w:rFonts w:hint="eastAsia" w:ascii="宋体" w:hAnsi="宋体" w:eastAsia="宋体" w:cs="宋体"/>
                <w:kern w:val="0"/>
                <w:sz w:val="24"/>
                <w:szCs w:val="24"/>
              </w:rPr>
              <w:t>1.本产品采用高性能32bit浮点DSP，采用96KHz采样，具有频带宽、动态大、</w:t>
            </w:r>
            <w:r>
              <w:rPr>
                <w:rFonts w:hint="eastAsia" w:ascii="宋体" w:hAnsi="宋体" w:eastAsia="宋体" w:cs="宋体"/>
                <w:kern w:val="0"/>
                <w:sz w:val="24"/>
                <w:szCs w:val="24"/>
              </w:rPr>
              <w:br w:type="page"/>
            </w:r>
            <w:r>
              <w:rPr>
                <w:rFonts w:hint="eastAsia" w:ascii="宋体" w:hAnsi="宋体" w:eastAsia="宋体" w:cs="宋体"/>
                <w:kern w:val="0"/>
                <w:sz w:val="24"/>
                <w:szCs w:val="24"/>
              </w:rPr>
              <w:t>失真少等特点</w:t>
            </w:r>
            <w:r>
              <w:rPr>
                <w:rFonts w:hint="eastAsia" w:ascii="宋体" w:hAnsi="宋体" w:eastAsia="宋体" w:cs="宋体"/>
                <w:kern w:val="0"/>
                <w:sz w:val="24"/>
                <w:szCs w:val="24"/>
              </w:rPr>
              <w:br w:type="page"/>
            </w:r>
            <w:r>
              <w:rPr>
                <w:rFonts w:hint="eastAsia" w:ascii="宋体" w:hAnsi="宋体" w:eastAsia="宋体" w:cs="宋体"/>
                <w:kern w:val="0"/>
                <w:sz w:val="24"/>
                <w:szCs w:val="24"/>
              </w:rPr>
              <w:t>2.4进8出多种型号选择，可灵活组合各类型音频系统；</w:t>
            </w:r>
            <w:r>
              <w:rPr>
                <w:rFonts w:hint="eastAsia" w:ascii="宋体" w:hAnsi="宋体" w:eastAsia="宋体" w:cs="宋体"/>
                <w:kern w:val="0"/>
                <w:sz w:val="24"/>
                <w:szCs w:val="24"/>
              </w:rPr>
              <w:br w:type="page"/>
            </w:r>
            <w:r>
              <w:rPr>
                <w:rFonts w:hint="eastAsia" w:ascii="宋体" w:hAnsi="宋体" w:eastAsia="宋体" w:cs="宋体"/>
                <w:kern w:val="0"/>
                <w:sz w:val="24"/>
                <w:szCs w:val="24"/>
              </w:rPr>
              <w:t>3.每路输入均设有31段图示均衡，输出设有10段PEQ</w:t>
            </w:r>
            <w:r>
              <w:rPr>
                <w:rFonts w:hint="eastAsia" w:ascii="宋体" w:hAnsi="宋体" w:eastAsia="宋体" w:cs="宋体"/>
                <w:kern w:val="0"/>
                <w:sz w:val="24"/>
                <w:szCs w:val="24"/>
              </w:rPr>
              <w:br w:type="page"/>
            </w:r>
            <w:r>
              <w:rPr>
                <w:rFonts w:hint="eastAsia" w:ascii="宋体" w:hAnsi="宋体" w:eastAsia="宋体" w:cs="宋体"/>
                <w:kern w:val="0"/>
                <w:sz w:val="24"/>
                <w:szCs w:val="24"/>
              </w:rPr>
              <w:t xml:space="preserve">4.每路输入通道均设有增益、相位、延时、静音的功能及每路输出通道均设有增益、相位、分频、压限、静音、延时的功能； </w:t>
            </w:r>
            <w:r>
              <w:rPr>
                <w:rFonts w:hint="eastAsia" w:ascii="宋体" w:hAnsi="宋体" w:eastAsia="宋体" w:cs="宋体"/>
                <w:kern w:val="0"/>
                <w:sz w:val="24"/>
                <w:szCs w:val="24"/>
              </w:rPr>
              <w:br w:type="page"/>
            </w:r>
            <w:r>
              <w:rPr>
                <w:rFonts w:hint="eastAsia" w:ascii="宋体" w:hAnsi="宋体" w:eastAsia="宋体" w:cs="宋体"/>
                <w:kern w:val="0"/>
                <w:sz w:val="24"/>
                <w:szCs w:val="24"/>
              </w:rPr>
              <w:t>5.每路输入/输出均有延时和相位控制及静音设置，延时最长可达500ms，延时单位可选毫秒(ms)，米(m)输入输出通道可实现全路由，并可同步多个输出通道联调所有参数以及通道参数拷贝功能；</w:t>
            </w:r>
            <w:r>
              <w:rPr>
                <w:rFonts w:hint="eastAsia" w:ascii="宋体" w:hAnsi="宋体" w:eastAsia="宋体" w:cs="宋体"/>
                <w:kern w:val="0"/>
                <w:sz w:val="24"/>
                <w:szCs w:val="24"/>
              </w:rPr>
              <w:br w:type="page"/>
            </w:r>
            <w:r>
              <w:rPr>
                <w:rFonts w:hint="eastAsia" w:ascii="宋体" w:hAnsi="宋体" w:eastAsia="宋体" w:cs="宋体"/>
                <w:kern w:val="0"/>
                <w:sz w:val="24"/>
                <w:szCs w:val="24"/>
              </w:rPr>
              <w:t>6.可变高/低通滤波器的斜率均可设置，其中贝塞尔(Bessel)可设置为12dB、24dB每倍频程、巴特沃斯(Butterworth)可设置为12dB、24dB每倍频程，林克维茨-瑞莱(Linkwitz-Riley)可设置12dB、24dB、36dB、48dB每倍频程</w:t>
            </w:r>
            <w:r>
              <w:rPr>
                <w:rFonts w:hint="eastAsia" w:ascii="宋体" w:hAnsi="宋体" w:eastAsia="宋体" w:cs="宋体"/>
                <w:kern w:val="0"/>
                <w:sz w:val="24"/>
                <w:szCs w:val="24"/>
              </w:rPr>
              <w:br w:type="page"/>
            </w:r>
            <w:r>
              <w:rPr>
                <w:rFonts w:hint="eastAsia" w:ascii="宋体" w:hAnsi="宋体" w:eastAsia="宋体" w:cs="宋体"/>
                <w:kern w:val="0"/>
                <w:sz w:val="24"/>
                <w:szCs w:val="24"/>
              </w:rPr>
              <w:t>7.每台机器均可根据用户需要存储，最多可存储12种用户程序；</w:t>
            </w:r>
            <w:r>
              <w:rPr>
                <w:rFonts w:hint="eastAsia" w:ascii="宋体" w:hAnsi="宋体" w:eastAsia="宋体" w:cs="宋体"/>
                <w:kern w:val="0"/>
                <w:sz w:val="24"/>
                <w:szCs w:val="24"/>
              </w:rPr>
              <w:br w:type="page"/>
            </w:r>
            <w:r>
              <w:rPr>
                <w:rFonts w:hint="eastAsia" w:ascii="宋体" w:hAnsi="宋体" w:eastAsia="宋体" w:cs="宋体"/>
                <w:kern w:val="0"/>
                <w:sz w:val="24"/>
                <w:szCs w:val="24"/>
              </w:rPr>
              <w:t>8.本机设有全功能设置按钮、通过前面板可以进行参数编辑，也可通过PC界面调试</w:t>
            </w:r>
            <w:r>
              <w:rPr>
                <w:rFonts w:hint="eastAsia" w:ascii="宋体" w:hAnsi="宋体" w:eastAsia="宋体" w:cs="宋体"/>
                <w:kern w:val="0"/>
                <w:sz w:val="24"/>
                <w:szCs w:val="24"/>
              </w:rPr>
              <w:br w:type="page"/>
            </w:r>
            <w:r>
              <w:rPr>
                <w:rFonts w:hint="eastAsia" w:ascii="宋体" w:hAnsi="宋体" w:eastAsia="宋体" w:cs="宋体"/>
                <w:kern w:val="0"/>
                <w:sz w:val="24"/>
                <w:szCs w:val="24"/>
              </w:rPr>
              <w:t>技术指标：</w:t>
            </w:r>
            <w:r>
              <w:rPr>
                <w:rFonts w:hint="eastAsia" w:ascii="宋体" w:hAnsi="宋体" w:eastAsia="宋体" w:cs="宋体"/>
                <w:kern w:val="0"/>
                <w:sz w:val="24"/>
                <w:szCs w:val="24"/>
              </w:rPr>
              <w:br w:type="page"/>
            </w:r>
            <w:r>
              <w:rPr>
                <w:rFonts w:hint="eastAsia" w:ascii="宋体" w:hAnsi="宋体" w:eastAsia="宋体" w:cs="宋体"/>
                <w:kern w:val="0"/>
                <w:sz w:val="24"/>
                <w:szCs w:val="24"/>
              </w:rPr>
              <w:t>·  信噪比：≥100dB（THD+N&lt;1%）</w:t>
            </w:r>
            <w:r>
              <w:rPr>
                <w:rFonts w:hint="eastAsia" w:ascii="宋体" w:hAnsi="宋体" w:eastAsia="宋体" w:cs="宋体"/>
                <w:kern w:val="0"/>
                <w:sz w:val="24"/>
                <w:szCs w:val="24"/>
              </w:rPr>
              <w:br w:type="page"/>
            </w:r>
            <w:r>
              <w:rPr>
                <w:rFonts w:hint="eastAsia" w:ascii="宋体" w:hAnsi="宋体" w:eastAsia="宋体" w:cs="宋体"/>
                <w:kern w:val="0"/>
                <w:sz w:val="24"/>
                <w:szCs w:val="24"/>
              </w:rPr>
              <w:t>·  失真度：&lt;0.005%@1K@输出15dBu</w:t>
            </w:r>
            <w:r>
              <w:rPr>
                <w:rFonts w:hint="eastAsia" w:ascii="宋体" w:hAnsi="宋体" w:eastAsia="宋体" w:cs="宋体"/>
                <w:kern w:val="0"/>
                <w:sz w:val="24"/>
                <w:szCs w:val="24"/>
              </w:rPr>
              <w:br w:type="page"/>
            </w:r>
            <w:r>
              <w:rPr>
                <w:rFonts w:hint="eastAsia" w:ascii="宋体" w:hAnsi="宋体" w:eastAsia="宋体" w:cs="宋体"/>
                <w:kern w:val="0"/>
                <w:sz w:val="24"/>
                <w:szCs w:val="24"/>
              </w:rPr>
              <w:t>·  最大输入电平：+15dBu</w:t>
            </w:r>
            <w:r>
              <w:rPr>
                <w:rFonts w:hint="eastAsia" w:ascii="宋体" w:hAnsi="宋体" w:eastAsia="宋体" w:cs="宋体"/>
                <w:kern w:val="0"/>
                <w:sz w:val="24"/>
                <w:szCs w:val="24"/>
              </w:rPr>
              <w:br w:type="page"/>
            </w:r>
            <w:r>
              <w:rPr>
                <w:rFonts w:hint="eastAsia" w:ascii="宋体" w:hAnsi="宋体" w:eastAsia="宋体" w:cs="宋体"/>
                <w:kern w:val="0"/>
                <w:sz w:val="24"/>
                <w:szCs w:val="24"/>
              </w:rPr>
              <w:t>·  最大输出电平：+15dBu</w:t>
            </w:r>
            <w:r>
              <w:rPr>
                <w:rFonts w:hint="eastAsia" w:ascii="宋体" w:hAnsi="宋体" w:eastAsia="宋体" w:cs="宋体"/>
                <w:kern w:val="0"/>
                <w:sz w:val="24"/>
                <w:szCs w:val="24"/>
              </w:rPr>
              <w:br w:type="page"/>
            </w:r>
            <w:r>
              <w:rPr>
                <w:rFonts w:hint="eastAsia" w:ascii="宋体" w:hAnsi="宋体" w:eastAsia="宋体" w:cs="宋体"/>
                <w:kern w:val="0"/>
                <w:sz w:val="24"/>
                <w:szCs w:val="24"/>
              </w:rPr>
              <w:t>·  频率响应：20Hz～20KHz@±0.5dBu</w:t>
            </w:r>
            <w:r>
              <w:rPr>
                <w:rFonts w:hint="eastAsia" w:ascii="宋体" w:hAnsi="宋体" w:eastAsia="宋体" w:cs="宋体"/>
                <w:kern w:val="0"/>
                <w:sz w:val="24"/>
                <w:szCs w:val="24"/>
              </w:rPr>
              <w:br w:type="page"/>
            </w:r>
            <w:r>
              <w:rPr>
                <w:rFonts w:hint="eastAsia" w:ascii="宋体" w:hAnsi="宋体" w:eastAsia="宋体" w:cs="宋体"/>
                <w:kern w:val="0"/>
                <w:sz w:val="24"/>
                <w:szCs w:val="24"/>
              </w:rPr>
              <w:t>·  输入阻抗：平衡式：20KΩ</w:t>
            </w:r>
            <w:r>
              <w:rPr>
                <w:rFonts w:hint="eastAsia" w:ascii="宋体" w:hAnsi="宋体" w:eastAsia="宋体" w:cs="宋体"/>
                <w:kern w:val="0"/>
                <w:sz w:val="24"/>
                <w:szCs w:val="24"/>
              </w:rPr>
              <w:br w:type="page"/>
            </w:r>
            <w:r>
              <w:rPr>
                <w:rFonts w:hint="eastAsia" w:ascii="宋体" w:hAnsi="宋体" w:eastAsia="宋体" w:cs="宋体"/>
                <w:kern w:val="0"/>
                <w:sz w:val="24"/>
                <w:szCs w:val="24"/>
              </w:rPr>
              <w:t>·  输出阻抗：平衡式：100Ω</w:t>
            </w:r>
            <w:r>
              <w:rPr>
                <w:rFonts w:hint="eastAsia" w:ascii="宋体" w:hAnsi="宋体" w:eastAsia="宋体" w:cs="宋体"/>
                <w:kern w:val="0"/>
                <w:sz w:val="24"/>
                <w:szCs w:val="24"/>
              </w:rPr>
              <w:br w:type="page"/>
            </w:r>
            <w:r>
              <w:rPr>
                <w:rFonts w:hint="eastAsia" w:ascii="宋体" w:hAnsi="宋体" w:eastAsia="宋体" w:cs="宋体"/>
                <w:kern w:val="0"/>
                <w:sz w:val="24"/>
                <w:szCs w:val="24"/>
              </w:rPr>
              <w:t>·  通道分离度：&gt;80dB</w:t>
            </w:r>
            <w:r>
              <w:rPr>
                <w:rFonts w:hint="eastAsia" w:ascii="宋体" w:hAnsi="宋体" w:eastAsia="宋体" w:cs="宋体"/>
                <w:kern w:val="0"/>
                <w:sz w:val="24"/>
                <w:szCs w:val="24"/>
              </w:rPr>
              <w:br w:type="page"/>
            </w:r>
            <w:r>
              <w:rPr>
                <w:rFonts w:hint="eastAsia" w:ascii="宋体" w:hAnsi="宋体" w:eastAsia="宋体" w:cs="宋体"/>
                <w:kern w:val="0"/>
                <w:sz w:val="24"/>
                <w:szCs w:val="24"/>
              </w:rPr>
              <w:t>·  USB接口：USB2.0  B型</w:t>
            </w:r>
            <w:r>
              <w:rPr>
                <w:rFonts w:hint="eastAsia" w:ascii="宋体" w:hAnsi="宋体" w:eastAsia="宋体" w:cs="宋体"/>
                <w:kern w:val="0"/>
                <w:sz w:val="24"/>
                <w:szCs w:val="24"/>
              </w:rPr>
              <w:br w:type="page"/>
            </w:r>
            <w:r>
              <w:rPr>
                <w:rFonts w:hint="eastAsia" w:ascii="宋体" w:hAnsi="宋体" w:eastAsia="宋体" w:cs="宋体"/>
                <w:kern w:val="0"/>
                <w:sz w:val="24"/>
                <w:szCs w:val="24"/>
              </w:rPr>
              <w:t>·  供电电源：AC～220V50Hz/60Hz</w:t>
            </w:r>
          </w:p>
        </w:tc>
        <w:tc>
          <w:tcPr>
            <w:tcW w:w="915" w:type="dxa"/>
            <w:vAlign w:val="center"/>
          </w:tcPr>
          <w:p w14:paraId="2327789B">
            <w:pPr>
              <w:widowControl/>
              <w:jc w:val="center"/>
              <w:rPr>
                <w:rFonts w:ascii="宋体" w:hAnsi="宋体" w:eastAsia="宋体" w:cs="Times New Roman"/>
                <w:kern w:val="0"/>
                <w:sz w:val="24"/>
                <w:szCs w:val="24"/>
              </w:rPr>
            </w:pPr>
            <w:r>
              <w:rPr>
                <w:rFonts w:ascii="宋体" w:hAnsi="宋体" w:eastAsia="宋体" w:cs="Times New Roman"/>
                <w:kern w:val="0"/>
                <w:sz w:val="24"/>
                <w:szCs w:val="24"/>
              </w:rPr>
              <w:t>1</w:t>
            </w:r>
          </w:p>
        </w:tc>
        <w:tc>
          <w:tcPr>
            <w:tcW w:w="975" w:type="dxa"/>
            <w:vAlign w:val="center"/>
          </w:tcPr>
          <w:p w14:paraId="29B13AEB">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7A985D11">
            <w:pPr>
              <w:widowControl/>
              <w:jc w:val="center"/>
              <w:rPr>
                <w:rFonts w:ascii="宋体" w:hAnsi="宋体" w:eastAsia="宋体" w:cs="Times New Roman"/>
                <w:kern w:val="0"/>
                <w:sz w:val="24"/>
                <w:szCs w:val="24"/>
              </w:rPr>
            </w:pPr>
          </w:p>
        </w:tc>
        <w:tc>
          <w:tcPr>
            <w:tcW w:w="857" w:type="dxa"/>
            <w:noWrap/>
            <w:vAlign w:val="center"/>
          </w:tcPr>
          <w:p w14:paraId="6E2D1355">
            <w:pPr>
              <w:widowControl/>
              <w:jc w:val="center"/>
              <w:rPr>
                <w:rFonts w:ascii="宋体" w:hAnsi="宋体" w:eastAsia="宋体" w:cs="Times New Roman"/>
                <w:kern w:val="0"/>
                <w:sz w:val="24"/>
                <w:szCs w:val="24"/>
              </w:rPr>
            </w:pPr>
          </w:p>
        </w:tc>
        <w:tc>
          <w:tcPr>
            <w:tcW w:w="862" w:type="dxa"/>
            <w:noWrap/>
            <w:vAlign w:val="center"/>
          </w:tcPr>
          <w:p w14:paraId="654038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008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2" w:hRule="atLeast"/>
        </w:trPr>
        <w:tc>
          <w:tcPr>
            <w:tcW w:w="512" w:type="dxa"/>
            <w:noWrap/>
            <w:vAlign w:val="center"/>
          </w:tcPr>
          <w:p w14:paraId="727AC68C">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776" w:type="dxa"/>
            <w:vAlign w:val="center"/>
          </w:tcPr>
          <w:p w14:paraId="0F8196DA">
            <w:pPr>
              <w:widowControl/>
              <w:jc w:val="left"/>
              <w:rPr>
                <w:rFonts w:ascii="宋体" w:hAnsi="宋体" w:eastAsia="宋体" w:cs="宋体"/>
                <w:kern w:val="0"/>
                <w:sz w:val="24"/>
                <w:szCs w:val="24"/>
              </w:rPr>
            </w:pPr>
            <w:r>
              <w:rPr>
                <w:rFonts w:hint="eastAsia" w:ascii="宋体" w:hAnsi="宋体" w:eastAsia="宋体" w:cs="宋体"/>
                <w:kern w:val="0"/>
                <w:sz w:val="24"/>
                <w:szCs w:val="24"/>
              </w:rPr>
              <w:t>单10线性音箱</w:t>
            </w:r>
          </w:p>
        </w:tc>
        <w:tc>
          <w:tcPr>
            <w:tcW w:w="9271" w:type="dxa"/>
          </w:tcPr>
          <w:p w14:paraId="12F0A2BE">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单10”无源二分频三单元线性阵列扬声器           </w:t>
            </w:r>
          </w:p>
          <w:p w14:paraId="5BA94814">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低频 Low Frequency:1×10（in）260mm定制低音单元                                                                                                                                         高频 High Frequency: 2×1.73（in）44mm高音压缩驱动单元                                                                                                                                       频响 Frequency Response:60Hz-18kHz(±3dB)                                                                                                                                    灵敏度Sensitivity:100dB                                                                                                                                          阻抗 Nominal Impedance:8 ohms                                                                                                                                               功率 Power Handing:400W(额定) ,1600W(最大）                                                                                                                                               最大声压 Maximum SPL:128dB                                                                                                                                                   指向性 Nominal Dispersion:130°水平,15°垂直   连接器 Input Connectors:Speakon NL4×2                                                                                                                                       吊挂硬件 Riggings:3组铝吊挂组件，角度可调（0-10°）                                                                                                                                          表面处理 Cabinet Finish:黑色耐磨聚脲漆                                                                                                                                       尺寸 Dimensions (H×W×D):275×470×205 mm     </w:t>
            </w:r>
          </w:p>
          <w:p w14:paraId="018A4C59">
            <w:pPr>
              <w:widowControl/>
              <w:jc w:val="left"/>
              <w:rPr>
                <w:rFonts w:ascii="宋体" w:hAnsi="宋体" w:eastAsia="宋体" w:cs="宋体"/>
                <w:kern w:val="0"/>
                <w:sz w:val="24"/>
                <w:szCs w:val="24"/>
              </w:rPr>
            </w:pPr>
            <w:r>
              <w:rPr>
                <w:rFonts w:hint="eastAsia" w:ascii="宋体" w:hAnsi="宋体" w:eastAsia="宋体" w:cs="宋体"/>
                <w:kern w:val="0"/>
                <w:sz w:val="24"/>
                <w:szCs w:val="24"/>
              </w:rPr>
              <w:t>适用范围：文旅会展中心、礼堂、小型户外演出、多功能厅固定安装、演艺清吧、婚庆等。</w:t>
            </w:r>
          </w:p>
        </w:tc>
        <w:tc>
          <w:tcPr>
            <w:tcW w:w="915" w:type="dxa"/>
            <w:noWrap/>
            <w:vAlign w:val="center"/>
          </w:tcPr>
          <w:p w14:paraId="415CC8A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975" w:type="dxa"/>
            <w:noWrap/>
            <w:vAlign w:val="center"/>
          </w:tcPr>
          <w:p w14:paraId="2BFD1A95">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891" w:type="dxa"/>
            <w:noWrap/>
            <w:vAlign w:val="center"/>
          </w:tcPr>
          <w:p w14:paraId="1C0853FC">
            <w:pPr>
              <w:widowControl/>
              <w:jc w:val="center"/>
              <w:rPr>
                <w:rFonts w:ascii="宋体" w:hAnsi="宋体" w:eastAsia="宋体" w:cs="Times New Roman"/>
                <w:kern w:val="0"/>
                <w:sz w:val="24"/>
                <w:szCs w:val="24"/>
              </w:rPr>
            </w:pPr>
          </w:p>
        </w:tc>
        <w:tc>
          <w:tcPr>
            <w:tcW w:w="857" w:type="dxa"/>
            <w:noWrap/>
            <w:vAlign w:val="center"/>
          </w:tcPr>
          <w:p w14:paraId="4CA9BE1E">
            <w:pPr>
              <w:widowControl/>
              <w:jc w:val="center"/>
              <w:rPr>
                <w:rFonts w:ascii="宋体" w:hAnsi="宋体" w:eastAsia="宋体" w:cs="Times New Roman"/>
                <w:kern w:val="0"/>
                <w:sz w:val="24"/>
                <w:szCs w:val="24"/>
              </w:rPr>
            </w:pPr>
          </w:p>
        </w:tc>
        <w:tc>
          <w:tcPr>
            <w:tcW w:w="862" w:type="dxa"/>
            <w:noWrap/>
            <w:vAlign w:val="center"/>
          </w:tcPr>
          <w:p w14:paraId="2B62038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E4D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86BCFD0">
            <w:pPr>
              <w:widowControl/>
              <w:jc w:val="center"/>
              <w:rPr>
                <w:rFonts w:ascii="宋体" w:hAnsi="宋体" w:eastAsia="宋体" w:cs="宋体"/>
                <w:kern w:val="0"/>
                <w:sz w:val="24"/>
                <w:szCs w:val="24"/>
              </w:rPr>
            </w:pPr>
            <w:r>
              <w:rPr>
                <w:rFonts w:hint="eastAsia" w:ascii="宋体" w:hAnsi="宋体" w:eastAsia="宋体" w:cs="宋体"/>
                <w:kern w:val="0"/>
                <w:sz w:val="24"/>
                <w:szCs w:val="24"/>
              </w:rPr>
              <w:t>17</w:t>
            </w:r>
          </w:p>
        </w:tc>
        <w:tc>
          <w:tcPr>
            <w:tcW w:w="776" w:type="dxa"/>
            <w:vAlign w:val="center"/>
          </w:tcPr>
          <w:p w14:paraId="0FE3A962">
            <w:pPr>
              <w:widowControl/>
              <w:jc w:val="left"/>
              <w:rPr>
                <w:rFonts w:ascii="宋体" w:hAnsi="宋体" w:eastAsia="宋体" w:cs="宋体"/>
                <w:kern w:val="0"/>
                <w:sz w:val="24"/>
                <w:szCs w:val="24"/>
              </w:rPr>
            </w:pPr>
            <w:r>
              <w:rPr>
                <w:rFonts w:hint="eastAsia" w:ascii="宋体" w:hAnsi="宋体" w:eastAsia="宋体" w:cs="宋体"/>
                <w:kern w:val="0"/>
                <w:sz w:val="24"/>
                <w:szCs w:val="24"/>
              </w:rPr>
              <w:t>次低音箱</w:t>
            </w:r>
          </w:p>
        </w:tc>
        <w:tc>
          <w:tcPr>
            <w:tcW w:w="9271" w:type="dxa"/>
          </w:tcPr>
          <w:p w14:paraId="6DDC8B58">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低频 Low Frequency:1×15（in）380mm，4"音圈                                                                                                                                                                                                                                                                        频响 Frequency Response:45Hz-200Hz(±3dB)                                                                                                                                   灵敏度Sensitivity:97dB                                                                                                                                          阻抗 Nominal Impedance:8 ohms                                                                                                                                               功率 Power Handing:1000W(额定) ,4000W(最大）                                                                                                                                               最大声压 Maximum SPL:130dB                       </w:t>
            </w:r>
          </w:p>
          <w:p w14:paraId="2467C763">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功放模块:带有高性能DSP处理器，面板LCD高清显示屏，1000W+1500W二通道大功率输出。                                                                                                                                指向性 Nominal Dispersion:标准                 </w:t>
            </w:r>
          </w:p>
          <w:p w14:paraId="2006BFF9">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连接器 Input Connectors:按X-SUB                                                                                                                                       吊挂硬件 Riggings:4组铝吊挂组件                                                                                                              表面处理 Cabinet Finish:黑色耐磨聚脲漆                                                                                                                                       尺寸 Dimensions (H×W×D):570×460×670 mm     </w:t>
            </w:r>
          </w:p>
          <w:p w14:paraId="2B88690D">
            <w:pPr>
              <w:widowControl/>
              <w:jc w:val="left"/>
              <w:rPr>
                <w:rFonts w:ascii="宋体" w:hAnsi="宋体" w:eastAsia="宋体" w:cs="宋体"/>
                <w:kern w:val="0"/>
                <w:sz w:val="24"/>
                <w:szCs w:val="24"/>
              </w:rPr>
            </w:pPr>
            <w:r>
              <w:rPr>
                <w:rFonts w:hint="eastAsia" w:ascii="宋体" w:hAnsi="宋体" w:eastAsia="宋体" w:cs="宋体"/>
                <w:kern w:val="0"/>
                <w:sz w:val="24"/>
                <w:szCs w:val="24"/>
              </w:rPr>
              <w:t>适用范围：文旅会展中心、礼堂、小型户外演出、多功能厅固定安装、演艺清吧、婚庆等。</w:t>
            </w:r>
          </w:p>
        </w:tc>
        <w:tc>
          <w:tcPr>
            <w:tcW w:w="915" w:type="dxa"/>
            <w:noWrap/>
            <w:vAlign w:val="center"/>
          </w:tcPr>
          <w:p w14:paraId="6DB624D3">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58DAE2C2">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891" w:type="dxa"/>
            <w:noWrap/>
            <w:vAlign w:val="center"/>
          </w:tcPr>
          <w:p w14:paraId="3709533B">
            <w:pPr>
              <w:widowControl/>
              <w:jc w:val="center"/>
              <w:rPr>
                <w:rFonts w:ascii="宋体" w:hAnsi="宋体" w:eastAsia="宋体" w:cs="Times New Roman"/>
                <w:kern w:val="0"/>
                <w:sz w:val="24"/>
                <w:szCs w:val="24"/>
              </w:rPr>
            </w:pPr>
          </w:p>
        </w:tc>
        <w:tc>
          <w:tcPr>
            <w:tcW w:w="857" w:type="dxa"/>
            <w:noWrap/>
            <w:vAlign w:val="center"/>
          </w:tcPr>
          <w:p w14:paraId="5D8BB4C1">
            <w:pPr>
              <w:widowControl/>
              <w:jc w:val="center"/>
              <w:rPr>
                <w:rFonts w:ascii="宋体" w:hAnsi="宋体" w:eastAsia="宋体" w:cs="Times New Roman"/>
                <w:kern w:val="0"/>
                <w:sz w:val="24"/>
                <w:szCs w:val="24"/>
              </w:rPr>
            </w:pPr>
          </w:p>
        </w:tc>
        <w:tc>
          <w:tcPr>
            <w:tcW w:w="862" w:type="dxa"/>
            <w:noWrap/>
            <w:vAlign w:val="center"/>
          </w:tcPr>
          <w:p w14:paraId="4439383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D5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40F1ACD2">
            <w:pPr>
              <w:widowControl/>
              <w:jc w:val="center"/>
              <w:rPr>
                <w:rFonts w:ascii="宋体" w:hAnsi="宋体" w:eastAsia="宋体" w:cs="宋体"/>
                <w:kern w:val="0"/>
                <w:sz w:val="24"/>
                <w:szCs w:val="24"/>
              </w:rPr>
            </w:pPr>
            <w:r>
              <w:rPr>
                <w:rFonts w:hint="eastAsia" w:ascii="宋体" w:hAnsi="宋体" w:eastAsia="宋体" w:cs="宋体"/>
                <w:kern w:val="0"/>
                <w:sz w:val="24"/>
                <w:szCs w:val="24"/>
              </w:rPr>
              <w:t>18</w:t>
            </w:r>
          </w:p>
        </w:tc>
        <w:tc>
          <w:tcPr>
            <w:tcW w:w="776" w:type="dxa"/>
            <w:vAlign w:val="center"/>
          </w:tcPr>
          <w:p w14:paraId="41B30FF9">
            <w:pPr>
              <w:widowControl/>
              <w:jc w:val="left"/>
              <w:rPr>
                <w:rFonts w:ascii="宋体" w:hAnsi="宋体" w:eastAsia="宋体" w:cs="宋体"/>
                <w:kern w:val="0"/>
                <w:sz w:val="24"/>
                <w:szCs w:val="24"/>
              </w:rPr>
            </w:pPr>
            <w:r>
              <w:rPr>
                <w:rFonts w:hint="eastAsia" w:ascii="宋体" w:hAnsi="宋体" w:eastAsia="宋体" w:cs="宋体"/>
                <w:kern w:val="0"/>
                <w:sz w:val="24"/>
                <w:szCs w:val="24"/>
              </w:rPr>
              <w:t>返听音箱</w:t>
            </w:r>
          </w:p>
        </w:tc>
        <w:tc>
          <w:tcPr>
            <w:tcW w:w="9271" w:type="dxa"/>
          </w:tcPr>
          <w:p w14:paraId="22502623">
            <w:pPr>
              <w:widowControl/>
              <w:jc w:val="left"/>
              <w:rPr>
                <w:rFonts w:ascii="宋体" w:hAnsi="宋体" w:eastAsia="宋体" w:cs="宋体"/>
                <w:kern w:val="0"/>
                <w:sz w:val="24"/>
                <w:szCs w:val="24"/>
              </w:rPr>
            </w:pPr>
            <w:r>
              <w:rPr>
                <w:rFonts w:hint="eastAsia" w:ascii="宋体" w:hAnsi="宋体" w:eastAsia="宋体" w:cs="宋体"/>
                <w:kern w:val="0"/>
                <w:sz w:val="24"/>
                <w:szCs w:val="24"/>
              </w:rPr>
              <w:t>低频 Low Frequency:1×12（in）310mm                                                                                                                                          高频 High Frequency:1×1.73（in）44mm                                                                                                                                        频响 Frequency Response:60Hz-18kHz(±3dB))                                                                                                                                   灵敏度Sensitivity:102dB SPL(1w @1m)                                                                                                                                          阻抗 Nominal Impedance:8 ohms                                                                                                                                                功率 Power Handing:300W(额定)                                                                                                                                                最大声压 Maximum SPL:120dB                                                                                                                                                   指向性 Nominal Dispersion:80°水平,50°垂直                                                                                                                                  连接器 Input Connectors:Speakon NL4×2                                                                                                                                                                                                               尺寸 Dimensions (H×W×D):340×590×380mm                                                                                                                                    L-12M是一款两分频舞台返送系统，内置高器质分频器，能提供80°水平恒定覆盖角度和50°垂直耦合角度，紧凑的箱体结构能为现场提供高清晰、高保真的监听信号，十分适合专业演出要求的场所使用。</w:t>
            </w:r>
          </w:p>
        </w:tc>
        <w:tc>
          <w:tcPr>
            <w:tcW w:w="915" w:type="dxa"/>
            <w:vAlign w:val="center"/>
          </w:tcPr>
          <w:p w14:paraId="162BBDF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vAlign w:val="center"/>
          </w:tcPr>
          <w:p w14:paraId="66E75DD4">
            <w:pPr>
              <w:widowControl/>
              <w:jc w:val="center"/>
              <w:rPr>
                <w:rFonts w:ascii="宋体" w:hAnsi="宋体" w:eastAsia="宋体" w:cs="宋体"/>
                <w:kern w:val="0"/>
                <w:sz w:val="24"/>
                <w:szCs w:val="24"/>
              </w:rPr>
            </w:pPr>
            <w:r>
              <w:rPr>
                <w:rFonts w:hint="eastAsia" w:ascii="宋体" w:hAnsi="宋体" w:eastAsia="宋体" w:cs="宋体"/>
                <w:kern w:val="0"/>
                <w:sz w:val="24"/>
                <w:szCs w:val="24"/>
              </w:rPr>
              <w:t>只</w:t>
            </w:r>
          </w:p>
        </w:tc>
        <w:tc>
          <w:tcPr>
            <w:tcW w:w="891" w:type="dxa"/>
            <w:vAlign w:val="center"/>
          </w:tcPr>
          <w:p w14:paraId="06B87533">
            <w:pPr>
              <w:widowControl/>
              <w:jc w:val="center"/>
              <w:rPr>
                <w:rFonts w:ascii="宋体" w:hAnsi="宋体" w:eastAsia="宋体" w:cs="Times New Roman"/>
                <w:kern w:val="0"/>
                <w:sz w:val="24"/>
                <w:szCs w:val="24"/>
              </w:rPr>
            </w:pPr>
          </w:p>
        </w:tc>
        <w:tc>
          <w:tcPr>
            <w:tcW w:w="857" w:type="dxa"/>
            <w:noWrap/>
            <w:vAlign w:val="center"/>
          </w:tcPr>
          <w:p w14:paraId="3C9821A5">
            <w:pPr>
              <w:widowControl/>
              <w:jc w:val="center"/>
              <w:rPr>
                <w:rFonts w:ascii="宋体" w:hAnsi="宋体" w:eastAsia="宋体" w:cs="Times New Roman"/>
                <w:kern w:val="0"/>
                <w:sz w:val="24"/>
                <w:szCs w:val="24"/>
              </w:rPr>
            </w:pPr>
          </w:p>
        </w:tc>
        <w:tc>
          <w:tcPr>
            <w:tcW w:w="862" w:type="dxa"/>
            <w:noWrap/>
            <w:vAlign w:val="center"/>
          </w:tcPr>
          <w:p w14:paraId="2EE157B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5A8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B3407B0">
            <w:pPr>
              <w:widowControl/>
              <w:jc w:val="center"/>
              <w:rPr>
                <w:rFonts w:ascii="宋体" w:hAnsi="宋体" w:eastAsia="宋体" w:cs="宋体"/>
                <w:kern w:val="0"/>
                <w:sz w:val="24"/>
                <w:szCs w:val="24"/>
              </w:rPr>
            </w:pPr>
            <w:r>
              <w:rPr>
                <w:rFonts w:hint="eastAsia" w:ascii="宋体" w:hAnsi="宋体" w:eastAsia="宋体" w:cs="宋体"/>
                <w:kern w:val="0"/>
                <w:sz w:val="24"/>
                <w:szCs w:val="24"/>
              </w:rPr>
              <w:t>19</w:t>
            </w:r>
          </w:p>
        </w:tc>
        <w:tc>
          <w:tcPr>
            <w:tcW w:w="776" w:type="dxa"/>
            <w:vAlign w:val="center"/>
          </w:tcPr>
          <w:p w14:paraId="3F17834D">
            <w:pPr>
              <w:widowControl/>
              <w:jc w:val="left"/>
              <w:rPr>
                <w:rFonts w:ascii="宋体" w:hAnsi="宋体" w:eastAsia="宋体" w:cs="宋体"/>
                <w:kern w:val="0"/>
                <w:sz w:val="24"/>
                <w:szCs w:val="24"/>
              </w:rPr>
            </w:pPr>
            <w:r>
              <w:rPr>
                <w:rFonts w:hint="eastAsia" w:ascii="宋体" w:hAnsi="宋体" w:eastAsia="宋体" w:cs="宋体"/>
                <w:kern w:val="0"/>
                <w:sz w:val="24"/>
                <w:szCs w:val="24"/>
              </w:rPr>
              <w:t>主扩线性功放</w:t>
            </w:r>
          </w:p>
        </w:tc>
        <w:tc>
          <w:tcPr>
            <w:tcW w:w="9271" w:type="dxa"/>
          </w:tcPr>
          <w:p w14:paraId="0886C763">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8Ω立体声输出功率：850W×2                                                                                                                                                          4Ω立体声输出功率：1190W×2                                                                                                                                                                                        8Ω桥接输出功率：2380W                                                                                                                                                          4Ω桥接输出功率：3094W                                                         频率响应：20-20kHz（±0.5dB)                                                                                                                                          谐波失真（THD）: ≤0.1%                                                                                                                                                  互调失真：≤0.02%                                                                                                                                    转换速率：&gt;25V/μs                                                                                                                                                          输入灵敏度：0.775V/1.44V                                                                                                                                                      输入阻抗：20kΩ平衡输入，10kΩ不平衡输入                                                                                                                                信噪比：102dB                                                                                                                                                                                                                                                                                                                                                                                                                                                                                      输入插座：XLR(concave)                                                                                                                                                       输出插座：XLR(convex)                                                                                                                                                        散热：DC fan                                                                                                                                                                 增益控制：2 41-grade potentiometers                                                                                                                                          指示灯：POWER/PRO，CLIP </w:t>
            </w:r>
          </w:p>
        </w:tc>
        <w:tc>
          <w:tcPr>
            <w:tcW w:w="915" w:type="dxa"/>
            <w:vAlign w:val="center"/>
          </w:tcPr>
          <w:p w14:paraId="47651861">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vAlign w:val="center"/>
          </w:tcPr>
          <w:p w14:paraId="51F12EBA">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0862BB23">
            <w:pPr>
              <w:widowControl/>
              <w:jc w:val="center"/>
              <w:rPr>
                <w:rFonts w:ascii="宋体" w:hAnsi="宋体" w:eastAsia="宋体" w:cs="Times New Roman"/>
                <w:kern w:val="0"/>
                <w:sz w:val="24"/>
                <w:szCs w:val="24"/>
              </w:rPr>
            </w:pPr>
          </w:p>
        </w:tc>
        <w:tc>
          <w:tcPr>
            <w:tcW w:w="857" w:type="dxa"/>
            <w:noWrap/>
            <w:vAlign w:val="center"/>
          </w:tcPr>
          <w:p w14:paraId="3AB2A733">
            <w:pPr>
              <w:widowControl/>
              <w:jc w:val="center"/>
              <w:rPr>
                <w:rFonts w:ascii="宋体" w:hAnsi="宋体" w:eastAsia="宋体" w:cs="Times New Roman"/>
                <w:kern w:val="0"/>
                <w:sz w:val="24"/>
                <w:szCs w:val="24"/>
              </w:rPr>
            </w:pPr>
          </w:p>
        </w:tc>
        <w:tc>
          <w:tcPr>
            <w:tcW w:w="862" w:type="dxa"/>
            <w:noWrap/>
            <w:vAlign w:val="center"/>
          </w:tcPr>
          <w:p w14:paraId="43EF97C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804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22848E2">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76" w:type="dxa"/>
            <w:vAlign w:val="center"/>
          </w:tcPr>
          <w:p w14:paraId="65DE5BE3">
            <w:pPr>
              <w:widowControl/>
              <w:jc w:val="left"/>
              <w:rPr>
                <w:rFonts w:ascii="宋体" w:hAnsi="宋体" w:eastAsia="宋体" w:cs="宋体"/>
                <w:kern w:val="0"/>
                <w:sz w:val="24"/>
                <w:szCs w:val="24"/>
              </w:rPr>
            </w:pPr>
            <w:r>
              <w:rPr>
                <w:rFonts w:hint="eastAsia" w:ascii="宋体" w:hAnsi="宋体" w:eastAsia="宋体" w:cs="宋体"/>
                <w:kern w:val="0"/>
                <w:sz w:val="24"/>
                <w:szCs w:val="24"/>
              </w:rPr>
              <w:t>低音箱功放</w:t>
            </w:r>
          </w:p>
        </w:tc>
        <w:tc>
          <w:tcPr>
            <w:tcW w:w="9271" w:type="dxa"/>
          </w:tcPr>
          <w:p w14:paraId="6299A59A">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8Ω立体声输出功率：1250W×2                                                                                                                                                          4Ω立体声输出功率：1750W×2                                                                                                                                                                                        8Ω桥接输出功率：3500W                                                                                                                                                          4Ω桥接输出功率：4500W                                                           频率响应：20-20kHz（±0.5dB)                                                                                                                                          谐波失真（THD）: ≤0.1%                                                                                                                                                  互调失真：&lt;0.02%                                                                                                                                    转换速率：&gt;25V/μs                                                                                                                                                          输入灵敏度：0.775V/1.44V                                                                                                                                                      输入阻抗：20kΩ平衡输入，10kΩ不平衡输入                                                                                                                                   信噪比：102dB                                                                                                                                                                                                                                                                                                                                                                                                                                                                                      输入插座：XLR(concave)                                                                                                                                                       输出插座：XLR(convex)                                                                                                                                                        散热：DC fan                                                                                                                                                                 增益控制：2 41-grade potentiometers                                                                                                                                          指示灯：POWER/PRO，CLIP                                                                                                                                                      保护线路：Temperature,DC voltage,short circuit,automatic limiter,turn on/off impact.                                                                                                                                                                                                                             包装尺寸：485mm×410mm×90mm                                                                                                                                                 重量：17Kg                                                                                                                                                                   D系列功放特点：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1、全系列产品采用D类高效率电路+环型变压器。                                      2、变压器采用高动态响应技术设计,输出功率强劲。                                  3、多层实用保护功能，有效保证声音的音质效果。</w:t>
            </w:r>
          </w:p>
        </w:tc>
        <w:tc>
          <w:tcPr>
            <w:tcW w:w="915" w:type="dxa"/>
            <w:vAlign w:val="center"/>
          </w:tcPr>
          <w:p w14:paraId="5A6A5D7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vAlign w:val="center"/>
          </w:tcPr>
          <w:p w14:paraId="2ADE3A7F">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120F843C">
            <w:pPr>
              <w:widowControl/>
              <w:jc w:val="center"/>
              <w:rPr>
                <w:rFonts w:ascii="宋体" w:hAnsi="宋体" w:eastAsia="宋体" w:cs="Times New Roman"/>
                <w:kern w:val="0"/>
                <w:sz w:val="24"/>
                <w:szCs w:val="24"/>
              </w:rPr>
            </w:pPr>
          </w:p>
        </w:tc>
        <w:tc>
          <w:tcPr>
            <w:tcW w:w="857" w:type="dxa"/>
            <w:noWrap/>
            <w:vAlign w:val="center"/>
          </w:tcPr>
          <w:p w14:paraId="0AC9ABA7">
            <w:pPr>
              <w:widowControl/>
              <w:jc w:val="center"/>
              <w:rPr>
                <w:rFonts w:ascii="宋体" w:hAnsi="宋体" w:eastAsia="宋体" w:cs="Times New Roman"/>
                <w:kern w:val="0"/>
                <w:sz w:val="24"/>
                <w:szCs w:val="24"/>
              </w:rPr>
            </w:pPr>
          </w:p>
        </w:tc>
        <w:tc>
          <w:tcPr>
            <w:tcW w:w="862" w:type="dxa"/>
            <w:noWrap/>
            <w:vAlign w:val="center"/>
          </w:tcPr>
          <w:p w14:paraId="31107A0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C1A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1B03C492">
            <w:pPr>
              <w:widowControl/>
              <w:jc w:val="center"/>
              <w:rPr>
                <w:rFonts w:ascii="宋体" w:hAnsi="宋体" w:eastAsia="宋体" w:cs="宋体"/>
                <w:kern w:val="0"/>
                <w:sz w:val="24"/>
                <w:szCs w:val="24"/>
              </w:rPr>
            </w:pPr>
            <w:r>
              <w:rPr>
                <w:rFonts w:hint="eastAsia" w:ascii="宋体" w:hAnsi="宋体" w:eastAsia="宋体" w:cs="宋体"/>
                <w:kern w:val="0"/>
                <w:sz w:val="24"/>
                <w:szCs w:val="24"/>
              </w:rPr>
              <w:t>21</w:t>
            </w:r>
          </w:p>
        </w:tc>
        <w:tc>
          <w:tcPr>
            <w:tcW w:w="776" w:type="dxa"/>
            <w:vAlign w:val="center"/>
          </w:tcPr>
          <w:p w14:paraId="48CABF5D">
            <w:pPr>
              <w:widowControl/>
              <w:jc w:val="left"/>
              <w:rPr>
                <w:rFonts w:ascii="宋体" w:hAnsi="宋体" w:eastAsia="宋体" w:cs="宋体"/>
                <w:kern w:val="0"/>
                <w:sz w:val="24"/>
                <w:szCs w:val="24"/>
              </w:rPr>
            </w:pPr>
            <w:r>
              <w:rPr>
                <w:rFonts w:hint="eastAsia" w:ascii="宋体" w:hAnsi="宋体" w:eastAsia="宋体" w:cs="宋体"/>
                <w:kern w:val="0"/>
                <w:sz w:val="24"/>
                <w:szCs w:val="24"/>
              </w:rPr>
              <w:t>返听功放</w:t>
            </w:r>
          </w:p>
        </w:tc>
        <w:tc>
          <w:tcPr>
            <w:tcW w:w="9271" w:type="dxa"/>
          </w:tcPr>
          <w:p w14:paraId="63B9330D">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8Ω立体声输出功率：850W×2                                                                                                                                                          4Ω立体声输出功率：1190W×2                                                                                                                                                                                        8Ω桥接输出功率：2380W                                                                                                                                                          4Ω桥接输出功率：3094W                                                          频率响应：20-20kHz（±0.5dB)                                                                                                                                          谐波失真（THD）: ≤0.1%                                                                                                                                                  互调失真：≤0.02%                                                                                                                                    转换速率：&gt;25V/μs                                                                                                                                                          输入灵敏度：0.775V/1.44V                                                                                                                                                      输入阻抗：20kΩ平衡输入，10kΩ不平衡输入                                                                                                                                信噪比：102dB                                                                                                                                                                                                                                                                                                                                                                                                                                                                                      输入插座：XLR(concave)                                                                                                                                                       输出插座：XLR(convex)                                                                                                                                                        散热：DC fan                                                                                                                                                                 增益控制：2 41-grade potentiometers                                                                                                                                          指示灯：POWER/PRO，CLIP                                                                                                                                                      保护线路：Temperature,DC voltage,short circuit,automatic limiter,turn on/off impact.                                                                                                                                                                                                                             包装尺寸：485mm×410mm×90mm                                                                                                                                                 重量：15Kg                                                                                                                                                                   D系列功放特点：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1、全系列产品采用D类高效率电路+环型变压器。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2、变压器采用高动态响应技术设计,输出功率强劲。</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3、多层实用保护功能，有效保证声音的音质效果。                                                                                    </w:t>
            </w:r>
          </w:p>
        </w:tc>
        <w:tc>
          <w:tcPr>
            <w:tcW w:w="915" w:type="dxa"/>
            <w:vAlign w:val="center"/>
          </w:tcPr>
          <w:p w14:paraId="3B811671">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vAlign w:val="center"/>
          </w:tcPr>
          <w:p w14:paraId="29F18C9E">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41E745A4">
            <w:pPr>
              <w:widowControl/>
              <w:jc w:val="center"/>
              <w:rPr>
                <w:rFonts w:ascii="宋体" w:hAnsi="宋体" w:eastAsia="宋体" w:cs="Times New Roman"/>
                <w:kern w:val="0"/>
                <w:sz w:val="24"/>
                <w:szCs w:val="24"/>
              </w:rPr>
            </w:pPr>
          </w:p>
        </w:tc>
        <w:tc>
          <w:tcPr>
            <w:tcW w:w="857" w:type="dxa"/>
            <w:noWrap/>
            <w:vAlign w:val="center"/>
          </w:tcPr>
          <w:p w14:paraId="4289D8CA">
            <w:pPr>
              <w:widowControl/>
              <w:jc w:val="center"/>
              <w:rPr>
                <w:rFonts w:ascii="宋体" w:hAnsi="宋体" w:eastAsia="宋体" w:cs="Times New Roman"/>
                <w:kern w:val="0"/>
                <w:sz w:val="24"/>
                <w:szCs w:val="24"/>
              </w:rPr>
            </w:pPr>
          </w:p>
        </w:tc>
        <w:tc>
          <w:tcPr>
            <w:tcW w:w="862" w:type="dxa"/>
            <w:noWrap/>
            <w:vAlign w:val="center"/>
          </w:tcPr>
          <w:p w14:paraId="3328AA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F82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9" w:hRule="atLeast"/>
        </w:trPr>
        <w:tc>
          <w:tcPr>
            <w:tcW w:w="512" w:type="dxa"/>
            <w:noWrap/>
            <w:vAlign w:val="center"/>
          </w:tcPr>
          <w:p w14:paraId="1D1E1CF9">
            <w:pPr>
              <w:widowControl/>
              <w:jc w:val="center"/>
              <w:rPr>
                <w:rFonts w:ascii="宋体" w:hAnsi="宋体" w:eastAsia="宋体" w:cs="宋体"/>
                <w:kern w:val="0"/>
                <w:sz w:val="24"/>
                <w:szCs w:val="24"/>
              </w:rPr>
            </w:pPr>
            <w:r>
              <w:rPr>
                <w:rFonts w:hint="eastAsia" w:ascii="宋体" w:hAnsi="宋体" w:eastAsia="宋体" w:cs="宋体"/>
                <w:kern w:val="0"/>
                <w:sz w:val="24"/>
                <w:szCs w:val="24"/>
              </w:rPr>
              <w:t>22</w:t>
            </w:r>
          </w:p>
        </w:tc>
        <w:tc>
          <w:tcPr>
            <w:tcW w:w="776" w:type="dxa"/>
            <w:vAlign w:val="center"/>
          </w:tcPr>
          <w:p w14:paraId="0F12C8B7">
            <w:pPr>
              <w:widowControl/>
              <w:jc w:val="left"/>
              <w:rPr>
                <w:rFonts w:ascii="宋体" w:hAnsi="宋体" w:eastAsia="宋体" w:cs="宋体"/>
                <w:kern w:val="0"/>
                <w:sz w:val="24"/>
                <w:szCs w:val="24"/>
              </w:rPr>
            </w:pPr>
            <w:r>
              <w:rPr>
                <w:rFonts w:hint="eastAsia" w:ascii="宋体" w:hAnsi="宋体" w:eastAsia="宋体" w:cs="宋体"/>
                <w:kern w:val="0"/>
                <w:sz w:val="24"/>
                <w:szCs w:val="24"/>
              </w:rPr>
              <w:t>电源管理器</w:t>
            </w:r>
          </w:p>
        </w:tc>
        <w:tc>
          <w:tcPr>
            <w:tcW w:w="9271" w:type="dxa"/>
          </w:tcPr>
          <w:p w14:paraId="612E5226">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过流保护,各通道可单独控制开关.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精准电压显示,面板带USB供电输出5V/500MA</w:t>
            </w:r>
            <w:r>
              <w:rPr>
                <w:rFonts w:hint="eastAsia" w:ascii="宋体" w:hAnsi="宋体" w:eastAsia="宋体" w:cs="宋体"/>
                <w:kern w:val="0"/>
                <w:sz w:val="24"/>
                <w:szCs w:val="24"/>
              </w:rPr>
              <w:br w:type="textWrapping"/>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电力输入条件(单相3线)：AC90-260V 50-60HZ两相（三线：零，火，地）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通道数量：8路万用插座继电器受控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继电器受控输出最大承受单路功率/总功率(无功功率）：2200W/7000W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输出电源插座规格：阻燃ABS材料，最大可承受10A电流磷铜材质，标准美式插座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每路开关间隔时间/定时时间：默认1秒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输出继电器触点电流：30A 277VAC</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电路板规格：双面纤维板，主电源走线二次加厚加粗处理</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供电规格：内置开关电源，适用全球电压AC90-260V 50-60HZ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主电缆线规格：3*4平方电缆线，总长度为1.5米（标配电源插头）</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功能显示电压显示表类型：红绿色数码管显示电压表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短路过流保护断路器配置：断路器零，火线控制，过流保护,（63A短路保护)</w:t>
            </w:r>
          </w:p>
        </w:tc>
        <w:tc>
          <w:tcPr>
            <w:tcW w:w="915" w:type="dxa"/>
            <w:vAlign w:val="center"/>
          </w:tcPr>
          <w:p w14:paraId="630C1EF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vAlign w:val="center"/>
          </w:tcPr>
          <w:p w14:paraId="7063F0B1">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vAlign w:val="center"/>
          </w:tcPr>
          <w:p w14:paraId="7DFA752E">
            <w:pPr>
              <w:widowControl/>
              <w:jc w:val="center"/>
              <w:rPr>
                <w:rFonts w:ascii="宋体" w:hAnsi="宋体" w:eastAsia="宋体" w:cs="Times New Roman"/>
                <w:kern w:val="0"/>
                <w:sz w:val="24"/>
                <w:szCs w:val="24"/>
              </w:rPr>
            </w:pPr>
          </w:p>
        </w:tc>
        <w:tc>
          <w:tcPr>
            <w:tcW w:w="857" w:type="dxa"/>
            <w:noWrap/>
            <w:vAlign w:val="center"/>
          </w:tcPr>
          <w:p w14:paraId="4ED1A691">
            <w:pPr>
              <w:widowControl/>
              <w:jc w:val="center"/>
              <w:rPr>
                <w:rFonts w:ascii="宋体" w:hAnsi="宋体" w:eastAsia="宋体" w:cs="Times New Roman"/>
                <w:kern w:val="0"/>
                <w:sz w:val="24"/>
                <w:szCs w:val="24"/>
              </w:rPr>
            </w:pPr>
          </w:p>
        </w:tc>
        <w:tc>
          <w:tcPr>
            <w:tcW w:w="862" w:type="dxa"/>
            <w:noWrap/>
            <w:vAlign w:val="center"/>
          </w:tcPr>
          <w:p w14:paraId="0368ABF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2AC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743055B">
            <w:pPr>
              <w:widowControl/>
              <w:jc w:val="center"/>
              <w:rPr>
                <w:rFonts w:ascii="宋体" w:hAnsi="宋体" w:eastAsia="宋体" w:cs="宋体"/>
                <w:kern w:val="0"/>
                <w:sz w:val="24"/>
                <w:szCs w:val="24"/>
              </w:rPr>
            </w:pPr>
            <w:r>
              <w:rPr>
                <w:rFonts w:hint="eastAsia" w:ascii="宋体" w:hAnsi="宋体" w:eastAsia="宋体" w:cs="宋体"/>
                <w:kern w:val="0"/>
                <w:sz w:val="24"/>
                <w:szCs w:val="24"/>
              </w:rPr>
              <w:t>23</w:t>
            </w:r>
          </w:p>
        </w:tc>
        <w:tc>
          <w:tcPr>
            <w:tcW w:w="776" w:type="dxa"/>
            <w:vAlign w:val="center"/>
          </w:tcPr>
          <w:p w14:paraId="74CD02F5">
            <w:pPr>
              <w:widowControl/>
              <w:jc w:val="left"/>
              <w:rPr>
                <w:rFonts w:ascii="宋体" w:hAnsi="宋体" w:eastAsia="宋体" w:cs="宋体"/>
                <w:kern w:val="0"/>
                <w:sz w:val="24"/>
                <w:szCs w:val="24"/>
              </w:rPr>
            </w:pPr>
            <w:r>
              <w:rPr>
                <w:rFonts w:hint="eastAsia" w:ascii="宋体" w:hAnsi="宋体" w:eastAsia="宋体" w:cs="宋体"/>
                <w:kern w:val="0"/>
                <w:sz w:val="24"/>
                <w:szCs w:val="24"/>
              </w:rPr>
              <w:t>一拖二真分集无线话筒</w:t>
            </w:r>
          </w:p>
        </w:tc>
        <w:tc>
          <w:tcPr>
            <w:tcW w:w="9271" w:type="dxa"/>
          </w:tcPr>
          <w:p w14:paraId="12C2A920">
            <w:pPr>
              <w:widowControl/>
              <w:jc w:val="left"/>
              <w:rPr>
                <w:rFonts w:ascii="宋体" w:hAnsi="宋体" w:eastAsia="宋体" w:cs="宋体"/>
                <w:kern w:val="0"/>
                <w:sz w:val="24"/>
                <w:szCs w:val="24"/>
              </w:rPr>
            </w:pPr>
            <w:r>
              <w:rPr>
                <w:rFonts w:hint="eastAsia" w:ascii="宋体" w:hAnsi="宋体" w:eastAsia="宋体" w:cs="宋体"/>
                <w:kern w:val="0"/>
                <w:sz w:val="24"/>
                <w:szCs w:val="24"/>
              </w:rPr>
              <w:t>1.采用双天线组合双通道单接收系统.高灵敏分集选讯电路，能最大限度降低了断频的发生.</w:t>
            </w:r>
            <w:r>
              <w:rPr>
                <w:rFonts w:hint="eastAsia" w:ascii="宋体" w:hAnsi="宋体" w:eastAsia="宋体" w:cs="宋体"/>
                <w:kern w:val="0"/>
                <w:sz w:val="24"/>
                <w:szCs w:val="24"/>
              </w:rPr>
              <w:br w:type="textWrapping"/>
            </w:r>
            <w:r>
              <w:rPr>
                <w:rFonts w:hint="eastAsia" w:ascii="宋体" w:hAnsi="宋体" w:eastAsia="宋体" w:cs="宋体"/>
                <w:kern w:val="0"/>
                <w:sz w:val="24"/>
                <w:szCs w:val="24"/>
              </w:rPr>
              <w:t>2.双通道独立AFS频率自动搜索功能,能迅速扫描所在工作环境中干忧最少的频率并锁定.</w:t>
            </w:r>
            <w:r>
              <w:rPr>
                <w:rFonts w:hint="eastAsia" w:ascii="宋体" w:hAnsi="宋体" w:eastAsia="宋体" w:cs="宋体"/>
                <w:kern w:val="0"/>
                <w:sz w:val="24"/>
                <w:szCs w:val="24"/>
              </w:rPr>
              <w:br w:type="textWrapping"/>
            </w:r>
            <w:r>
              <w:rPr>
                <w:rFonts w:hint="eastAsia" w:ascii="宋体" w:hAnsi="宋体" w:eastAsia="宋体" w:cs="宋体"/>
                <w:kern w:val="0"/>
                <w:sz w:val="24"/>
                <w:szCs w:val="24"/>
              </w:rPr>
              <w:t>3.接收机与发射机通过IR红外对频技术,一键同步对码.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4.专业演出级别的相位锁定电路,配合杂讯锁定静噪控制与数码导频技术, 当发射器关闭时，导频控制将AF信号静音以抑制噪声，同时将对应的接收机静音。保证了对干忧信号的有效阻隔.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管身材质：全铝金属管体。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振荡模式：PLL相位锁定频率合成</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载波频段：UHF640~690MHz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频带宽度：50MHz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频率调整：自动追锁接收机工作频道/手动调节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音头：动圈式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使用电池：3号（AA）电池两只</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操作显示：LCD同时显示电池容量，频道</w:t>
            </w:r>
          </w:p>
        </w:tc>
        <w:tc>
          <w:tcPr>
            <w:tcW w:w="915" w:type="dxa"/>
            <w:noWrap/>
            <w:vAlign w:val="center"/>
          </w:tcPr>
          <w:p w14:paraId="5F62042E">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75" w:type="dxa"/>
            <w:noWrap/>
            <w:vAlign w:val="center"/>
          </w:tcPr>
          <w:p w14:paraId="6E4338CB">
            <w:pPr>
              <w:widowControl/>
              <w:jc w:val="center"/>
              <w:rPr>
                <w:rFonts w:ascii="宋体" w:hAnsi="宋体" w:eastAsia="宋体" w:cs="宋体"/>
                <w:kern w:val="0"/>
                <w:sz w:val="24"/>
                <w:szCs w:val="24"/>
              </w:rPr>
            </w:pPr>
            <w:r>
              <w:rPr>
                <w:rFonts w:hint="eastAsia" w:ascii="宋体" w:hAnsi="宋体" w:eastAsia="宋体" w:cs="宋体"/>
                <w:kern w:val="0"/>
                <w:sz w:val="24"/>
                <w:szCs w:val="24"/>
              </w:rPr>
              <w:t>套</w:t>
            </w:r>
          </w:p>
        </w:tc>
        <w:tc>
          <w:tcPr>
            <w:tcW w:w="891" w:type="dxa"/>
            <w:noWrap/>
            <w:vAlign w:val="center"/>
          </w:tcPr>
          <w:p w14:paraId="06E96F4E">
            <w:pPr>
              <w:widowControl/>
              <w:jc w:val="center"/>
              <w:rPr>
                <w:rFonts w:ascii="宋体" w:hAnsi="宋体" w:eastAsia="宋体" w:cs="Times New Roman"/>
                <w:kern w:val="0"/>
                <w:sz w:val="24"/>
                <w:szCs w:val="24"/>
              </w:rPr>
            </w:pPr>
          </w:p>
        </w:tc>
        <w:tc>
          <w:tcPr>
            <w:tcW w:w="857" w:type="dxa"/>
            <w:noWrap/>
            <w:vAlign w:val="center"/>
          </w:tcPr>
          <w:p w14:paraId="17AB60B2">
            <w:pPr>
              <w:widowControl/>
              <w:jc w:val="center"/>
              <w:rPr>
                <w:rFonts w:ascii="宋体" w:hAnsi="宋体" w:eastAsia="宋体" w:cs="Times New Roman"/>
                <w:kern w:val="0"/>
                <w:sz w:val="24"/>
                <w:szCs w:val="24"/>
              </w:rPr>
            </w:pPr>
          </w:p>
        </w:tc>
        <w:tc>
          <w:tcPr>
            <w:tcW w:w="862" w:type="dxa"/>
            <w:noWrap/>
            <w:vAlign w:val="center"/>
          </w:tcPr>
          <w:p w14:paraId="56A01E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505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2" w:type="dxa"/>
            <w:noWrap/>
            <w:vAlign w:val="center"/>
          </w:tcPr>
          <w:p w14:paraId="12F327AF">
            <w:pPr>
              <w:widowControl/>
              <w:jc w:val="left"/>
              <w:rPr>
                <w:rFonts w:ascii="宋体" w:hAnsi="宋体" w:eastAsia="宋体" w:cs="宋体"/>
                <w:kern w:val="0"/>
                <w:sz w:val="24"/>
                <w:szCs w:val="24"/>
              </w:rPr>
            </w:pPr>
            <w:r>
              <w:rPr>
                <w:rFonts w:hint="eastAsia" w:ascii="宋体" w:hAnsi="宋体" w:eastAsia="宋体" w:cs="宋体"/>
                <w:kern w:val="0"/>
                <w:sz w:val="24"/>
                <w:szCs w:val="24"/>
              </w:rPr>
              <w:t>24</w:t>
            </w:r>
          </w:p>
        </w:tc>
        <w:tc>
          <w:tcPr>
            <w:tcW w:w="776" w:type="dxa"/>
            <w:vAlign w:val="center"/>
          </w:tcPr>
          <w:p w14:paraId="10569ED0">
            <w:pPr>
              <w:widowControl/>
              <w:jc w:val="left"/>
              <w:rPr>
                <w:rFonts w:ascii="宋体" w:hAnsi="宋体" w:eastAsia="宋体" w:cs="宋体"/>
                <w:kern w:val="0"/>
                <w:sz w:val="24"/>
                <w:szCs w:val="24"/>
              </w:rPr>
            </w:pPr>
            <w:r>
              <w:rPr>
                <w:rFonts w:hint="eastAsia" w:ascii="宋体" w:hAnsi="宋体" w:eastAsia="宋体" w:cs="宋体"/>
                <w:kern w:val="0"/>
                <w:sz w:val="24"/>
                <w:szCs w:val="24"/>
              </w:rPr>
              <w:t>辅材</w:t>
            </w:r>
          </w:p>
        </w:tc>
        <w:tc>
          <w:tcPr>
            <w:tcW w:w="9271" w:type="dxa"/>
            <w:vAlign w:val="center"/>
          </w:tcPr>
          <w:p w14:paraId="1F6C32AB">
            <w:pPr>
              <w:widowControl/>
              <w:jc w:val="left"/>
              <w:rPr>
                <w:rFonts w:ascii="宋体" w:hAnsi="宋体" w:eastAsia="宋体" w:cs="宋体"/>
                <w:kern w:val="0"/>
                <w:sz w:val="24"/>
                <w:szCs w:val="24"/>
              </w:rPr>
            </w:pPr>
            <w:r>
              <w:rPr>
                <w:rFonts w:hint="eastAsia" w:ascii="宋体" w:hAnsi="宋体" w:eastAsia="宋体" w:cs="宋体"/>
                <w:kern w:val="0"/>
                <w:sz w:val="24"/>
                <w:szCs w:val="24"/>
              </w:rPr>
              <w:t>音响线，信号线，连接头等</w:t>
            </w:r>
          </w:p>
        </w:tc>
        <w:tc>
          <w:tcPr>
            <w:tcW w:w="915" w:type="dxa"/>
            <w:noWrap/>
            <w:vAlign w:val="center"/>
          </w:tcPr>
          <w:p w14:paraId="046CCF6A">
            <w:pPr>
              <w:widowControl/>
              <w:jc w:val="left"/>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366148E9">
            <w:pPr>
              <w:widowControl/>
              <w:jc w:val="left"/>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noWrap/>
            <w:vAlign w:val="center"/>
          </w:tcPr>
          <w:p w14:paraId="2438A26B">
            <w:pPr>
              <w:widowControl/>
              <w:jc w:val="center"/>
              <w:rPr>
                <w:rFonts w:ascii="宋体" w:hAnsi="宋体" w:eastAsia="宋体" w:cs="Times New Roman"/>
                <w:kern w:val="0"/>
                <w:sz w:val="24"/>
                <w:szCs w:val="24"/>
              </w:rPr>
            </w:pPr>
          </w:p>
        </w:tc>
        <w:tc>
          <w:tcPr>
            <w:tcW w:w="857" w:type="dxa"/>
            <w:noWrap/>
            <w:vAlign w:val="center"/>
          </w:tcPr>
          <w:p w14:paraId="6414C84A">
            <w:pPr>
              <w:widowControl/>
              <w:jc w:val="center"/>
              <w:rPr>
                <w:rFonts w:ascii="宋体" w:hAnsi="宋体" w:eastAsia="宋体" w:cs="Times New Roman"/>
                <w:kern w:val="0"/>
                <w:sz w:val="24"/>
                <w:szCs w:val="24"/>
              </w:rPr>
            </w:pPr>
          </w:p>
        </w:tc>
        <w:tc>
          <w:tcPr>
            <w:tcW w:w="862" w:type="dxa"/>
            <w:noWrap/>
            <w:vAlign w:val="center"/>
          </w:tcPr>
          <w:p w14:paraId="570552D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38D4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2" w:type="dxa"/>
            <w:noWrap/>
            <w:vAlign w:val="center"/>
          </w:tcPr>
          <w:p w14:paraId="4003C894">
            <w:pPr>
              <w:widowControl/>
              <w:jc w:val="left"/>
              <w:rPr>
                <w:rFonts w:ascii="宋体" w:hAnsi="宋体" w:eastAsia="宋体" w:cs="宋体"/>
                <w:kern w:val="0"/>
                <w:sz w:val="24"/>
                <w:szCs w:val="24"/>
              </w:rPr>
            </w:pPr>
            <w:r>
              <w:rPr>
                <w:rFonts w:hint="eastAsia" w:ascii="宋体" w:hAnsi="宋体" w:eastAsia="宋体" w:cs="宋体"/>
                <w:kern w:val="0"/>
                <w:sz w:val="24"/>
                <w:szCs w:val="24"/>
              </w:rPr>
              <w:t>25</w:t>
            </w:r>
          </w:p>
        </w:tc>
        <w:tc>
          <w:tcPr>
            <w:tcW w:w="776" w:type="dxa"/>
            <w:vAlign w:val="center"/>
          </w:tcPr>
          <w:p w14:paraId="7A60E3EC">
            <w:pPr>
              <w:widowControl/>
              <w:jc w:val="left"/>
              <w:rPr>
                <w:rFonts w:ascii="宋体" w:hAnsi="宋体" w:eastAsia="宋体" w:cs="宋体"/>
                <w:kern w:val="0"/>
                <w:sz w:val="24"/>
                <w:szCs w:val="24"/>
              </w:rPr>
            </w:pPr>
            <w:r>
              <w:rPr>
                <w:rFonts w:hint="eastAsia" w:ascii="宋体" w:hAnsi="宋体" w:eastAsia="宋体" w:cs="宋体"/>
                <w:kern w:val="0"/>
                <w:sz w:val="24"/>
                <w:szCs w:val="24"/>
              </w:rPr>
              <w:t>机柜</w:t>
            </w:r>
          </w:p>
        </w:tc>
        <w:tc>
          <w:tcPr>
            <w:tcW w:w="9271" w:type="dxa"/>
            <w:vAlign w:val="center"/>
          </w:tcPr>
          <w:p w14:paraId="1C7C805D">
            <w:pPr>
              <w:widowControl/>
              <w:jc w:val="left"/>
              <w:rPr>
                <w:rFonts w:ascii="宋体" w:hAnsi="宋体" w:eastAsia="宋体" w:cs="宋体"/>
                <w:kern w:val="0"/>
                <w:sz w:val="24"/>
                <w:szCs w:val="24"/>
              </w:rPr>
            </w:pPr>
            <w:r>
              <w:rPr>
                <w:rFonts w:hint="eastAsia" w:ascii="宋体" w:hAnsi="宋体" w:eastAsia="宋体" w:cs="宋体"/>
                <w:kern w:val="0"/>
                <w:sz w:val="24"/>
                <w:szCs w:val="24"/>
              </w:rPr>
              <w:t>32U，纯金属，带4个万向轮</w:t>
            </w:r>
          </w:p>
        </w:tc>
        <w:tc>
          <w:tcPr>
            <w:tcW w:w="915" w:type="dxa"/>
            <w:noWrap/>
            <w:vAlign w:val="center"/>
          </w:tcPr>
          <w:p w14:paraId="776AEB5D">
            <w:pPr>
              <w:widowControl/>
              <w:jc w:val="left"/>
              <w:rPr>
                <w:rFonts w:ascii="宋体" w:hAnsi="宋体" w:eastAsia="宋体" w:cs="宋体"/>
                <w:kern w:val="0"/>
                <w:sz w:val="24"/>
                <w:szCs w:val="24"/>
              </w:rPr>
            </w:pPr>
            <w:r>
              <w:rPr>
                <w:rFonts w:hint="eastAsia" w:ascii="宋体" w:hAnsi="宋体" w:eastAsia="宋体" w:cs="宋体"/>
                <w:kern w:val="0"/>
                <w:sz w:val="24"/>
                <w:szCs w:val="24"/>
              </w:rPr>
              <w:t>2</w:t>
            </w:r>
          </w:p>
        </w:tc>
        <w:tc>
          <w:tcPr>
            <w:tcW w:w="975" w:type="dxa"/>
            <w:noWrap/>
            <w:vAlign w:val="center"/>
          </w:tcPr>
          <w:p w14:paraId="607C964A">
            <w:pPr>
              <w:widowControl/>
              <w:jc w:val="left"/>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6299F5D1">
            <w:pPr>
              <w:widowControl/>
              <w:jc w:val="center"/>
              <w:rPr>
                <w:rFonts w:ascii="宋体" w:hAnsi="宋体" w:eastAsia="宋体" w:cs="Times New Roman"/>
                <w:kern w:val="0"/>
                <w:sz w:val="24"/>
                <w:szCs w:val="24"/>
              </w:rPr>
            </w:pPr>
          </w:p>
        </w:tc>
        <w:tc>
          <w:tcPr>
            <w:tcW w:w="857" w:type="dxa"/>
            <w:noWrap/>
            <w:vAlign w:val="center"/>
          </w:tcPr>
          <w:p w14:paraId="6DA005C3">
            <w:pPr>
              <w:widowControl/>
              <w:jc w:val="center"/>
              <w:rPr>
                <w:rFonts w:ascii="宋体" w:hAnsi="宋体" w:eastAsia="宋体" w:cs="Times New Roman"/>
                <w:kern w:val="0"/>
                <w:sz w:val="24"/>
                <w:szCs w:val="24"/>
              </w:rPr>
            </w:pPr>
          </w:p>
        </w:tc>
        <w:tc>
          <w:tcPr>
            <w:tcW w:w="862" w:type="dxa"/>
            <w:noWrap/>
            <w:vAlign w:val="center"/>
          </w:tcPr>
          <w:p w14:paraId="718DDB8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26B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512" w:type="dxa"/>
            <w:noWrap/>
            <w:vAlign w:val="center"/>
          </w:tcPr>
          <w:p w14:paraId="7375B666">
            <w:pPr>
              <w:widowControl/>
              <w:jc w:val="left"/>
              <w:rPr>
                <w:rFonts w:ascii="宋体" w:hAnsi="宋体" w:eastAsia="宋体" w:cs="宋体"/>
                <w:kern w:val="0"/>
                <w:sz w:val="24"/>
                <w:szCs w:val="24"/>
              </w:rPr>
            </w:pPr>
            <w:r>
              <w:rPr>
                <w:rFonts w:hint="eastAsia" w:ascii="宋体" w:hAnsi="宋体" w:eastAsia="宋体" w:cs="宋体"/>
                <w:kern w:val="0"/>
                <w:sz w:val="24"/>
                <w:szCs w:val="24"/>
              </w:rPr>
              <w:t>26</w:t>
            </w:r>
          </w:p>
        </w:tc>
        <w:tc>
          <w:tcPr>
            <w:tcW w:w="776" w:type="dxa"/>
            <w:vAlign w:val="center"/>
          </w:tcPr>
          <w:p w14:paraId="33D661EC">
            <w:pPr>
              <w:widowControl/>
              <w:jc w:val="left"/>
              <w:rPr>
                <w:rFonts w:ascii="宋体" w:hAnsi="宋体" w:eastAsia="宋体" w:cs="宋体"/>
                <w:kern w:val="0"/>
                <w:sz w:val="24"/>
                <w:szCs w:val="24"/>
              </w:rPr>
            </w:pPr>
            <w:r>
              <w:rPr>
                <w:rFonts w:hint="eastAsia" w:ascii="宋体" w:hAnsi="宋体" w:eastAsia="宋体" w:cs="宋体"/>
                <w:kern w:val="0"/>
                <w:sz w:val="24"/>
                <w:szCs w:val="24"/>
              </w:rPr>
              <w:t>支撑杆</w:t>
            </w:r>
          </w:p>
        </w:tc>
        <w:tc>
          <w:tcPr>
            <w:tcW w:w="9271" w:type="dxa"/>
            <w:vAlign w:val="center"/>
          </w:tcPr>
          <w:p w14:paraId="1C0C6B8A">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纯金属支撑杆，可承重40KG </w:t>
            </w:r>
          </w:p>
        </w:tc>
        <w:tc>
          <w:tcPr>
            <w:tcW w:w="915" w:type="dxa"/>
            <w:noWrap/>
            <w:vAlign w:val="center"/>
          </w:tcPr>
          <w:p w14:paraId="2BC6C0F4">
            <w:pPr>
              <w:widowControl/>
              <w:jc w:val="left"/>
              <w:rPr>
                <w:rFonts w:ascii="宋体" w:hAnsi="宋体" w:eastAsia="宋体" w:cs="宋体"/>
                <w:kern w:val="0"/>
                <w:sz w:val="24"/>
                <w:szCs w:val="24"/>
              </w:rPr>
            </w:pPr>
            <w:r>
              <w:rPr>
                <w:rFonts w:hint="eastAsia" w:ascii="宋体" w:hAnsi="宋体" w:eastAsia="宋体" w:cs="宋体"/>
                <w:kern w:val="0"/>
                <w:sz w:val="24"/>
                <w:szCs w:val="24"/>
              </w:rPr>
              <w:t>3</w:t>
            </w:r>
          </w:p>
        </w:tc>
        <w:tc>
          <w:tcPr>
            <w:tcW w:w="975" w:type="dxa"/>
            <w:noWrap/>
            <w:vAlign w:val="center"/>
          </w:tcPr>
          <w:p w14:paraId="6BA78A41">
            <w:pPr>
              <w:widowControl/>
              <w:jc w:val="left"/>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7F71CA9D">
            <w:pPr>
              <w:widowControl/>
              <w:jc w:val="center"/>
              <w:rPr>
                <w:rFonts w:ascii="宋体" w:hAnsi="宋体" w:eastAsia="宋体" w:cs="Times New Roman"/>
                <w:kern w:val="0"/>
                <w:sz w:val="24"/>
                <w:szCs w:val="24"/>
              </w:rPr>
            </w:pPr>
          </w:p>
        </w:tc>
        <w:tc>
          <w:tcPr>
            <w:tcW w:w="857" w:type="dxa"/>
            <w:noWrap/>
            <w:vAlign w:val="center"/>
          </w:tcPr>
          <w:p w14:paraId="2F7A949F">
            <w:pPr>
              <w:widowControl/>
              <w:jc w:val="center"/>
              <w:rPr>
                <w:rFonts w:ascii="宋体" w:hAnsi="宋体" w:eastAsia="宋体" w:cs="Times New Roman"/>
                <w:kern w:val="0"/>
                <w:sz w:val="24"/>
                <w:szCs w:val="24"/>
              </w:rPr>
            </w:pPr>
          </w:p>
        </w:tc>
        <w:tc>
          <w:tcPr>
            <w:tcW w:w="862" w:type="dxa"/>
            <w:noWrap/>
            <w:vAlign w:val="center"/>
          </w:tcPr>
          <w:p w14:paraId="041609E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4166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DCD1356">
            <w:pPr>
              <w:widowControl/>
              <w:jc w:val="center"/>
              <w:rPr>
                <w:rFonts w:ascii="宋体" w:hAnsi="宋体" w:eastAsia="宋体" w:cs="宋体"/>
                <w:kern w:val="0"/>
                <w:sz w:val="24"/>
                <w:szCs w:val="24"/>
              </w:rPr>
            </w:pPr>
            <w:r>
              <w:rPr>
                <w:rFonts w:hint="eastAsia" w:ascii="宋体" w:hAnsi="宋体" w:eastAsia="宋体" w:cs="宋体"/>
                <w:kern w:val="0"/>
                <w:sz w:val="24"/>
                <w:szCs w:val="24"/>
              </w:rPr>
              <w:t>27</w:t>
            </w:r>
          </w:p>
        </w:tc>
        <w:tc>
          <w:tcPr>
            <w:tcW w:w="776" w:type="dxa"/>
            <w:vAlign w:val="center"/>
          </w:tcPr>
          <w:p w14:paraId="4C43A976">
            <w:pPr>
              <w:widowControl/>
              <w:jc w:val="left"/>
              <w:rPr>
                <w:rFonts w:ascii="宋体" w:hAnsi="宋体" w:eastAsia="宋体" w:cs="宋体"/>
                <w:kern w:val="0"/>
                <w:sz w:val="24"/>
                <w:szCs w:val="24"/>
              </w:rPr>
            </w:pPr>
            <w:r>
              <w:rPr>
                <w:rFonts w:hint="eastAsia" w:ascii="宋体" w:hAnsi="宋体" w:eastAsia="宋体" w:cs="宋体"/>
                <w:kern w:val="0"/>
                <w:sz w:val="24"/>
                <w:szCs w:val="24"/>
              </w:rPr>
              <w:t>面光灯</w:t>
            </w:r>
          </w:p>
        </w:tc>
        <w:tc>
          <w:tcPr>
            <w:tcW w:w="9271" w:type="dxa"/>
          </w:tcPr>
          <w:p w14:paraId="76B5CF77">
            <w:pPr>
              <w:widowControl/>
              <w:jc w:val="left"/>
              <w:rPr>
                <w:rFonts w:ascii="宋体" w:hAnsi="宋体" w:eastAsia="宋体" w:cs="宋体"/>
                <w:kern w:val="0"/>
                <w:sz w:val="24"/>
                <w:szCs w:val="24"/>
              </w:rPr>
            </w:pPr>
            <w:r>
              <w:rPr>
                <w:rFonts w:hint="eastAsia" w:ascii="宋体" w:hAnsi="宋体" w:eastAsia="宋体" w:cs="宋体"/>
                <w:kern w:val="0"/>
                <w:sz w:val="24"/>
                <w:szCs w:val="24"/>
              </w:rPr>
              <w:t>光源: 4×50W 暖白 LED</w:t>
            </w:r>
            <w:r>
              <w:rPr>
                <w:rFonts w:hint="eastAsia" w:ascii="宋体" w:hAnsi="宋体" w:eastAsia="宋体" w:cs="宋体"/>
                <w:kern w:val="0"/>
                <w:sz w:val="24"/>
                <w:szCs w:val="24"/>
              </w:rPr>
              <w:br w:type="textWrapping"/>
            </w:r>
            <w:r>
              <w:rPr>
                <w:rFonts w:hint="eastAsia" w:ascii="宋体" w:hAnsi="宋体" w:eastAsia="宋体" w:cs="宋体"/>
                <w:kern w:val="0"/>
                <w:sz w:val="24"/>
                <w:szCs w:val="24"/>
              </w:rPr>
              <w:t>LED 预期使用寿命: 10000 小时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光学系统与效果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先进的光学系统确保完美面光。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光学角度：45°-60°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控制与程序</w:t>
            </w:r>
            <w:r>
              <w:rPr>
                <w:rFonts w:hint="eastAsia" w:ascii="宋体" w:hAnsi="宋体" w:eastAsia="宋体" w:cs="宋体"/>
                <w:kern w:val="0"/>
                <w:sz w:val="24"/>
                <w:szCs w:val="24"/>
              </w:rPr>
              <w:br w:type="textWrapping"/>
            </w:r>
            <w:r>
              <w:rPr>
                <w:rFonts w:hint="eastAsia" w:ascii="宋体" w:hAnsi="宋体" w:eastAsia="宋体" w:cs="宋体"/>
                <w:kern w:val="0"/>
                <w:sz w:val="24"/>
                <w:szCs w:val="24"/>
              </w:rPr>
              <w:t>4个机械按键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控制面板: 数目管 显示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控制模式: RDM,DMX, 主副机，声控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DMX 通道模式: 4/6通道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电气与接口</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自适配电源</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输入电压范围: AC 100-240 V, 50/60 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功率:250W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Power Connector 输入/输出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DMX/RDM 信号输入/输出：三芯卡侬头插座</w:t>
            </w:r>
          </w:p>
        </w:tc>
        <w:tc>
          <w:tcPr>
            <w:tcW w:w="915" w:type="dxa"/>
            <w:noWrap/>
            <w:vAlign w:val="center"/>
          </w:tcPr>
          <w:p w14:paraId="5C4B07B2">
            <w:pPr>
              <w:widowControl/>
              <w:jc w:val="center"/>
              <w:rPr>
                <w:rFonts w:ascii="宋体" w:hAnsi="宋体" w:eastAsia="宋体" w:cs="宋体"/>
                <w:kern w:val="0"/>
                <w:sz w:val="24"/>
                <w:szCs w:val="24"/>
              </w:rPr>
            </w:pPr>
            <w:r>
              <w:rPr>
                <w:rFonts w:hint="eastAsia" w:ascii="宋体" w:hAnsi="宋体" w:eastAsia="宋体" w:cs="宋体"/>
                <w:kern w:val="0"/>
                <w:sz w:val="24"/>
                <w:szCs w:val="24"/>
              </w:rPr>
              <w:t>16</w:t>
            </w:r>
          </w:p>
        </w:tc>
        <w:tc>
          <w:tcPr>
            <w:tcW w:w="975" w:type="dxa"/>
            <w:noWrap/>
            <w:vAlign w:val="center"/>
          </w:tcPr>
          <w:p w14:paraId="42FC6954">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70CB4889">
            <w:pPr>
              <w:widowControl/>
              <w:jc w:val="center"/>
              <w:rPr>
                <w:rFonts w:ascii="宋体" w:hAnsi="宋体" w:eastAsia="宋体" w:cs="Times New Roman"/>
                <w:kern w:val="0"/>
                <w:sz w:val="24"/>
                <w:szCs w:val="24"/>
              </w:rPr>
            </w:pPr>
          </w:p>
        </w:tc>
        <w:tc>
          <w:tcPr>
            <w:tcW w:w="857" w:type="dxa"/>
            <w:noWrap/>
            <w:vAlign w:val="center"/>
          </w:tcPr>
          <w:p w14:paraId="419788A9">
            <w:pPr>
              <w:widowControl/>
              <w:jc w:val="center"/>
              <w:rPr>
                <w:rFonts w:ascii="宋体" w:hAnsi="宋体" w:eastAsia="宋体" w:cs="Times New Roman"/>
                <w:kern w:val="0"/>
                <w:sz w:val="24"/>
                <w:szCs w:val="24"/>
              </w:rPr>
            </w:pPr>
          </w:p>
        </w:tc>
        <w:tc>
          <w:tcPr>
            <w:tcW w:w="862" w:type="dxa"/>
            <w:noWrap/>
            <w:vAlign w:val="center"/>
          </w:tcPr>
          <w:p w14:paraId="1FA63E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78C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39D50441">
            <w:pPr>
              <w:widowControl/>
              <w:jc w:val="center"/>
              <w:rPr>
                <w:rFonts w:ascii="宋体" w:hAnsi="宋体" w:eastAsia="宋体" w:cs="宋体"/>
                <w:kern w:val="0"/>
                <w:sz w:val="24"/>
                <w:szCs w:val="24"/>
              </w:rPr>
            </w:pPr>
            <w:r>
              <w:rPr>
                <w:rFonts w:hint="eastAsia" w:ascii="宋体" w:hAnsi="宋体" w:eastAsia="宋体" w:cs="宋体"/>
                <w:kern w:val="0"/>
                <w:sz w:val="24"/>
                <w:szCs w:val="24"/>
              </w:rPr>
              <w:t>28</w:t>
            </w:r>
          </w:p>
        </w:tc>
        <w:tc>
          <w:tcPr>
            <w:tcW w:w="776" w:type="dxa"/>
            <w:vAlign w:val="center"/>
          </w:tcPr>
          <w:p w14:paraId="390C30F7">
            <w:pPr>
              <w:widowControl/>
              <w:jc w:val="left"/>
              <w:rPr>
                <w:rFonts w:ascii="宋体" w:hAnsi="宋体" w:eastAsia="宋体" w:cs="宋体"/>
                <w:kern w:val="0"/>
                <w:sz w:val="24"/>
                <w:szCs w:val="24"/>
              </w:rPr>
            </w:pPr>
            <w:r>
              <w:rPr>
                <w:rFonts w:hint="eastAsia" w:ascii="宋体" w:hAnsi="宋体" w:eastAsia="宋体" w:cs="宋体"/>
                <w:kern w:val="0"/>
                <w:sz w:val="24"/>
                <w:szCs w:val="24"/>
              </w:rPr>
              <w:t>摇头灯</w:t>
            </w:r>
          </w:p>
        </w:tc>
        <w:tc>
          <w:tcPr>
            <w:tcW w:w="9271" w:type="dxa"/>
          </w:tcPr>
          <w:p w14:paraId="30602D13">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额定电压： AC 100-240V，50-60Hz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额定功率：400W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光源：250W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光源寿命：2000 小时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色温：8200K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双圈灯带：(24+32)*0.2W RGB LEDs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光束角：0-2°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光圈:128MM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显示：液晶显示，中英文界面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控制：自走、DMX512，无线控制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DMX 通道：25 CH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旋转角度：X轴540°，Y轴270°,速度可调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1个色盘，12个颜色+白光, 半色效果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1个固定图案盘，11种图案+白光，高速抖动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棱镜盘: 旋转8 棱镜 +16棱镜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调焦: 电子调焦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雾化： 0-100%的柔光效果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调光：0-100% 线性调光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频闪：频闪频率高达1～13次/秒。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产品尺寸： 360*189*450mm</w:t>
            </w:r>
          </w:p>
        </w:tc>
        <w:tc>
          <w:tcPr>
            <w:tcW w:w="915" w:type="dxa"/>
            <w:noWrap/>
            <w:vAlign w:val="center"/>
          </w:tcPr>
          <w:p w14:paraId="40E38CC8">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975" w:type="dxa"/>
            <w:noWrap/>
            <w:vAlign w:val="center"/>
          </w:tcPr>
          <w:p w14:paraId="5871E87E">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0CB8C7C1">
            <w:pPr>
              <w:widowControl/>
              <w:jc w:val="center"/>
              <w:rPr>
                <w:rFonts w:ascii="宋体" w:hAnsi="宋体" w:eastAsia="宋体" w:cs="Times New Roman"/>
                <w:kern w:val="0"/>
                <w:sz w:val="24"/>
                <w:szCs w:val="24"/>
              </w:rPr>
            </w:pPr>
          </w:p>
        </w:tc>
        <w:tc>
          <w:tcPr>
            <w:tcW w:w="857" w:type="dxa"/>
            <w:noWrap/>
            <w:vAlign w:val="center"/>
          </w:tcPr>
          <w:p w14:paraId="3851AB92">
            <w:pPr>
              <w:widowControl/>
              <w:jc w:val="center"/>
              <w:rPr>
                <w:rFonts w:ascii="宋体" w:hAnsi="宋体" w:eastAsia="宋体" w:cs="Times New Roman"/>
                <w:kern w:val="0"/>
                <w:sz w:val="24"/>
                <w:szCs w:val="24"/>
              </w:rPr>
            </w:pPr>
          </w:p>
        </w:tc>
        <w:tc>
          <w:tcPr>
            <w:tcW w:w="862" w:type="dxa"/>
            <w:noWrap/>
            <w:vAlign w:val="center"/>
          </w:tcPr>
          <w:p w14:paraId="2AF41D9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D35F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131C0B87">
            <w:pPr>
              <w:widowControl/>
              <w:jc w:val="center"/>
              <w:rPr>
                <w:rFonts w:ascii="宋体" w:hAnsi="宋体" w:eastAsia="宋体" w:cs="宋体"/>
                <w:kern w:val="0"/>
                <w:sz w:val="24"/>
                <w:szCs w:val="24"/>
              </w:rPr>
            </w:pPr>
            <w:r>
              <w:rPr>
                <w:rFonts w:hint="eastAsia" w:ascii="宋体" w:hAnsi="宋体" w:eastAsia="宋体" w:cs="宋体"/>
                <w:kern w:val="0"/>
                <w:sz w:val="24"/>
                <w:szCs w:val="24"/>
              </w:rPr>
              <w:t>29</w:t>
            </w:r>
          </w:p>
        </w:tc>
        <w:tc>
          <w:tcPr>
            <w:tcW w:w="776" w:type="dxa"/>
            <w:vAlign w:val="center"/>
          </w:tcPr>
          <w:p w14:paraId="2B3D40D1">
            <w:pPr>
              <w:widowControl/>
              <w:jc w:val="left"/>
              <w:rPr>
                <w:rFonts w:ascii="宋体" w:hAnsi="宋体" w:eastAsia="宋体" w:cs="宋体"/>
                <w:kern w:val="0"/>
                <w:sz w:val="24"/>
                <w:szCs w:val="24"/>
              </w:rPr>
            </w:pPr>
            <w:r>
              <w:rPr>
                <w:rFonts w:hint="eastAsia" w:ascii="宋体" w:hAnsi="宋体" w:eastAsia="宋体" w:cs="宋体"/>
                <w:kern w:val="0"/>
                <w:sz w:val="24"/>
                <w:szCs w:val="24"/>
              </w:rPr>
              <w:t>多功能LED灯</w:t>
            </w:r>
          </w:p>
        </w:tc>
        <w:tc>
          <w:tcPr>
            <w:tcW w:w="9271" w:type="dxa"/>
          </w:tcPr>
          <w:p w14:paraId="55C7C1F6">
            <w:pPr>
              <w:widowControl/>
              <w:jc w:val="left"/>
              <w:rPr>
                <w:rFonts w:ascii="宋体" w:hAnsi="宋体" w:eastAsia="宋体" w:cs="宋体"/>
                <w:kern w:val="0"/>
                <w:sz w:val="24"/>
                <w:szCs w:val="24"/>
              </w:rPr>
            </w:pPr>
            <w:r>
              <w:rPr>
                <w:rFonts w:hint="eastAsia" w:ascii="宋体" w:hAnsi="宋体" w:eastAsia="宋体" w:cs="宋体"/>
                <w:kern w:val="0"/>
                <w:sz w:val="24"/>
                <w:szCs w:val="24"/>
              </w:rPr>
              <w:t>光源：18/24 x 10W RGBW 四合一LED灯珠</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角度：25°~45°可选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通道模式：4/8CH通道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控制模式：DMX,主副机，声控，自走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频闪:独立电子频闪1-25Hz，可随机频闪，脉冲频闪，同步异步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频闪，单色、混色温频闪，速度可调；最慢速：1次/秒 最快速：25次/秒。</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混色效果：8Bit PWM 、RGBW线性混色，1670万种颜色(0-100%饱和度可调)，内置宏功能,无限的RGBW虚拟颜色混色系统,模仿色盘功能，颜色动态彩虹效果</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调光：0-100%独立电子线性调光，8Bit曲线调光模式，让调光换色过程中，无闪烁、抖动，跳变，调光换色更柔和，摄像更清晰真实。</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外观材料：采用高纯度压铸铝，一体压铸成形，散热效果好，灯</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具厚重结实，抗摔击性强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安规等级：电气II级，防火V-1</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信号输入/输出：三芯侬头插座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防护等级：IP20</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物理参数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输入电源：AC 100~240V, 50/60Hz</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功率：200W</w:t>
            </w:r>
          </w:p>
        </w:tc>
        <w:tc>
          <w:tcPr>
            <w:tcW w:w="915" w:type="dxa"/>
            <w:noWrap/>
            <w:vAlign w:val="center"/>
          </w:tcPr>
          <w:p w14:paraId="4AFDCE94">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975" w:type="dxa"/>
            <w:noWrap/>
            <w:vAlign w:val="center"/>
          </w:tcPr>
          <w:p w14:paraId="2A167D4B">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4D76026A">
            <w:pPr>
              <w:widowControl/>
              <w:jc w:val="center"/>
              <w:rPr>
                <w:rFonts w:ascii="宋体" w:hAnsi="宋体" w:eastAsia="宋体" w:cs="Times New Roman"/>
                <w:kern w:val="0"/>
                <w:sz w:val="24"/>
                <w:szCs w:val="24"/>
              </w:rPr>
            </w:pPr>
          </w:p>
        </w:tc>
        <w:tc>
          <w:tcPr>
            <w:tcW w:w="857" w:type="dxa"/>
            <w:noWrap/>
            <w:vAlign w:val="center"/>
          </w:tcPr>
          <w:p w14:paraId="41ECCB9B">
            <w:pPr>
              <w:widowControl/>
              <w:jc w:val="center"/>
              <w:rPr>
                <w:rFonts w:ascii="宋体" w:hAnsi="宋体" w:eastAsia="宋体" w:cs="Times New Roman"/>
                <w:kern w:val="0"/>
                <w:sz w:val="24"/>
                <w:szCs w:val="24"/>
              </w:rPr>
            </w:pPr>
          </w:p>
        </w:tc>
        <w:tc>
          <w:tcPr>
            <w:tcW w:w="862" w:type="dxa"/>
            <w:noWrap/>
            <w:vAlign w:val="center"/>
          </w:tcPr>
          <w:p w14:paraId="6FFF4F9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1B74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4BC4B375">
            <w:pPr>
              <w:widowControl/>
              <w:jc w:val="center"/>
              <w:rPr>
                <w:rFonts w:ascii="宋体" w:hAnsi="宋体" w:eastAsia="宋体" w:cs="宋体"/>
                <w:kern w:val="0"/>
                <w:sz w:val="24"/>
                <w:szCs w:val="24"/>
              </w:rPr>
            </w:pPr>
            <w:r>
              <w:rPr>
                <w:rFonts w:hint="eastAsia" w:ascii="宋体" w:hAnsi="宋体" w:eastAsia="宋体" w:cs="宋体"/>
                <w:kern w:val="0"/>
                <w:sz w:val="24"/>
                <w:szCs w:val="24"/>
              </w:rPr>
              <w:t>30</w:t>
            </w:r>
          </w:p>
        </w:tc>
        <w:tc>
          <w:tcPr>
            <w:tcW w:w="776" w:type="dxa"/>
            <w:vAlign w:val="center"/>
          </w:tcPr>
          <w:p w14:paraId="5CD17C22">
            <w:pPr>
              <w:widowControl/>
              <w:jc w:val="left"/>
              <w:rPr>
                <w:rFonts w:ascii="宋体" w:hAnsi="宋体" w:eastAsia="宋体" w:cs="宋体"/>
                <w:kern w:val="0"/>
                <w:sz w:val="24"/>
                <w:szCs w:val="24"/>
              </w:rPr>
            </w:pPr>
            <w:r>
              <w:rPr>
                <w:rFonts w:hint="eastAsia" w:ascii="宋体" w:hAnsi="宋体" w:eastAsia="宋体" w:cs="宋体"/>
                <w:kern w:val="0"/>
                <w:sz w:val="24"/>
                <w:szCs w:val="24"/>
              </w:rPr>
              <w:t>信号放大器</w:t>
            </w:r>
          </w:p>
        </w:tc>
        <w:tc>
          <w:tcPr>
            <w:tcW w:w="9271" w:type="dxa"/>
          </w:tcPr>
          <w:p w14:paraId="4DC5E020">
            <w:pPr>
              <w:widowControl/>
              <w:jc w:val="left"/>
              <w:rPr>
                <w:rFonts w:ascii="宋体" w:hAnsi="宋体" w:eastAsia="宋体" w:cs="宋体"/>
                <w:kern w:val="0"/>
                <w:sz w:val="24"/>
                <w:szCs w:val="24"/>
              </w:rPr>
            </w:pPr>
            <w:r>
              <w:rPr>
                <w:rFonts w:hint="eastAsia" w:ascii="宋体" w:hAnsi="宋体" w:eastAsia="宋体" w:cs="宋体"/>
                <w:kern w:val="0"/>
                <w:sz w:val="24"/>
                <w:szCs w:val="24"/>
              </w:rPr>
              <w:t>8路DMX信号分配器，二进8出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输出信号接口：采用三芯镀金卡侬母座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输入信号接口：国际标准DMX512信号，</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功能采用最新光电隔离技术，达到国际先进水平，防止高压回流控制台，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提高调光控制系统的安全性，稳定性及可靠性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输入输出每路都是采用独立的变压器供电，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及独立的八个光电隔离信号放大来扩大DMX</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信号输出，放大功能可以令连接延长超过标准的DMX512长度，</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独立输出功能有效提高</w:t>
            </w:r>
          </w:p>
        </w:tc>
        <w:tc>
          <w:tcPr>
            <w:tcW w:w="915" w:type="dxa"/>
            <w:noWrap/>
            <w:vAlign w:val="center"/>
          </w:tcPr>
          <w:p w14:paraId="233AD5C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7304588C">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6F190F1D">
            <w:pPr>
              <w:widowControl/>
              <w:jc w:val="center"/>
              <w:rPr>
                <w:rFonts w:ascii="宋体" w:hAnsi="宋体" w:eastAsia="宋体" w:cs="Times New Roman"/>
                <w:kern w:val="0"/>
                <w:sz w:val="24"/>
                <w:szCs w:val="24"/>
              </w:rPr>
            </w:pPr>
          </w:p>
        </w:tc>
        <w:tc>
          <w:tcPr>
            <w:tcW w:w="857" w:type="dxa"/>
            <w:noWrap/>
            <w:vAlign w:val="center"/>
          </w:tcPr>
          <w:p w14:paraId="2BF8AB21">
            <w:pPr>
              <w:widowControl/>
              <w:jc w:val="center"/>
              <w:rPr>
                <w:rFonts w:ascii="宋体" w:hAnsi="宋体" w:eastAsia="宋体" w:cs="Times New Roman"/>
                <w:kern w:val="0"/>
                <w:sz w:val="24"/>
                <w:szCs w:val="24"/>
              </w:rPr>
            </w:pPr>
          </w:p>
        </w:tc>
        <w:tc>
          <w:tcPr>
            <w:tcW w:w="862" w:type="dxa"/>
            <w:noWrap/>
            <w:vAlign w:val="center"/>
          </w:tcPr>
          <w:p w14:paraId="0773AE15">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1281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01DF3637">
            <w:pPr>
              <w:widowControl/>
              <w:jc w:val="center"/>
              <w:rPr>
                <w:rFonts w:ascii="宋体" w:hAnsi="宋体" w:eastAsia="宋体" w:cs="宋体"/>
                <w:kern w:val="0"/>
                <w:sz w:val="24"/>
                <w:szCs w:val="24"/>
              </w:rPr>
            </w:pPr>
            <w:r>
              <w:rPr>
                <w:rFonts w:hint="eastAsia" w:ascii="宋体" w:hAnsi="宋体" w:eastAsia="宋体" w:cs="宋体"/>
                <w:kern w:val="0"/>
                <w:sz w:val="24"/>
                <w:szCs w:val="24"/>
              </w:rPr>
              <w:t>31</w:t>
            </w:r>
          </w:p>
        </w:tc>
        <w:tc>
          <w:tcPr>
            <w:tcW w:w="776" w:type="dxa"/>
            <w:vAlign w:val="center"/>
          </w:tcPr>
          <w:p w14:paraId="33E190F1">
            <w:pPr>
              <w:widowControl/>
              <w:jc w:val="left"/>
              <w:rPr>
                <w:rFonts w:ascii="宋体" w:hAnsi="宋体" w:eastAsia="宋体" w:cs="宋体"/>
                <w:kern w:val="0"/>
                <w:sz w:val="24"/>
                <w:szCs w:val="24"/>
              </w:rPr>
            </w:pPr>
            <w:r>
              <w:rPr>
                <w:rFonts w:hint="eastAsia" w:ascii="宋体" w:hAnsi="宋体" w:eastAsia="宋体" w:cs="宋体"/>
                <w:kern w:val="0"/>
                <w:sz w:val="24"/>
                <w:szCs w:val="24"/>
              </w:rPr>
              <w:t>12路电源直通箱</w:t>
            </w:r>
          </w:p>
        </w:tc>
        <w:tc>
          <w:tcPr>
            <w:tcW w:w="9271" w:type="dxa"/>
          </w:tcPr>
          <w:p w14:paraId="15AFA5BD">
            <w:pPr>
              <w:widowControl/>
              <w:jc w:val="left"/>
              <w:rPr>
                <w:rFonts w:ascii="宋体" w:hAnsi="宋体" w:eastAsia="宋体" w:cs="宋体"/>
                <w:kern w:val="0"/>
                <w:sz w:val="24"/>
                <w:szCs w:val="24"/>
              </w:rPr>
            </w:pPr>
            <w:r>
              <w:rPr>
                <w:rFonts w:hint="eastAsia" w:ascii="宋体" w:hAnsi="宋体" w:eastAsia="宋体" w:cs="宋体"/>
                <w:kern w:val="0"/>
                <w:sz w:val="24"/>
                <w:szCs w:val="24"/>
              </w:rPr>
              <w:t>电压输入：AC380V±10％,50Hz±5％,端子接线座后板</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额定功率 : 12路×4KW，每个回路最大输出功率可达4KW</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外形尺寸 : 3U</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正常工作条件 : 环境温度：0℃～+45℃，</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相对湿度：+40%～+80% ，</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大气压强：0.8～1.6个标准大气压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工作环境 : 通风良好，无大量烟尘</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包装尺寸 : 550长×550长×200mm</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产品重量 : 12KG</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功能简介</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产品特点 : 简洁明朗的数显直读式电压表；可自锁可过大电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流，交错零火的犀牛插供电。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功能 : 设有总开关,过载与短路双重保护高分断空气开关；三</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相独立电压检测。监测：三相A.B.C指示灯指示。</w:t>
            </w:r>
          </w:p>
        </w:tc>
        <w:tc>
          <w:tcPr>
            <w:tcW w:w="915" w:type="dxa"/>
            <w:noWrap/>
            <w:vAlign w:val="center"/>
          </w:tcPr>
          <w:p w14:paraId="1F2AA39E">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2F0068E2">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7EC08ABF">
            <w:pPr>
              <w:widowControl/>
              <w:jc w:val="center"/>
              <w:rPr>
                <w:rFonts w:ascii="宋体" w:hAnsi="宋体" w:eastAsia="宋体" w:cs="Times New Roman"/>
                <w:kern w:val="0"/>
                <w:sz w:val="24"/>
                <w:szCs w:val="24"/>
              </w:rPr>
            </w:pPr>
          </w:p>
        </w:tc>
        <w:tc>
          <w:tcPr>
            <w:tcW w:w="857" w:type="dxa"/>
            <w:noWrap/>
            <w:vAlign w:val="center"/>
          </w:tcPr>
          <w:p w14:paraId="64DA2E9A">
            <w:pPr>
              <w:widowControl/>
              <w:jc w:val="center"/>
              <w:rPr>
                <w:rFonts w:ascii="宋体" w:hAnsi="宋体" w:eastAsia="宋体" w:cs="Times New Roman"/>
                <w:kern w:val="0"/>
                <w:sz w:val="24"/>
                <w:szCs w:val="24"/>
              </w:rPr>
            </w:pPr>
          </w:p>
        </w:tc>
        <w:tc>
          <w:tcPr>
            <w:tcW w:w="862" w:type="dxa"/>
            <w:noWrap/>
            <w:vAlign w:val="center"/>
          </w:tcPr>
          <w:p w14:paraId="331AFD4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B3F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2" w:type="dxa"/>
            <w:noWrap/>
            <w:vAlign w:val="center"/>
          </w:tcPr>
          <w:p w14:paraId="6E7BF9CC">
            <w:pPr>
              <w:widowControl/>
              <w:jc w:val="center"/>
              <w:rPr>
                <w:rFonts w:ascii="宋体" w:hAnsi="宋体" w:eastAsia="宋体" w:cs="宋体"/>
                <w:kern w:val="0"/>
                <w:sz w:val="24"/>
                <w:szCs w:val="24"/>
              </w:rPr>
            </w:pPr>
            <w:r>
              <w:rPr>
                <w:rFonts w:hint="eastAsia" w:ascii="宋体" w:hAnsi="宋体" w:eastAsia="宋体" w:cs="宋体"/>
                <w:kern w:val="0"/>
                <w:sz w:val="24"/>
                <w:szCs w:val="24"/>
              </w:rPr>
              <w:t>32</w:t>
            </w:r>
          </w:p>
        </w:tc>
        <w:tc>
          <w:tcPr>
            <w:tcW w:w="776" w:type="dxa"/>
            <w:vAlign w:val="center"/>
          </w:tcPr>
          <w:p w14:paraId="412E6F4C">
            <w:pPr>
              <w:widowControl/>
              <w:jc w:val="left"/>
              <w:rPr>
                <w:rFonts w:ascii="宋体" w:hAnsi="宋体" w:eastAsia="宋体" w:cs="宋体"/>
                <w:kern w:val="0"/>
                <w:sz w:val="24"/>
                <w:szCs w:val="24"/>
              </w:rPr>
            </w:pPr>
            <w:r>
              <w:rPr>
                <w:rFonts w:hint="eastAsia" w:ascii="宋体" w:hAnsi="宋体" w:eastAsia="宋体" w:cs="宋体"/>
                <w:kern w:val="0"/>
                <w:sz w:val="24"/>
                <w:szCs w:val="24"/>
              </w:rPr>
              <w:t>灯光控制台</w:t>
            </w:r>
          </w:p>
        </w:tc>
        <w:tc>
          <w:tcPr>
            <w:tcW w:w="9271" w:type="dxa"/>
          </w:tcPr>
          <w:p w14:paraId="514720AA">
            <w:pPr>
              <w:widowControl/>
              <w:jc w:val="left"/>
              <w:rPr>
                <w:rFonts w:ascii="宋体" w:hAnsi="宋体" w:eastAsia="宋体" w:cs="宋体"/>
                <w:kern w:val="0"/>
                <w:sz w:val="24"/>
                <w:szCs w:val="24"/>
              </w:rPr>
            </w:pPr>
            <w:r>
              <w:rPr>
                <w:rFonts w:hint="eastAsia" w:ascii="宋体" w:hAnsi="宋体" w:eastAsia="宋体" w:cs="宋体"/>
                <w:kern w:val="0"/>
                <w:sz w:val="24"/>
                <w:szCs w:val="24"/>
              </w:rPr>
              <w:t>最大1024个控制通道，光电隔离信号输出。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最大控制96台电脑灯或96路调光，使用珍珠灯库。</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内置图形轨迹发生器，有135个内置图形，方便用户对电脑灯进行图形轨迹控制，</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如画圆、螺旋、彩虹、追逐等多种效果。图形参数（如：振幅、速度、间隔、</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波浪、方向）均可独立设置。</w:t>
            </w:r>
            <w:r>
              <w:rPr>
                <w:rFonts w:hint="eastAsia" w:ascii="宋体" w:hAnsi="宋体" w:eastAsia="宋体" w:cs="宋体"/>
                <w:kern w:val="0"/>
                <w:sz w:val="24"/>
                <w:szCs w:val="24"/>
              </w:rPr>
              <w:br w:type="textWrapping"/>
            </w:r>
            <w:r>
              <w:rPr>
                <w:rFonts w:hint="eastAsia" w:ascii="宋体" w:hAnsi="宋体" w:eastAsia="宋体" w:cs="宋体"/>
                <w:kern w:val="0"/>
                <w:sz w:val="24"/>
                <w:szCs w:val="24"/>
              </w:rPr>
              <w:t>控台自带编写灯库功能。</w:t>
            </w:r>
            <w:r>
              <w:rPr>
                <w:rFonts w:hint="eastAsia" w:ascii="宋体" w:hAnsi="宋体" w:eastAsia="宋体" w:cs="宋体"/>
                <w:kern w:val="0"/>
                <w:sz w:val="24"/>
                <w:szCs w:val="24"/>
              </w:rPr>
              <w:br w:type="textWrapping"/>
            </w:r>
            <w:r>
              <w:rPr>
                <w:rFonts w:hint="eastAsia" w:ascii="宋体" w:hAnsi="宋体" w:eastAsia="宋体" w:cs="宋体"/>
                <w:kern w:val="0"/>
                <w:sz w:val="24"/>
                <w:szCs w:val="24"/>
              </w:rPr>
              <w:t>60个重演场景，用于储存多步场景和单步场景。多步场景最多可储存600步。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带背光的LCD显示屏，中英文显示</w:t>
            </w:r>
            <w:r>
              <w:rPr>
                <w:rFonts w:hint="eastAsia" w:ascii="宋体" w:hAnsi="宋体" w:eastAsia="宋体" w:cs="宋体"/>
                <w:kern w:val="0"/>
                <w:sz w:val="24"/>
                <w:szCs w:val="24"/>
              </w:rPr>
              <w:br w:type="textWrapping"/>
            </w:r>
            <w:r>
              <w:rPr>
                <w:rFonts w:hint="eastAsia" w:ascii="宋体" w:hAnsi="宋体" w:eastAsia="宋体" w:cs="宋体"/>
                <w:kern w:val="0"/>
                <w:sz w:val="24"/>
                <w:szCs w:val="24"/>
              </w:rPr>
              <w:t>关机数据保持。</w:t>
            </w:r>
            <w:r>
              <w:rPr>
                <w:rFonts w:hint="eastAsia" w:ascii="宋体" w:hAnsi="宋体" w:eastAsia="宋体" w:cs="宋体"/>
                <w:kern w:val="0"/>
                <w:sz w:val="24"/>
                <w:szCs w:val="24"/>
              </w:rPr>
              <w:br w:type="textWrapping"/>
            </w:r>
            <w:r>
              <w:rPr>
                <w:rFonts w:hint="eastAsia" w:ascii="宋体" w:hAnsi="宋体" w:eastAsia="宋体" w:cs="宋体"/>
                <w:kern w:val="0"/>
                <w:sz w:val="24"/>
                <w:szCs w:val="24"/>
              </w:rPr>
              <w:t>U盘备份和升级。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专业鹅颈工作灯，适合室内外演出使用。</w:t>
            </w:r>
          </w:p>
        </w:tc>
        <w:tc>
          <w:tcPr>
            <w:tcW w:w="915" w:type="dxa"/>
            <w:noWrap/>
            <w:vAlign w:val="center"/>
          </w:tcPr>
          <w:p w14:paraId="175C979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noWrap/>
            <w:vAlign w:val="center"/>
          </w:tcPr>
          <w:p w14:paraId="0FA5779D">
            <w:pPr>
              <w:widowControl/>
              <w:jc w:val="center"/>
              <w:rPr>
                <w:rFonts w:ascii="宋体" w:hAnsi="宋体" w:eastAsia="宋体" w:cs="宋体"/>
                <w:kern w:val="0"/>
                <w:sz w:val="24"/>
                <w:szCs w:val="24"/>
              </w:rPr>
            </w:pPr>
            <w:r>
              <w:rPr>
                <w:rFonts w:hint="eastAsia" w:ascii="宋体" w:hAnsi="宋体" w:eastAsia="宋体" w:cs="宋体"/>
                <w:kern w:val="0"/>
                <w:sz w:val="24"/>
                <w:szCs w:val="24"/>
              </w:rPr>
              <w:t>台</w:t>
            </w:r>
          </w:p>
        </w:tc>
        <w:tc>
          <w:tcPr>
            <w:tcW w:w="891" w:type="dxa"/>
            <w:noWrap/>
            <w:vAlign w:val="center"/>
          </w:tcPr>
          <w:p w14:paraId="7207C225">
            <w:pPr>
              <w:widowControl/>
              <w:jc w:val="center"/>
              <w:rPr>
                <w:rFonts w:ascii="宋体" w:hAnsi="宋体" w:eastAsia="宋体" w:cs="Times New Roman"/>
                <w:kern w:val="0"/>
                <w:sz w:val="24"/>
                <w:szCs w:val="24"/>
              </w:rPr>
            </w:pPr>
          </w:p>
        </w:tc>
        <w:tc>
          <w:tcPr>
            <w:tcW w:w="857" w:type="dxa"/>
            <w:noWrap/>
            <w:vAlign w:val="center"/>
          </w:tcPr>
          <w:p w14:paraId="3FE7F493">
            <w:pPr>
              <w:widowControl/>
              <w:jc w:val="center"/>
              <w:rPr>
                <w:rFonts w:ascii="宋体" w:hAnsi="宋体" w:eastAsia="宋体" w:cs="Times New Roman"/>
                <w:kern w:val="0"/>
                <w:sz w:val="24"/>
                <w:szCs w:val="24"/>
              </w:rPr>
            </w:pPr>
          </w:p>
        </w:tc>
        <w:tc>
          <w:tcPr>
            <w:tcW w:w="862" w:type="dxa"/>
            <w:noWrap/>
            <w:vAlign w:val="center"/>
          </w:tcPr>
          <w:p w14:paraId="7AC03D5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1CB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5793AFC2">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776" w:type="dxa"/>
            <w:vAlign w:val="center"/>
          </w:tcPr>
          <w:p w14:paraId="3CDE5EB4">
            <w:pPr>
              <w:widowControl/>
              <w:jc w:val="left"/>
              <w:rPr>
                <w:rFonts w:ascii="宋体" w:hAnsi="宋体" w:eastAsia="宋体" w:cs="宋体"/>
                <w:kern w:val="0"/>
                <w:sz w:val="24"/>
                <w:szCs w:val="24"/>
              </w:rPr>
            </w:pPr>
            <w:r>
              <w:rPr>
                <w:rFonts w:hint="eastAsia" w:ascii="宋体" w:hAnsi="宋体" w:eastAsia="宋体" w:cs="宋体"/>
                <w:kern w:val="0"/>
                <w:sz w:val="24"/>
                <w:szCs w:val="24"/>
              </w:rPr>
              <w:t>灯钩</w:t>
            </w:r>
          </w:p>
        </w:tc>
        <w:tc>
          <w:tcPr>
            <w:tcW w:w="9271" w:type="dxa"/>
            <w:vAlign w:val="center"/>
          </w:tcPr>
          <w:p w14:paraId="7498649F">
            <w:pPr>
              <w:widowControl/>
              <w:jc w:val="left"/>
              <w:rPr>
                <w:rFonts w:ascii="宋体" w:hAnsi="宋体" w:eastAsia="宋体" w:cs="宋体"/>
                <w:kern w:val="0"/>
                <w:sz w:val="24"/>
                <w:szCs w:val="24"/>
              </w:rPr>
            </w:pPr>
            <w:r>
              <w:rPr>
                <w:rFonts w:hint="eastAsia" w:ascii="宋体" w:hAnsi="宋体" w:eastAsia="宋体" w:cs="宋体"/>
                <w:kern w:val="0"/>
                <w:sz w:val="24"/>
                <w:szCs w:val="24"/>
              </w:rPr>
              <w:t>高强度铝合金，栓规格为M10*70  单个可承重50KG</w:t>
            </w:r>
          </w:p>
        </w:tc>
        <w:tc>
          <w:tcPr>
            <w:tcW w:w="915" w:type="dxa"/>
            <w:noWrap/>
            <w:vAlign w:val="center"/>
          </w:tcPr>
          <w:p w14:paraId="13F414C9">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975" w:type="dxa"/>
            <w:noWrap/>
            <w:vAlign w:val="center"/>
          </w:tcPr>
          <w:p w14:paraId="5A4A75BD">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3DA7E643">
            <w:pPr>
              <w:widowControl/>
              <w:jc w:val="center"/>
              <w:rPr>
                <w:rFonts w:ascii="宋体" w:hAnsi="宋体" w:eastAsia="宋体" w:cs="Times New Roman"/>
                <w:kern w:val="0"/>
                <w:sz w:val="24"/>
                <w:szCs w:val="24"/>
              </w:rPr>
            </w:pPr>
          </w:p>
        </w:tc>
        <w:tc>
          <w:tcPr>
            <w:tcW w:w="857" w:type="dxa"/>
            <w:noWrap/>
            <w:vAlign w:val="center"/>
          </w:tcPr>
          <w:p w14:paraId="1A8C485C">
            <w:pPr>
              <w:widowControl/>
              <w:jc w:val="center"/>
              <w:rPr>
                <w:rFonts w:ascii="宋体" w:hAnsi="宋体" w:eastAsia="宋体" w:cs="Times New Roman"/>
                <w:kern w:val="0"/>
                <w:sz w:val="24"/>
                <w:szCs w:val="24"/>
              </w:rPr>
            </w:pPr>
          </w:p>
        </w:tc>
        <w:tc>
          <w:tcPr>
            <w:tcW w:w="862" w:type="dxa"/>
            <w:noWrap/>
            <w:vAlign w:val="center"/>
          </w:tcPr>
          <w:p w14:paraId="691146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72F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37B207FE">
            <w:pPr>
              <w:widowControl/>
              <w:jc w:val="center"/>
              <w:rPr>
                <w:rFonts w:ascii="宋体" w:hAnsi="宋体" w:eastAsia="宋体" w:cs="宋体"/>
                <w:kern w:val="0"/>
                <w:sz w:val="24"/>
                <w:szCs w:val="24"/>
              </w:rPr>
            </w:pPr>
            <w:r>
              <w:rPr>
                <w:rFonts w:hint="eastAsia" w:ascii="宋体" w:hAnsi="宋体" w:eastAsia="宋体" w:cs="宋体"/>
                <w:kern w:val="0"/>
                <w:sz w:val="24"/>
                <w:szCs w:val="24"/>
              </w:rPr>
              <w:t>34</w:t>
            </w:r>
          </w:p>
        </w:tc>
        <w:tc>
          <w:tcPr>
            <w:tcW w:w="776" w:type="dxa"/>
            <w:vAlign w:val="center"/>
          </w:tcPr>
          <w:p w14:paraId="7C88BE97">
            <w:pPr>
              <w:widowControl/>
              <w:jc w:val="left"/>
              <w:rPr>
                <w:rFonts w:ascii="宋体" w:hAnsi="宋体" w:eastAsia="宋体" w:cs="宋体"/>
                <w:kern w:val="0"/>
                <w:sz w:val="24"/>
                <w:szCs w:val="24"/>
              </w:rPr>
            </w:pPr>
            <w:r>
              <w:rPr>
                <w:rFonts w:hint="eastAsia" w:ascii="宋体" w:hAnsi="宋体" w:eastAsia="宋体" w:cs="宋体"/>
                <w:kern w:val="0"/>
                <w:sz w:val="24"/>
                <w:szCs w:val="24"/>
              </w:rPr>
              <w:t>保险绳</w:t>
            </w:r>
          </w:p>
        </w:tc>
        <w:tc>
          <w:tcPr>
            <w:tcW w:w="9271" w:type="dxa"/>
            <w:vAlign w:val="center"/>
          </w:tcPr>
          <w:p w14:paraId="67CB97B5">
            <w:pPr>
              <w:widowControl/>
              <w:jc w:val="left"/>
              <w:rPr>
                <w:rFonts w:ascii="宋体" w:hAnsi="宋体" w:eastAsia="宋体" w:cs="宋体"/>
                <w:kern w:val="0"/>
                <w:sz w:val="24"/>
                <w:szCs w:val="24"/>
              </w:rPr>
            </w:pPr>
            <w:r>
              <w:rPr>
                <w:rFonts w:hint="eastAsia" w:ascii="宋体" w:hAnsi="宋体" w:eastAsia="宋体" w:cs="宋体"/>
                <w:kern w:val="0"/>
                <w:sz w:val="24"/>
                <w:szCs w:val="24"/>
              </w:rPr>
              <w:t>不锈钢钢丝绳，U型镀锌卡头</w:t>
            </w:r>
          </w:p>
        </w:tc>
        <w:tc>
          <w:tcPr>
            <w:tcW w:w="915" w:type="dxa"/>
            <w:noWrap/>
            <w:vAlign w:val="center"/>
          </w:tcPr>
          <w:p w14:paraId="40F4AE2C">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975" w:type="dxa"/>
            <w:noWrap/>
            <w:vAlign w:val="center"/>
          </w:tcPr>
          <w:p w14:paraId="15353F78">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91" w:type="dxa"/>
            <w:noWrap/>
            <w:vAlign w:val="center"/>
          </w:tcPr>
          <w:p w14:paraId="6AA77918">
            <w:pPr>
              <w:widowControl/>
              <w:jc w:val="center"/>
              <w:rPr>
                <w:rFonts w:ascii="宋体" w:hAnsi="宋体" w:eastAsia="宋体" w:cs="Times New Roman"/>
                <w:kern w:val="0"/>
                <w:sz w:val="24"/>
                <w:szCs w:val="24"/>
              </w:rPr>
            </w:pPr>
          </w:p>
        </w:tc>
        <w:tc>
          <w:tcPr>
            <w:tcW w:w="857" w:type="dxa"/>
            <w:noWrap/>
            <w:vAlign w:val="center"/>
          </w:tcPr>
          <w:p w14:paraId="65CF873E">
            <w:pPr>
              <w:widowControl/>
              <w:jc w:val="center"/>
              <w:rPr>
                <w:rFonts w:ascii="宋体" w:hAnsi="宋体" w:eastAsia="宋体" w:cs="Times New Roman"/>
                <w:kern w:val="0"/>
                <w:sz w:val="24"/>
                <w:szCs w:val="24"/>
              </w:rPr>
            </w:pPr>
          </w:p>
        </w:tc>
        <w:tc>
          <w:tcPr>
            <w:tcW w:w="862" w:type="dxa"/>
            <w:noWrap/>
            <w:vAlign w:val="center"/>
          </w:tcPr>
          <w:p w14:paraId="508BC33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A927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580ECBF6">
            <w:pPr>
              <w:widowControl/>
              <w:jc w:val="center"/>
              <w:rPr>
                <w:rFonts w:ascii="宋体" w:hAnsi="宋体" w:eastAsia="宋体" w:cs="宋体"/>
                <w:kern w:val="0"/>
                <w:sz w:val="24"/>
                <w:szCs w:val="24"/>
              </w:rPr>
            </w:pPr>
            <w:r>
              <w:rPr>
                <w:rFonts w:hint="eastAsia" w:ascii="宋体" w:hAnsi="宋体" w:eastAsia="宋体" w:cs="宋体"/>
                <w:kern w:val="0"/>
                <w:sz w:val="24"/>
                <w:szCs w:val="24"/>
              </w:rPr>
              <w:t>35</w:t>
            </w:r>
          </w:p>
        </w:tc>
        <w:tc>
          <w:tcPr>
            <w:tcW w:w="776" w:type="dxa"/>
            <w:vAlign w:val="center"/>
          </w:tcPr>
          <w:p w14:paraId="0C342C29">
            <w:pPr>
              <w:widowControl/>
              <w:jc w:val="left"/>
              <w:rPr>
                <w:rFonts w:ascii="宋体" w:hAnsi="宋体" w:eastAsia="宋体" w:cs="宋体"/>
                <w:kern w:val="0"/>
                <w:sz w:val="24"/>
                <w:szCs w:val="24"/>
              </w:rPr>
            </w:pPr>
            <w:r>
              <w:rPr>
                <w:rFonts w:hint="eastAsia" w:ascii="宋体" w:hAnsi="宋体" w:eastAsia="宋体" w:cs="宋体"/>
                <w:kern w:val="0"/>
                <w:sz w:val="24"/>
                <w:szCs w:val="24"/>
              </w:rPr>
              <w:t>灯杆</w:t>
            </w:r>
          </w:p>
        </w:tc>
        <w:tc>
          <w:tcPr>
            <w:tcW w:w="9271" w:type="dxa"/>
            <w:vAlign w:val="center"/>
          </w:tcPr>
          <w:p w14:paraId="115AA28A">
            <w:pPr>
              <w:widowControl/>
              <w:jc w:val="left"/>
              <w:rPr>
                <w:rFonts w:ascii="宋体" w:hAnsi="宋体" w:eastAsia="宋体" w:cs="宋体"/>
                <w:kern w:val="0"/>
                <w:sz w:val="24"/>
                <w:szCs w:val="24"/>
              </w:rPr>
            </w:pPr>
            <w:r>
              <w:rPr>
                <w:rFonts w:hint="eastAsia" w:ascii="宋体" w:hAnsi="宋体" w:eastAsia="宋体" w:cs="宋体"/>
                <w:kern w:val="0"/>
                <w:sz w:val="24"/>
                <w:szCs w:val="24"/>
              </w:rPr>
              <w:t>规格50*50，金属材质，国标，长8米，现场焊接</w:t>
            </w:r>
          </w:p>
        </w:tc>
        <w:tc>
          <w:tcPr>
            <w:tcW w:w="915" w:type="dxa"/>
            <w:noWrap/>
            <w:vAlign w:val="center"/>
          </w:tcPr>
          <w:p w14:paraId="3358EDF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75" w:type="dxa"/>
            <w:noWrap/>
            <w:vAlign w:val="center"/>
          </w:tcPr>
          <w:p w14:paraId="0FFE68BE">
            <w:pPr>
              <w:widowControl/>
              <w:jc w:val="center"/>
              <w:rPr>
                <w:rFonts w:ascii="宋体" w:hAnsi="宋体" w:eastAsia="宋体" w:cs="宋体"/>
                <w:kern w:val="0"/>
                <w:sz w:val="24"/>
                <w:szCs w:val="24"/>
              </w:rPr>
            </w:pPr>
            <w:r>
              <w:rPr>
                <w:rFonts w:hint="eastAsia" w:ascii="宋体" w:hAnsi="宋体" w:eastAsia="宋体" w:cs="宋体"/>
                <w:kern w:val="0"/>
                <w:sz w:val="24"/>
                <w:szCs w:val="24"/>
              </w:rPr>
              <w:t>根</w:t>
            </w:r>
          </w:p>
        </w:tc>
        <w:tc>
          <w:tcPr>
            <w:tcW w:w="891" w:type="dxa"/>
            <w:noWrap/>
            <w:vAlign w:val="center"/>
          </w:tcPr>
          <w:p w14:paraId="2B1E6AC1">
            <w:pPr>
              <w:widowControl/>
              <w:jc w:val="center"/>
              <w:rPr>
                <w:rFonts w:ascii="宋体" w:hAnsi="宋体" w:eastAsia="宋体" w:cs="Times New Roman"/>
                <w:kern w:val="0"/>
                <w:sz w:val="24"/>
                <w:szCs w:val="24"/>
              </w:rPr>
            </w:pPr>
          </w:p>
        </w:tc>
        <w:tc>
          <w:tcPr>
            <w:tcW w:w="857" w:type="dxa"/>
            <w:noWrap/>
            <w:vAlign w:val="center"/>
          </w:tcPr>
          <w:p w14:paraId="51907EB0">
            <w:pPr>
              <w:widowControl/>
              <w:jc w:val="center"/>
              <w:rPr>
                <w:rFonts w:ascii="宋体" w:hAnsi="宋体" w:eastAsia="宋体" w:cs="Times New Roman"/>
                <w:kern w:val="0"/>
                <w:sz w:val="24"/>
                <w:szCs w:val="24"/>
              </w:rPr>
            </w:pPr>
          </w:p>
        </w:tc>
        <w:tc>
          <w:tcPr>
            <w:tcW w:w="862" w:type="dxa"/>
            <w:noWrap/>
            <w:vAlign w:val="center"/>
          </w:tcPr>
          <w:p w14:paraId="0CF73F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7A2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252D0201">
            <w:pPr>
              <w:widowControl/>
              <w:jc w:val="center"/>
              <w:rPr>
                <w:rFonts w:ascii="宋体" w:hAnsi="宋体" w:eastAsia="宋体" w:cs="宋体"/>
                <w:kern w:val="0"/>
                <w:sz w:val="24"/>
                <w:szCs w:val="24"/>
              </w:rPr>
            </w:pPr>
            <w:r>
              <w:rPr>
                <w:rFonts w:hint="eastAsia" w:ascii="宋体" w:hAnsi="宋体" w:eastAsia="宋体" w:cs="宋体"/>
                <w:kern w:val="0"/>
                <w:sz w:val="24"/>
                <w:szCs w:val="24"/>
              </w:rPr>
              <w:t>36</w:t>
            </w:r>
          </w:p>
        </w:tc>
        <w:tc>
          <w:tcPr>
            <w:tcW w:w="776" w:type="dxa"/>
            <w:vAlign w:val="center"/>
          </w:tcPr>
          <w:p w14:paraId="0F518B55">
            <w:pPr>
              <w:widowControl/>
              <w:jc w:val="left"/>
              <w:rPr>
                <w:rFonts w:ascii="宋体" w:hAnsi="宋体" w:eastAsia="宋体" w:cs="宋体"/>
                <w:kern w:val="0"/>
                <w:sz w:val="24"/>
                <w:szCs w:val="24"/>
              </w:rPr>
            </w:pPr>
            <w:r>
              <w:rPr>
                <w:rFonts w:hint="eastAsia" w:ascii="宋体" w:hAnsi="宋体" w:eastAsia="宋体" w:cs="宋体"/>
                <w:kern w:val="0"/>
                <w:sz w:val="24"/>
                <w:szCs w:val="24"/>
              </w:rPr>
              <w:t>灯具室外防护罩</w:t>
            </w:r>
          </w:p>
        </w:tc>
        <w:tc>
          <w:tcPr>
            <w:tcW w:w="9271" w:type="dxa"/>
            <w:vAlign w:val="center"/>
          </w:tcPr>
          <w:p w14:paraId="596440F4">
            <w:pPr>
              <w:widowControl/>
              <w:jc w:val="left"/>
              <w:rPr>
                <w:rFonts w:ascii="宋体" w:hAnsi="宋体" w:eastAsia="宋体" w:cs="宋体"/>
                <w:kern w:val="0"/>
                <w:sz w:val="24"/>
                <w:szCs w:val="24"/>
              </w:rPr>
            </w:pPr>
            <w:r>
              <w:rPr>
                <w:rFonts w:hint="eastAsia" w:ascii="宋体" w:hAnsi="宋体" w:eastAsia="宋体" w:cs="宋体"/>
                <w:kern w:val="0"/>
                <w:sz w:val="24"/>
                <w:szCs w:val="24"/>
              </w:rPr>
              <w:t>根据灯的尺寸，定制</w:t>
            </w:r>
          </w:p>
        </w:tc>
        <w:tc>
          <w:tcPr>
            <w:tcW w:w="915" w:type="dxa"/>
            <w:noWrap/>
            <w:vAlign w:val="center"/>
          </w:tcPr>
          <w:p w14:paraId="718B9309">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975" w:type="dxa"/>
            <w:noWrap/>
            <w:vAlign w:val="center"/>
          </w:tcPr>
          <w:p w14:paraId="4F4E77F1">
            <w:pPr>
              <w:widowControl/>
              <w:jc w:val="center"/>
              <w:rPr>
                <w:rFonts w:ascii="宋体" w:hAnsi="宋体" w:eastAsia="宋体" w:cs="宋体"/>
                <w:kern w:val="0"/>
                <w:sz w:val="24"/>
                <w:szCs w:val="24"/>
              </w:rPr>
            </w:pPr>
            <w:r>
              <w:rPr>
                <w:rFonts w:hint="eastAsia" w:ascii="宋体" w:hAnsi="宋体" w:eastAsia="宋体" w:cs="宋体"/>
                <w:kern w:val="0"/>
                <w:sz w:val="24"/>
                <w:szCs w:val="24"/>
              </w:rPr>
              <w:t>个</w:t>
            </w:r>
          </w:p>
        </w:tc>
        <w:tc>
          <w:tcPr>
            <w:tcW w:w="891" w:type="dxa"/>
            <w:noWrap/>
            <w:vAlign w:val="center"/>
          </w:tcPr>
          <w:p w14:paraId="55905058">
            <w:pPr>
              <w:widowControl/>
              <w:jc w:val="center"/>
              <w:rPr>
                <w:rFonts w:ascii="宋体" w:hAnsi="宋体" w:eastAsia="宋体" w:cs="宋体"/>
                <w:kern w:val="0"/>
                <w:sz w:val="24"/>
                <w:szCs w:val="24"/>
              </w:rPr>
            </w:pPr>
          </w:p>
        </w:tc>
        <w:tc>
          <w:tcPr>
            <w:tcW w:w="857" w:type="dxa"/>
            <w:noWrap/>
            <w:vAlign w:val="center"/>
          </w:tcPr>
          <w:p w14:paraId="25EB9030">
            <w:pPr>
              <w:widowControl/>
              <w:jc w:val="center"/>
              <w:rPr>
                <w:rFonts w:ascii="宋体" w:hAnsi="宋体" w:eastAsia="宋体" w:cs="Times New Roman"/>
                <w:kern w:val="0"/>
                <w:sz w:val="24"/>
                <w:szCs w:val="24"/>
              </w:rPr>
            </w:pPr>
          </w:p>
        </w:tc>
        <w:tc>
          <w:tcPr>
            <w:tcW w:w="862" w:type="dxa"/>
            <w:noWrap/>
            <w:vAlign w:val="center"/>
          </w:tcPr>
          <w:p w14:paraId="6253A5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BFD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512" w:type="dxa"/>
            <w:noWrap/>
            <w:vAlign w:val="center"/>
          </w:tcPr>
          <w:p w14:paraId="628E7B96">
            <w:pPr>
              <w:widowControl/>
              <w:jc w:val="center"/>
              <w:rPr>
                <w:rFonts w:ascii="宋体" w:hAnsi="宋体" w:eastAsia="宋体" w:cs="宋体"/>
                <w:kern w:val="0"/>
                <w:sz w:val="24"/>
                <w:szCs w:val="24"/>
              </w:rPr>
            </w:pPr>
            <w:r>
              <w:rPr>
                <w:rFonts w:hint="eastAsia" w:ascii="宋体" w:hAnsi="宋体" w:eastAsia="宋体" w:cs="宋体"/>
                <w:kern w:val="0"/>
                <w:sz w:val="24"/>
                <w:szCs w:val="24"/>
              </w:rPr>
              <w:t>37</w:t>
            </w:r>
          </w:p>
        </w:tc>
        <w:tc>
          <w:tcPr>
            <w:tcW w:w="776" w:type="dxa"/>
            <w:vAlign w:val="center"/>
          </w:tcPr>
          <w:p w14:paraId="2913BBDF">
            <w:pPr>
              <w:widowControl/>
              <w:jc w:val="left"/>
              <w:rPr>
                <w:rFonts w:ascii="宋体" w:hAnsi="宋体" w:eastAsia="宋体" w:cs="宋体"/>
                <w:kern w:val="0"/>
                <w:sz w:val="24"/>
                <w:szCs w:val="24"/>
              </w:rPr>
            </w:pPr>
            <w:r>
              <w:rPr>
                <w:rFonts w:hint="eastAsia" w:ascii="宋体" w:hAnsi="宋体" w:eastAsia="宋体" w:cs="宋体"/>
                <w:kern w:val="0"/>
                <w:sz w:val="24"/>
                <w:szCs w:val="24"/>
              </w:rPr>
              <w:t>塑胶地板</w:t>
            </w:r>
          </w:p>
        </w:tc>
        <w:tc>
          <w:tcPr>
            <w:tcW w:w="9271" w:type="dxa"/>
            <w:vAlign w:val="center"/>
          </w:tcPr>
          <w:p w14:paraId="24D1A8AA">
            <w:pPr>
              <w:widowControl/>
              <w:jc w:val="left"/>
              <w:rPr>
                <w:rFonts w:ascii="宋体" w:hAnsi="宋体" w:eastAsia="宋体" w:cs="宋体"/>
                <w:kern w:val="0"/>
                <w:sz w:val="24"/>
                <w:szCs w:val="24"/>
              </w:rPr>
            </w:pPr>
            <w:r>
              <w:rPr>
                <w:rFonts w:hint="eastAsia" w:ascii="宋体" w:hAnsi="宋体" w:eastAsia="宋体" w:cs="宋体"/>
                <w:kern w:val="0"/>
                <w:sz w:val="24"/>
                <w:szCs w:val="24"/>
              </w:rPr>
              <w:t>室外，防雨，PVC材质，根据校方需求定制图形和颜色</w:t>
            </w:r>
          </w:p>
        </w:tc>
        <w:tc>
          <w:tcPr>
            <w:tcW w:w="915" w:type="dxa"/>
            <w:vAlign w:val="center"/>
          </w:tcPr>
          <w:p w14:paraId="32C29086">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975" w:type="dxa"/>
            <w:vAlign w:val="center"/>
          </w:tcPr>
          <w:p w14:paraId="24460EE4">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891" w:type="dxa"/>
            <w:vAlign w:val="center"/>
          </w:tcPr>
          <w:p w14:paraId="743D5454">
            <w:pPr>
              <w:widowControl/>
              <w:jc w:val="center"/>
              <w:rPr>
                <w:rFonts w:ascii="宋体" w:hAnsi="宋体" w:eastAsia="宋体" w:cs="宋体"/>
                <w:kern w:val="0"/>
                <w:sz w:val="24"/>
                <w:szCs w:val="24"/>
              </w:rPr>
            </w:pPr>
          </w:p>
        </w:tc>
        <w:tc>
          <w:tcPr>
            <w:tcW w:w="857" w:type="dxa"/>
            <w:noWrap/>
            <w:vAlign w:val="center"/>
          </w:tcPr>
          <w:p w14:paraId="55228D6F">
            <w:pPr>
              <w:widowControl/>
              <w:jc w:val="center"/>
              <w:rPr>
                <w:rFonts w:ascii="宋体" w:hAnsi="宋体" w:eastAsia="宋体" w:cs="Times New Roman"/>
                <w:kern w:val="0"/>
                <w:sz w:val="24"/>
                <w:szCs w:val="24"/>
              </w:rPr>
            </w:pPr>
          </w:p>
        </w:tc>
        <w:tc>
          <w:tcPr>
            <w:tcW w:w="862" w:type="dxa"/>
            <w:vAlign w:val="center"/>
          </w:tcPr>
          <w:p w14:paraId="162558C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A02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12" w:type="dxa"/>
            <w:noWrap/>
            <w:vAlign w:val="center"/>
          </w:tcPr>
          <w:p w14:paraId="266DCECB">
            <w:pPr>
              <w:widowControl/>
              <w:jc w:val="center"/>
              <w:rPr>
                <w:rFonts w:ascii="宋体" w:hAnsi="宋体" w:eastAsia="宋体" w:cs="宋体"/>
                <w:kern w:val="0"/>
                <w:sz w:val="24"/>
                <w:szCs w:val="24"/>
              </w:rPr>
            </w:pPr>
            <w:r>
              <w:rPr>
                <w:rFonts w:hint="eastAsia" w:ascii="宋体" w:hAnsi="宋体" w:eastAsia="宋体" w:cs="宋体"/>
                <w:kern w:val="0"/>
                <w:sz w:val="24"/>
                <w:szCs w:val="24"/>
              </w:rPr>
              <w:t>38</w:t>
            </w:r>
          </w:p>
        </w:tc>
        <w:tc>
          <w:tcPr>
            <w:tcW w:w="776" w:type="dxa"/>
            <w:vAlign w:val="center"/>
          </w:tcPr>
          <w:p w14:paraId="1A471E42">
            <w:pPr>
              <w:widowControl/>
              <w:jc w:val="left"/>
              <w:rPr>
                <w:rFonts w:ascii="宋体" w:hAnsi="宋体" w:eastAsia="宋体" w:cs="宋体"/>
                <w:kern w:val="0"/>
                <w:sz w:val="24"/>
                <w:szCs w:val="24"/>
              </w:rPr>
            </w:pPr>
            <w:r>
              <w:rPr>
                <w:rFonts w:hint="eastAsia" w:ascii="宋体" w:hAnsi="宋体" w:eastAsia="宋体" w:cs="宋体"/>
                <w:kern w:val="0"/>
                <w:sz w:val="24"/>
                <w:szCs w:val="24"/>
              </w:rPr>
              <w:t>综合布线</w:t>
            </w:r>
          </w:p>
        </w:tc>
        <w:tc>
          <w:tcPr>
            <w:tcW w:w="9271" w:type="dxa"/>
            <w:vAlign w:val="center"/>
          </w:tcPr>
          <w:p w14:paraId="39AED802">
            <w:pPr>
              <w:widowControl/>
              <w:jc w:val="left"/>
              <w:rPr>
                <w:rFonts w:ascii="宋体" w:hAnsi="宋体" w:eastAsia="宋体" w:cs="宋体"/>
                <w:kern w:val="0"/>
                <w:sz w:val="24"/>
                <w:szCs w:val="24"/>
              </w:rPr>
            </w:pPr>
            <w:r>
              <w:rPr>
                <w:rFonts w:hint="eastAsia" w:ascii="宋体" w:hAnsi="宋体" w:eastAsia="宋体" w:cs="宋体"/>
                <w:kern w:val="0"/>
                <w:sz w:val="24"/>
                <w:szCs w:val="24"/>
              </w:rPr>
              <w:t>音响、灯光和现有的LED屏的整体布线。电源线：2*1.5平方，纯铜，国标，信号线128芯，纯铜，高品质卡农公母头，国标</w:t>
            </w:r>
          </w:p>
        </w:tc>
        <w:tc>
          <w:tcPr>
            <w:tcW w:w="915" w:type="dxa"/>
            <w:vAlign w:val="center"/>
          </w:tcPr>
          <w:p w14:paraId="167AF073">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75" w:type="dxa"/>
            <w:vAlign w:val="center"/>
          </w:tcPr>
          <w:p w14:paraId="7A6CFB3E">
            <w:pPr>
              <w:widowControl/>
              <w:jc w:val="center"/>
              <w:rPr>
                <w:rFonts w:ascii="宋体" w:hAnsi="宋体" w:eastAsia="宋体" w:cs="宋体"/>
                <w:kern w:val="0"/>
                <w:sz w:val="24"/>
                <w:szCs w:val="24"/>
              </w:rPr>
            </w:pPr>
            <w:r>
              <w:rPr>
                <w:rFonts w:hint="eastAsia" w:ascii="宋体" w:hAnsi="宋体" w:eastAsia="宋体" w:cs="宋体"/>
                <w:kern w:val="0"/>
                <w:sz w:val="24"/>
                <w:szCs w:val="24"/>
              </w:rPr>
              <w:t>批</w:t>
            </w:r>
          </w:p>
        </w:tc>
        <w:tc>
          <w:tcPr>
            <w:tcW w:w="891" w:type="dxa"/>
            <w:vAlign w:val="center"/>
          </w:tcPr>
          <w:p w14:paraId="1A9CEFD2">
            <w:pPr>
              <w:widowControl/>
              <w:jc w:val="center"/>
              <w:rPr>
                <w:rFonts w:ascii="宋体" w:hAnsi="宋体" w:eastAsia="宋体" w:cs="宋体"/>
                <w:kern w:val="0"/>
                <w:sz w:val="24"/>
                <w:szCs w:val="24"/>
              </w:rPr>
            </w:pPr>
          </w:p>
        </w:tc>
        <w:tc>
          <w:tcPr>
            <w:tcW w:w="857" w:type="dxa"/>
            <w:noWrap/>
            <w:vAlign w:val="center"/>
          </w:tcPr>
          <w:p w14:paraId="20C7DABB">
            <w:pPr>
              <w:widowControl/>
              <w:jc w:val="center"/>
              <w:rPr>
                <w:rFonts w:ascii="宋体" w:hAnsi="宋体" w:eastAsia="宋体" w:cs="Times New Roman"/>
                <w:kern w:val="0"/>
                <w:sz w:val="24"/>
                <w:szCs w:val="24"/>
              </w:rPr>
            </w:pPr>
          </w:p>
        </w:tc>
        <w:tc>
          <w:tcPr>
            <w:tcW w:w="862" w:type="dxa"/>
            <w:vAlign w:val="center"/>
          </w:tcPr>
          <w:p w14:paraId="0EF7AD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5B6C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449" w:type="dxa"/>
            <w:gridSpan w:val="5"/>
            <w:vAlign w:val="center"/>
          </w:tcPr>
          <w:p w14:paraId="01362FA3">
            <w:pPr>
              <w:widowControl/>
              <w:jc w:val="center"/>
              <w:rPr>
                <w:rFonts w:ascii="宋体" w:hAnsi="宋体" w:eastAsia="宋体" w:cs="宋体"/>
                <w:b/>
                <w:bCs/>
                <w:color w:val="FF0000"/>
                <w:kern w:val="0"/>
                <w:sz w:val="24"/>
                <w:szCs w:val="24"/>
              </w:rPr>
            </w:pPr>
            <w:r>
              <w:rPr>
                <w:rFonts w:hint="eastAsia" w:ascii="宋体" w:hAnsi="宋体" w:eastAsia="宋体" w:cs="宋体"/>
                <w:b/>
                <w:bCs/>
                <w:color w:val="FF0000"/>
                <w:kern w:val="0"/>
                <w:sz w:val="24"/>
                <w:szCs w:val="24"/>
              </w:rPr>
              <w:t>信息化工程和培训基地综合功能提升</w:t>
            </w:r>
          </w:p>
        </w:tc>
        <w:tc>
          <w:tcPr>
            <w:tcW w:w="891" w:type="dxa"/>
            <w:vAlign w:val="center"/>
          </w:tcPr>
          <w:p w14:paraId="6F5F3D9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7" w:type="dxa"/>
            <w:vAlign w:val="center"/>
          </w:tcPr>
          <w:p w14:paraId="1AE9C77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62" w:type="dxa"/>
            <w:vAlign w:val="center"/>
          </w:tcPr>
          <w:p w14:paraId="3C46D37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4B1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12" w:type="dxa"/>
            <w:noWrap/>
            <w:vAlign w:val="center"/>
          </w:tcPr>
          <w:p w14:paraId="7C5306CC">
            <w:pPr>
              <w:widowControl/>
              <w:jc w:val="center"/>
              <w:rPr>
                <w:rFonts w:ascii="宋体" w:hAnsi="宋体" w:eastAsia="宋体" w:cs="宋体"/>
                <w:kern w:val="0"/>
                <w:sz w:val="24"/>
                <w:szCs w:val="24"/>
              </w:rPr>
            </w:pPr>
            <w:r>
              <w:rPr>
                <w:rFonts w:hint="eastAsia" w:ascii="宋体" w:hAnsi="宋体" w:eastAsia="宋体" w:cs="宋体"/>
                <w:kern w:val="0"/>
                <w:sz w:val="24"/>
                <w:szCs w:val="24"/>
              </w:rPr>
              <w:t>39</w:t>
            </w:r>
          </w:p>
        </w:tc>
        <w:tc>
          <w:tcPr>
            <w:tcW w:w="776" w:type="dxa"/>
            <w:vAlign w:val="center"/>
          </w:tcPr>
          <w:p w14:paraId="0ABE2797">
            <w:pPr>
              <w:widowControl/>
              <w:jc w:val="left"/>
              <w:rPr>
                <w:rFonts w:ascii="宋体" w:hAnsi="宋体" w:eastAsia="宋体" w:cs="宋体"/>
                <w:kern w:val="0"/>
                <w:sz w:val="24"/>
                <w:szCs w:val="24"/>
              </w:rPr>
            </w:pPr>
            <w:r>
              <w:rPr>
                <w:rFonts w:hint="eastAsia" w:ascii="宋体" w:hAnsi="宋体" w:eastAsia="宋体" w:cs="宋体"/>
                <w:kern w:val="0"/>
                <w:sz w:val="24"/>
                <w:szCs w:val="24"/>
              </w:rPr>
              <w:t>网络和实训设备电源桥架</w:t>
            </w:r>
          </w:p>
        </w:tc>
        <w:tc>
          <w:tcPr>
            <w:tcW w:w="9271" w:type="dxa"/>
            <w:vAlign w:val="center"/>
          </w:tcPr>
          <w:p w14:paraId="2876085E">
            <w:pPr>
              <w:widowControl/>
              <w:jc w:val="left"/>
              <w:rPr>
                <w:rFonts w:ascii="宋体" w:hAnsi="宋体" w:eastAsia="宋体" w:cs="宋体"/>
                <w:kern w:val="0"/>
                <w:sz w:val="24"/>
                <w:szCs w:val="24"/>
              </w:rPr>
            </w:pPr>
            <w:r>
              <w:rPr>
                <w:rFonts w:hint="eastAsia" w:ascii="宋体" w:hAnsi="宋体" w:eastAsia="宋体" w:cs="宋体"/>
                <w:kern w:val="0"/>
                <w:sz w:val="24"/>
                <w:szCs w:val="24"/>
              </w:rPr>
              <w:t>桥架吊丝安装，采用镀锌钢板材质，坚固耐用；此项目包含设备正常使用国标铜线，电线，网线，具体根据校方实训基地规划的设备需求，配备线路，保证桥架下的设备正常使用，设备、照明、插座、网络等正常使用。</w:t>
            </w:r>
          </w:p>
        </w:tc>
        <w:tc>
          <w:tcPr>
            <w:tcW w:w="915" w:type="dxa"/>
            <w:noWrap/>
            <w:vAlign w:val="center"/>
          </w:tcPr>
          <w:p w14:paraId="282F14AA">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975" w:type="dxa"/>
            <w:noWrap/>
            <w:vAlign w:val="center"/>
          </w:tcPr>
          <w:p w14:paraId="616356F4">
            <w:pPr>
              <w:widowControl/>
              <w:jc w:val="center"/>
              <w:rPr>
                <w:rFonts w:ascii="宋体" w:hAnsi="宋体" w:eastAsia="宋体" w:cs="宋体"/>
                <w:kern w:val="0"/>
                <w:sz w:val="24"/>
                <w:szCs w:val="24"/>
              </w:rPr>
            </w:pPr>
            <w:r>
              <w:rPr>
                <w:rFonts w:hint="eastAsia" w:ascii="宋体" w:hAnsi="宋体" w:eastAsia="宋体" w:cs="宋体"/>
                <w:kern w:val="0"/>
                <w:sz w:val="24"/>
                <w:szCs w:val="24"/>
              </w:rPr>
              <w:t>米</w:t>
            </w:r>
          </w:p>
        </w:tc>
        <w:tc>
          <w:tcPr>
            <w:tcW w:w="891" w:type="dxa"/>
            <w:noWrap/>
            <w:vAlign w:val="center"/>
          </w:tcPr>
          <w:p w14:paraId="12ECCE3D">
            <w:pPr>
              <w:widowControl/>
              <w:jc w:val="center"/>
              <w:rPr>
                <w:rFonts w:ascii="宋体" w:hAnsi="宋体" w:eastAsia="宋体" w:cs="宋体"/>
                <w:kern w:val="0"/>
                <w:sz w:val="24"/>
                <w:szCs w:val="24"/>
              </w:rPr>
            </w:pPr>
          </w:p>
        </w:tc>
        <w:tc>
          <w:tcPr>
            <w:tcW w:w="857" w:type="dxa"/>
            <w:noWrap/>
            <w:vAlign w:val="center"/>
          </w:tcPr>
          <w:p w14:paraId="01293265">
            <w:pPr>
              <w:widowControl/>
              <w:jc w:val="center"/>
              <w:rPr>
                <w:rFonts w:ascii="宋体" w:hAnsi="宋体" w:eastAsia="宋体" w:cs="宋体"/>
                <w:kern w:val="0"/>
                <w:sz w:val="24"/>
                <w:szCs w:val="24"/>
              </w:rPr>
            </w:pPr>
          </w:p>
        </w:tc>
        <w:tc>
          <w:tcPr>
            <w:tcW w:w="862" w:type="dxa"/>
            <w:noWrap/>
            <w:vAlign w:val="center"/>
          </w:tcPr>
          <w:p w14:paraId="321C7E8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017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512" w:type="dxa"/>
            <w:noWrap/>
            <w:vAlign w:val="center"/>
          </w:tcPr>
          <w:p w14:paraId="54E7E104">
            <w:pPr>
              <w:widowControl/>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76" w:type="dxa"/>
            <w:vAlign w:val="center"/>
          </w:tcPr>
          <w:p w14:paraId="02A310CC">
            <w:pPr>
              <w:widowControl/>
              <w:jc w:val="left"/>
              <w:rPr>
                <w:rFonts w:ascii="宋体" w:hAnsi="宋体" w:eastAsia="宋体" w:cs="宋体"/>
                <w:kern w:val="0"/>
                <w:sz w:val="24"/>
                <w:szCs w:val="24"/>
              </w:rPr>
            </w:pPr>
            <w:r>
              <w:rPr>
                <w:rFonts w:hint="eastAsia" w:ascii="宋体" w:hAnsi="宋体" w:eastAsia="宋体" w:cs="宋体"/>
                <w:kern w:val="0"/>
                <w:sz w:val="24"/>
                <w:szCs w:val="24"/>
              </w:rPr>
              <w:t>地面自流平</w:t>
            </w:r>
          </w:p>
        </w:tc>
        <w:tc>
          <w:tcPr>
            <w:tcW w:w="9271" w:type="dxa"/>
            <w:vAlign w:val="center"/>
          </w:tcPr>
          <w:p w14:paraId="44EBE61B">
            <w:pPr>
              <w:widowControl/>
              <w:jc w:val="left"/>
              <w:rPr>
                <w:rFonts w:ascii="宋体" w:hAnsi="宋体" w:eastAsia="宋体" w:cs="宋体"/>
                <w:kern w:val="0"/>
                <w:sz w:val="24"/>
                <w:szCs w:val="24"/>
              </w:rPr>
            </w:pPr>
            <w:r>
              <w:rPr>
                <w:rFonts w:hint="eastAsia" w:ascii="宋体" w:hAnsi="宋体" w:eastAsia="宋体" w:cs="宋体"/>
                <w:kern w:val="0"/>
                <w:sz w:val="24"/>
                <w:szCs w:val="24"/>
              </w:rPr>
              <w:t>新型水泥胶地面修复材料，确保地面平整，不起尘。实训基地和实训室内地面要再做提升自流平工艺。</w:t>
            </w:r>
          </w:p>
        </w:tc>
        <w:tc>
          <w:tcPr>
            <w:tcW w:w="915" w:type="dxa"/>
            <w:vAlign w:val="center"/>
          </w:tcPr>
          <w:p w14:paraId="1F81E792">
            <w:pPr>
              <w:widowControl/>
              <w:jc w:val="center"/>
              <w:rPr>
                <w:rFonts w:ascii="宋体" w:hAnsi="宋体" w:eastAsia="宋体" w:cs="宋体"/>
                <w:kern w:val="0"/>
                <w:sz w:val="24"/>
                <w:szCs w:val="24"/>
              </w:rPr>
            </w:pPr>
            <w:r>
              <w:rPr>
                <w:rFonts w:hint="eastAsia" w:ascii="宋体" w:hAnsi="宋体" w:eastAsia="宋体" w:cs="宋体"/>
                <w:kern w:val="0"/>
                <w:sz w:val="24"/>
                <w:szCs w:val="24"/>
              </w:rPr>
              <w:t>1600</w:t>
            </w:r>
          </w:p>
        </w:tc>
        <w:tc>
          <w:tcPr>
            <w:tcW w:w="975" w:type="dxa"/>
            <w:vAlign w:val="center"/>
          </w:tcPr>
          <w:p w14:paraId="2DCFBFFA">
            <w:pPr>
              <w:widowControl/>
              <w:jc w:val="center"/>
              <w:rPr>
                <w:rFonts w:ascii="宋体" w:hAnsi="宋体" w:eastAsia="宋体" w:cs="宋体"/>
                <w:kern w:val="0"/>
                <w:sz w:val="24"/>
                <w:szCs w:val="24"/>
              </w:rPr>
            </w:pPr>
            <w:r>
              <w:rPr>
                <w:rFonts w:hint="eastAsia" w:ascii="宋体" w:hAnsi="宋体" w:eastAsia="宋体" w:cs="宋体"/>
                <w:kern w:val="0"/>
                <w:sz w:val="24"/>
                <w:szCs w:val="24"/>
              </w:rPr>
              <w:t>平方米</w:t>
            </w:r>
          </w:p>
        </w:tc>
        <w:tc>
          <w:tcPr>
            <w:tcW w:w="891" w:type="dxa"/>
            <w:vAlign w:val="center"/>
          </w:tcPr>
          <w:p w14:paraId="1A295B8A">
            <w:pPr>
              <w:widowControl/>
              <w:jc w:val="center"/>
              <w:rPr>
                <w:rFonts w:ascii="宋体" w:hAnsi="宋体" w:eastAsia="宋体" w:cs="宋体"/>
                <w:kern w:val="0"/>
                <w:sz w:val="24"/>
                <w:szCs w:val="24"/>
              </w:rPr>
            </w:pPr>
          </w:p>
        </w:tc>
        <w:tc>
          <w:tcPr>
            <w:tcW w:w="857" w:type="dxa"/>
            <w:noWrap/>
            <w:vAlign w:val="center"/>
          </w:tcPr>
          <w:p w14:paraId="79F6A621">
            <w:pPr>
              <w:widowControl/>
              <w:jc w:val="center"/>
              <w:rPr>
                <w:rFonts w:ascii="宋体" w:hAnsi="宋体" w:eastAsia="宋体" w:cs="宋体"/>
                <w:kern w:val="0"/>
                <w:sz w:val="24"/>
                <w:szCs w:val="24"/>
              </w:rPr>
            </w:pPr>
          </w:p>
        </w:tc>
        <w:tc>
          <w:tcPr>
            <w:tcW w:w="862" w:type="dxa"/>
            <w:vAlign w:val="center"/>
          </w:tcPr>
          <w:p w14:paraId="30C284B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14:paraId="396AD647">
      <w:pPr>
        <w:pStyle w:val="2"/>
        <w:sectPr>
          <w:pgSz w:w="16838" w:h="11906" w:orient="landscape"/>
          <w:pgMar w:top="1800" w:right="1440" w:bottom="1800" w:left="1440" w:header="851" w:footer="992" w:gutter="0"/>
          <w:pgNumType w:start="38"/>
          <w:cols w:space="425" w:num="1"/>
          <w:docGrid w:type="lines" w:linePitch="312" w:charSpace="0"/>
        </w:sectPr>
      </w:pPr>
    </w:p>
    <w:p w14:paraId="19C66101">
      <w:pPr>
        <w:spacing w:after="120"/>
        <w:jc w:val="center"/>
        <w:rPr>
          <w:rFonts w:ascii="宋体" w:hAnsi="宋体" w:eastAsia="宋体" w:cs="Times New Roman"/>
          <w:kern w:val="0"/>
          <w:sz w:val="36"/>
          <w:szCs w:val="36"/>
        </w:rPr>
      </w:pPr>
      <w:r>
        <w:rPr>
          <w:rFonts w:hint="eastAsia" w:ascii="宋体" w:hAnsi="宋体" w:eastAsia="宋体" w:cs="Times New Roman"/>
          <w:b/>
          <w:bCs/>
          <w:kern w:val="0"/>
          <w:sz w:val="36"/>
          <w:szCs w:val="36"/>
        </w:rPr>
        <w:t>第四章 评标办法</w:t>
      </w:r>
    </w:p>
    <w:p w14:paraId="2AE98394">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 投标文件的评审、比较和否决</w:t>
      </w:r>
    </w:p>
    <w:p w14:paraId="2CDD7001">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1.1</w:t>
      </w:r>
      <w:r>
        <w:rPr>
          <w:rFonts w:hint="eastAsia" w:ascii="宋体" w:hAnsi="宋体" w:eastAsia="宋体" w:cs="Times New Roman"/>
          <w:color w:val="000000" w:themeColor="text1"/>
          <w:kern w:val="0"/>
          <w:sz w:val="28"/>
          <w:szCs w:val="28"/>
          <w14:textFill>
            <w14:solidFill>
              <w14:schemeClr w14:val="tx1"/>
            </w14:solidFill>
          </w14:textFill>
        </w:rPr>
        <w:t>评标委员会将按照招标文件的规定，仅对在实质上响应招标文件要求的投标文件进行评估和比较。</w:t>
      </w:r>
    </w:p>
    <w:p w14:paraId="5C63D50D">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1.2</w:t>
      </w:r>
      <w:r>
        <w:rPr>
          <w:rFonts w:hint="eastAsia" w:ascii="宋体" w:hAnsi="宋体" w:eastAsia="宋体" w:cs="Times New Roman"/>
          <w:color w:val="000000" w:themeColor="text1"/>
          <w:kern w:val="0"/>
          <w:sz w:val="28"/>
          <w:szCs w:val="28"/>
          <w14:textFill>
            <w14:solidFill>
              <w14:schemeClr w14:val="tx1"/>
            </w14:solidFill>
          </w14:textFill>
        </w:rPr>
        <w:t>根据相关法律法规及有关招投标文件规定，结合本项目具体情况，制定本次招标评标办法。并按照“公平、公正、科学、择优”的原则进行评标。采用百分制综合评估法进行评比。</w:t>
      </w:r>
    </w:p>
    <w:p w14:paraId="05F7E7A4">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1.3</w:t>
      </w:r>
      <w:r>
        <w:rPr>
          <w:rFonts w:hint="eastAsia" w:ascii="宋体" w:hAnsi="宋体" w:eastAsia="宋体" w:cs="Times New Roman"/>
          <w:color w:val="000000" w:themeColor="text1"/>
          <w:kern w:val="0"/>
          <w:sz w:val="28"/>
          <w:szCs w:val="28"/>
          <w14:textFill>
            <w14:solidFill>
              <w14:schemeClr w14:val="tx1"/>
            </w14:solidFill>
          </w14:textFill>
        </w:rPr>
        <w:t>在评审过程中，评标委员会可以要求投标供应商就投标文件中含义不明确的内容进行陈述；</w:t>
      </w:r>
      <w:r>
        <w:rPr>
          <w:rFonts w:hint="eastAsia" w:ascii="宋体" w:hAnsi="宋体" w:eastAsia="宋体" w:cs="Times New Roman"/>
          <w:color w:val="000000" w:themeColor="text1"/>
          <w:spacing w:val="-12"/>
          <w:kern w:val="0"/>
          <w:sz w:val="28"/>
          <w:szCs w:val="28"/>
          <w14:textFill>
            <w14:solidFill>
              <w14:schemeClr w14:val="tx1"/>
            </w14:solidFill>
          </w14:textFill>
        </w:rPr>
        <w:t>凡遇到招标文件中无界定或界定不清、前后不一致使评委会成员</w:t>
      </w:r>
      <w:r>
        <w:rPr>
          <w:rFonts w:hint="eastAsia" w:ascii="宋体" w:hAnsi="宋体" w:eastAsia="宋体" w:cs="Times New Roman"/>
          <w:color w:val="000000" w:themeColor="text1"/>
          <w:kern w:val="0"/>
          <w:sz w:val="28"/>
          <w:szCs w:val="28"/>
          <w14:textFill>
            <w14:solidFill>
              <w14:schemeClr w14:val="tx1"/>
            </w14:solidFill>
          </w14:textFill>
        </w:rPr>
        <w:t>意见</w:t>
      </w:r>
      <w:r>
        <w:rPr>
          <w:rFonts w:hint="eastAsia" w:ascii="宋体" w:hAnsi="宋体" w:eastAsia="宋体" w:cs="Times New Roman"/>
          <w:color w:val="000000" w:themeColor="text1"/>
          <w:spacing w:val="-12"/>
          <w:kern w:val="0"/>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Times New Roman"/>
          <w:color w:val="000000" w:themeColor="text1"/>
          <w:kern w:val="0"/>
          <w:sz w:val="28"/>
          <w:szCs w:val="28"/>
          <w14:textFill>
            <w14:solidFill>
              <w14:schemeClr w14:val="tx1"/>
            </w14:solidFill>
          </w14:textFill>
        </w:rPr>
        <w:t>。</w:t>
      </w:r>
    </w:p>
    <w:p w14:paraId="283B8454">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1.4</w:t>
      </w:r>
      <w:r>
        <w:rPr>
          <w:rFonts w:hint="eastAsia" w:ascii="宋体" w:hAnsi="宋体" w:eastAsia="宋体" w:cs="Times New Roman"/>
          <w:color w:val="000000" w:themeColor="text1"/>
          <w:kern w:val="0"/>
          <w:sz w:val="28"/>
          <w:szCs w:val="28"/>
          <w14:textFill>
            <w14:solidFill>
              <w14:schemeClr w14:val="tx1"/>
            </w14:solidFill>
          </w14:textFill>
        </w:rPr>
        <w:t>评标时，投标报价是评标的重要依据，但不是唯一依据，采购人不承诺将合同授予报价最低或最高的投标供应商。</w:t>
      </w:r>
    </w:p>
    <w:p w14:paraId="148F2CD4">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1.5</w:t>
      </w:r>
      <w:r>
        <w:rPr>
          <w:rFonts w:hint="eastAsia" w:ascii="宋体" w:hAnsi="宋体" w:eastAsia="宋体" w:cs="Times New Roman"/>
          <w:color w:val="000000" w:themeColor="text1"/>
          <w:kern w:val="0"/>
          <w:sz w:val="28"/>
          <w:szCs w:val="28"/>
          <w14:textFill>
            <w14:solidFill>
              <w14:schemeClr w14:val="tx1"/>
            </w14:solidFill>
          </w14:textFill>
        </w:rPr>
        <w:t>评标委员会依据招标文件中规定的评标标准和方法，对投标文件进行评审和比较，向采购人提出书面评标报告，并推荐合格的中标候选人。采购人根据评标委员会提出的书面评标报告和推荐的中标候选人按序确定中标人。</w:t>
      </w:r>
    </w:p>
    <w:p w14:paraId="5BDB1FD8">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 评审程序</w:t>
      </w:r>
    </w:p>
    <w:p w14:paraId="47405EA7">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2.1 资格审查</w:t>
      </w:r>
    </w:p>
    <w:p w14:paraId="3D9A8AD1">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本项目采用资格后审</w:t>
      </w:r>
    </w:p>
    <w:p w14:paraId="526F0E47">
      <w:pPr>
        <w:widowControl/>
        <w:spacing w:line="360" w:lineRule="auto"/>
        <w:ind w:firstLine="48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采购人或采购代理机构应当按照招标文件第二章投标供应商须知2.0项要求，对投标供应商的投标文件进行资格评审，有一项不符合的，视为未通过资格审查，合格投标供应商不足3家的，不得评标。符合的进入下一评标程序。</w:t>
      </w:r>
    </w:p>
    <w:p w14:paraId="0FDAE36D">
      <w:pPr>
        <w:widowControl/>
        <w:spacing w:line="360" w:lineRule="auto"/>
        <w:ind w:firstLine="551" w:firstLineChars="196"/>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3.评标具体方法和标准</w:t>
      </w:r>
    </w:p>
    <w:p w14:paraId="0DCBD28F">
      <w:pPr>
        <w:widowControl/>
        <w:spacing w:line="360" w:lineRule="auto"/>
        <w:ind w:firstLine="420" w:firstLineChars="15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评标委员会根据评标原则和办法对所有投标文件进行集中审核，分别评价。</w:t>
      </w:r>
    </w:p>
    <w:p w14:paraId="346D84A1">
      <w:pPr>
        <w:keepNext/>
        <w:keepLines/>
        <w:tabs>
          <w:tab w:val="left" w:pos="5852"/>
        </w:tabs>
        <w:snapToGrid w:val="0"/>
        <w:spacing w:line="240" w:lineRule="exact"/>
        <w:ind w:left="425"/>
        <w:outlineLvl w:val="2"/>
        <w:rPr>
          <w:rFonts w:ascii="宋体" w:hAnsi="宋体" w:eastAsia="宋体" w:cs="Times New Roman"/>
          <w:b/>
          <w:color w:val="000000" w:themeColor="text1"/>
          <w:kern w:val="0"/>
          <w:sz w:val="28"/>
          <w:szCs w:val="28"/>
          <w14:textFill>
            <w14:solidFill>
              <w14:schemeClr w14:val="tx1"/>
            </w14:solidFill>
          </w14:textFill>
        </w:rPr>
      </w:pPr>
    </w:p>
    <w:tbl>
      <w:tblPr>
        <w:tblStyle w:val="89"/>
        <w:tblW w:w="105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84"/>
        <w:gridCol w:w="1887"/>
        <w:gridCol w:w="6450"/>
      </w:tblGrid>
      <w:tr w14:paraId="489E7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211" w:type="dxa"/>
            <w:gridSpan w:val="2"/>
            <w:tcBorders>
              <w:top w:val="single" w:color="auto" w:sz="4" w:space="0"/>
              <w:left w:val="single" w:color="auto" w:sz="4" w:space="0"/>
              <w:bottom w:val="single" w:color="auto" w:sz="4" w:space="0"/>
              <w:right w:val="single" w:color="auto" w:sz="4" w:space="0"/>
            </w:tcBorders>
            <w:vAlign w:val="center"/>
          </w:tcPr>
          <w:p w14:paraId="655A42EA">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条款号</w:t>
            </w:r>
          </w:p>
        </w:tc>
        <w:tc>
          <w:tcPr>
            <w:tcW w:w="1887" w:type="dxa"/>
            <w:tcBorders>
              <w:top w:val="single" w:color="auto" w:sz="4" w:space="0"/>
              <w:left w:val="single" w:color="auto" w:sz="4" w:space="0"/>
              <w:bottom w:val="single" w:color="auto" w:sz="4" w:space="0"/>
              <w:right w:val="single" w:color="auto" w:sz="4" w:space="0"/>
            </w:tcBorders>
            <w:vAlign w:val="center"/>
          </w:tcPr>
          <w:p w14:paraId="0D4D8567">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评审因素</w:t>
            </w:r>
          </w:p>
        </w:tc>
        <w:tc>
          <w:tcPr>
            <w:tcW w:w="6450" w:type="dxa"/>
            <w:tcBorders>
              <w:top w:val="single" w:color="auto" w:sz="4" w:space="0"/>
              <w:left w:val="single" w:color="auto" w:sz="4" w:space="0"/>
              <w:bottom w:val="single" w:color="auto" w:sz="4" w:space="0"/>
              <w:right w:val="single" w:color="auto" w:sz="4" w:space="0"/>
            </w:tcBorders>
            <w:vAlign w:val="center"/>
          </w:tcPr>
          <w:p w14:paraId="4C9461D0">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color w:val="000000" w:themeColor="text1"/>
                <w:sz w:val="24"/>
                <w:szCs w:val="24"/>
                <w14:textFill>
                  <w14:solidFill>
                    <w14:schemeClr w14:val="tx1"/>
                  </w14:solidFill>
                </w14:textFill>
              </w:rPr>
              <w:t>评审标准</w:t>
            </w:r>
          </w:p>
        </w:tc>
      </w:tr>
      <w:tr w14:paraId="4968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0ECF080E">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3.1.1</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11CA0579">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资格</w:t>
            </w:r>
            <w:r>
              <w:rPr>
                <w:rFonts w:hint="eastAsia" w:ascii="宋体" w:hAnsi="宋体" w:eastAsia="宋体" w:cs="Times New Roman"/>
                <w:color w:val="000000" w:themeColor="text1"/>
                <w:sz w:val="24"/>
                <w:szCs w:val="24"/>
                <w14:textFill>
                  <w14:solidFill>
                    <w14:schemeClr w14:val="tx1"/>
                  </w14:solidFill>
                </w14:textFill>
              </w:rPr>
              <w:t>性</w:t>
            </w:r>
          </w:p>
          <w:p w14:paraId="6A54322A">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审查</w:t>
            </w:r>
          </w:p>
          <w:p w14:paraId="42498C0B">
            <w:pPr>
              <w:spacing w:line="360" w:lineRule="auto"/>
              <w:jc w:val="center"/>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标准</w:t>
            </w:r>
          </w:p>
        </w:tc>
        <w:tc>
          <w:tcPr>
            <w:tcW w:w="1887" w:type="dxa"/>
            <w:tcBorders>
              <w:top w:val="single" w:color="auto" w:sz="4" w:space="0"/>
              <w:left w:val="single" w:color="auto" w:sz="4" w:space="0"/>
              <w:bottom w:val="single" w:color="auto" w:sz="4" w:space="0"/>
              <w:right w:val="single" w:color="auto" w:sz="4" w:space="0"/>
            </w:tcBorders>
            <w:vAlign w:val="center"/>
          </w:tcPr>
          <w:p w14:paraId="7C200D4C">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营业执照</w:t>
            </w:r>
          </w:p>
        </w:tc>
        <w:tc>
          <w:tcPr>
            <w:tcW w:w="6450" w:type="dxa"/>
            <w:tcBorders>
              <w:top w:val="single" w:color="auto" w:sz="4" w:space="0"/>
              <w:left w:val="single" w:color="auto" w:sz="4" w:space="0"/>
              <w:right w:val="single" w:color="auto" w:sz="4" w:space="0"/>
            </w:tcBorders>
            <w:vAlign w:val="center"/>
          </w:tcPr>
          <w:p w14:paraId="7DE3D462">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供应商须具有独立承担民事责任能力的法人或其他组织，同时具有有效的营业执照、税务登记证、组织机构代码证或三证合一的营业执照；</w:t>
            </w:r>
          </w:p>
        </w:tc>
      </w:tr>
      <w:tr w14:paraId="651A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927" w:type="dxa"/>
            <w:vMerge w:val="continue"/>
            <w:tcBorders>
              <w:left w:val="single" w:color="auto" w:sz="4" w:space="0"/>
              <w:right w:val="single" w:color="auto" w:sz="4" w:space="0"/>
            </w:tcBorders>
            <w:vAlign w:val="center"/>
          </w:tcPr>
          <w:p w14:paraId="408E0858">
            <w:pPr>
              <w:spacing w:line="360" w:lineRule="auto"/>
              <w:jc w:val="center"/>
              <w:rPr>
                <w:rFonts w:ascii="宋体" w:hAnsi="宋体" w:eastAsia="宋体" w:cs="Times New Roman"/>
                <w:bCs/>
                <w:color w:val="000000" w:themeColor="text1"/>
                <w:sz w:val="24"/>
                <w:szCs w:val="24"/>
                <w14:textFill>
                  <w14:solidFill>
                    <w14:schemeClr w14:val="tx1"/>
                  </w14:solidFill>
                </w14:textFill>
              </w:rPr>
            </w:pPr>
          </w:p>
        </w:tc>
        <w:tc>
          <w:tcPr>
            <w:tcW w:w="1284" w:type="dxa"/>
            <w:vMerge w:val="continue"/>
            <w:tcBorders>
              <w:left w:val="single" w:color="auto" w:sz="4" w:space="0"/>
              <w:right w:val="single" w:color="auto" w:sz="4" w:space="0"/>
            </w:tcBorders>
            <w:vAlign w:val="center"/>
          </w:tcPr>
          <w:p w14:paraId="38386D38">
            <w:pPr>
              <w:spacing w:line="360" w:lineRule="auto"/>
              <w:jc w:val="center"/>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5728D697">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无商业贿赂及无不正当竞争行为的承诺书</w:t>
            </w:r>
          </w:p>
        </w:tc>
        <w:tc>
          <w:tcPr>
            <w:tcW w:w="6450" w:type="dxa"/>
            <w:tcBorders>
              <w:top w:val="single" w:color="auto" w:sz="4" w:space="0"/>
              <w:left w:val="single" w:color="auto" w:sz="4" w:space="0"/>
              <w:bottom w:val="single" w:color="auto" w:sz="4" w:space="0"/>
              <w:right w:val="single" w:color="auto" w:sz="4" w:space="0"/>
            </w:tcBorders>
            <w:vAlign w:val="center"/>
          </w:tcPr>
          <w:p w14:paraId="4BB2252A">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企业及法人代表无商业贿赂及无不正当竞争行为的承诺书；</w:t>
            </w:r>
          </w:p>
        </w:tc>
      </w:tr>
      <w:tr w14:paraId="5C44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78860BC2">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796B086E">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7C6356A1">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无行贿犯罪记录</w:t>
            </w:r>
          </w:p>
        </w:tc>
        <w:tc>
          <w:tcPr>
            <w:tcW w:w="6450" w:type="dxa"/>
            <w:tcBorders>
              <w:top w:val="single" w:color="auto" w:sz="4" w:space="0"/>
              <w:left w:val="single" w:color="auto" w:sz="4" w:space="0"/>
              <w:bottom w:val="single" w:color="auto" w:sz="4" w:space="0"/>
              <w:right w:val="single" w:color="auto" w:sz="4" w:space="0"/>
            </w:tcBorders>
            <w:vAlign w:val="center"/>
          </w:tcPr>
          <w:p w14:paraId="37B7F256">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提供供应商企业、法定代表人无行贿犯罪记录，在中国裁判文书网查询（提供网页查询截图）或供应商自行承诺；</w:t>
            </w:r>
          </w:p>
        </w:tc>
      </w:tr>
      <w:tr w14:paraId="20B45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67EC421">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13396EC">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right w:val="single" w:color="auto" w:sz="4" w:space="0"/>
            </w:tcBorders>
            <w:vAlign w:val="center"/>
          </w:tcPr>
          <w:p w14:paraId="25451DFF">
            <w:pPr>
              <w:spacing w:line="360" w:lineRule="auto"/>
              <w:jc w:val="center"/>
              <w:rPr>
                <w:rFonts w:ascii="宋体" w:hAnsi="宋体"/>
                <w:sz w:val="24"/>
                <w:szCs w:val="24"/>
              </w:rPr>
            </w:pPr>
            <w:r>
              <w:rPr>
                <w:rFonts w:hint="eastAsia" w:ascii="宋体" w:hAnsi="宋体"/>
                <w:sz w:val="24"/>
                <w:szCs w:val="24"/>
              </w:rPr>
              <w:t>三年内未受到主管部门行政处罚或通报批评承诺书</w:t>
            </w:r>
          </w:p>
        </w:tc>
        <w:tc>
          <w:tcPr>
            <w:tcW w:w="6450" w:type="dxa"/>
            <w:tcBorders>
              <w:top w:val="single" w:color="auto" w:sz="4" w:space="0"/>
              <w:left w:val="single" w:color="auto" w:sz="4" w:space="0"/>
              <w:right w:val="single" w:color="auto" w:sz="4" w:space="0"/>
            </w:tcBorders>
            <w:vAlign w:val="center"/>
          </w:tcPr>
          <w:p w14:paraId="494EA607">
            <w:pPr>
              <w:spacing w:line="360" w:lineRule="auto"/>
              <w:rPr>
                <w:rFonts w:ascii="宋体" w:hAnsi="宋体"/>
                <w:sz w:val="24"/>
                <w:szCs w:val="24"/>
              </w:rPr>
            </w:pPr>
            <w:r>
              <w:rPr>
                <w:rFonts w:hint="eastAsia" w:ascii="宋体" w:hAnsi="宋体"/>
                <w:sz w:val="24"/>
                <w:szCs w:val="24"/>
              </w:rPr>
              <w:t>供应商出具企业三年内未受到主管部门行政处罚或通报批评承诺书。</w:t>
            </w:r>
          </w:p>
        </w:tc>
      </w:tr>
      <w:tr w14:paraId="2C84C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244B38ED">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5313F66A">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35F39E6E">
            <w:pPr>
              <w:widowControl/>
              <w:spacing w:line="360" w:lineRule="auto"/>
              <w:ind w:firstLine="48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信用查询</w:t>
            </w:r>
          </w:p>
        </w:tc>
        <w:tc>
          <w:tcPr>
            <w:tcW w:w="6450" w:type="dxa"/>
            <w:tcBorders>
              <w:top w:val="single" w:color="auto" w:sz="4" w:space="0"/>
              <w:left w:val="single" w:color="auto" w:sz="4" w:space="0"/>
              <w:bottom w:val="single" w:color="auto" w:sz="4" w:space="0"/>
              <w:right w:val="single" w:color="auto" w:sz="4" w:space="0"/>
            </w:tcBorders>
            <w:vAlign w:val="center"/>
          </w:tcPr>
          <w:p w14:paraId="5271BE93">
            <w:pPr>
              <w:widowControl/>
              <w:spacing w:line="36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tc>
      </w:tr>
      <w:tr w14:paraId="284E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jc w:val="center"/>
        </w:trPr>
        <w:tc>
          <w:tcPr>
            <w:tcW w:w="927" w:type="dxa"/>
            <w:tcBorders>
              <w:top w:val="single" w:color="auto" w:sz="4" w:space="0"/>
              <w:left w:val="single" w:color="auto" w:sz="4" w:space="0"/>
              <w:bottom w:val="single" w:color="auto" w:sz="4" w:space="0"/>
              <w:right w:val="single" w:color="auto" w:sz="4" w:space="0"/>
            </w:tcBorders>
            <w:vAlign w:val="center"/>
          </w:tcPr>
          <w:p w14:paraId="24128395">
            <w:pPr>
              <w:widowControl/>
              <w:jc w:val="left"/>
              <w:rPr>
                <w:rFonts w:ascii="宋体" w:hAnsi="宋体" w:eastAsia="宋体" w:cs="Times New Roman"/>
                <w:b/>
                <w:color w:val="000000" w:themeColor="text1"/>
                <w:sz w:val="24"/>
                <w:szCs w:val="24"/>
                <w14:textFill>
                  <w14:solidFill>
                    <w14:schemeClr w14:val="tx1"/>
                  </w14:solidFill>
                </w14:textFill>
              </w:rPr>
            </w:pPr>
          </w:p>
        </w:tc>
        <w:tc>
          <w:tcPr>
            <w:tcW w:w="1284" w:type="dxa"/>
            <w:tcBorders>
              <w:top w:val="single" w:color="auto" w:sz="4" w:space="0"/>
              <w:left w:val="single" w:color="auto" w:sz="4" w:space="0"/>
              <w:bottom w:val="single" w:color="auto" w:sz="4" w:space="0"/>
              <w:right w:val="single" w:color="auto" w:sz="4" w:space="0"/>
            </w:tcBorders>
            <w:vAlign w:val="center"/>
          </w:tcPr>
          <w:p w14:paraId="0F83F2CF">
            <w:pPr>
              <w:widowControl/>
              <w:jc w:val="left"/>
              <w:rPr>
                <w:rFonts w:ascii="宋体" w:hAnsi="宋体" w:eastAsia="宋体" w:cs="Times New Roman"/>
                <w:b/>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0ADBCB9C">
            <w:pPr>
              <w:widowControl/>
              <w:spacing w:line="36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sz w:val="24"/>
                <w:szCs w:val="24"/>
              </w:rPr>
              <w:t>不接受联合体投标承诺书</w:t>
            </w:r>
          </w:p>
        </w:tc>
        <w:tc>
          <w:tcPr>
            <w:tcW w:w="6450" w:type="dxa"/>
            <w:tcBorders>
              <w:top w:val="single" w:color="auto" w:sz="4" w:space="0"/>
              <w:left w:val="single" w:color="auto" w:sz="4" w:space="0"/>
              <w:bottom w:val="single" w:color="auto" w:sz="4" w:space="0"/>
              <w:right w:val="single" w:color="auto" w:sz="4" w:space="0"/>
            </w:tcBorders>
            <w:vAlign w:val="center"/>
          </w:tcPr>
          <w:p w14:paraId="272BAEFE">
            <w:pPr>
              <w:widowControl/>
              <w:spacing w:line="360" w:lineRule="auto"/>
              <w:rPr>
                <w:rFonts w:ascii="宋体" w:hAnsi="宋体"/>
                <w:sz w:val="24"/>
                <w:szCs w:val="24"/>
              </w:rPr>
            </w:pPr>
            <w:r>
              <w:rPr>
                <w:rFonts w:hint="eastAsia" w:ascii="宋体" w:hAnsi="宋体"/>
                <w:sz w:val="24"/>
                <w:szCs w:val="24"/>
              </w:rPr>
              <w:t>本项目不接受联合体投标。</w:t>
            </w:r>
          </w:p>
        </w:tc>
      </w:tr>
      <w:tr w14:paraId="4D14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5" w:hRule="atLeast"/>
          <w:jc w:val="center"/>
        </w:trPr>
        <w:tc>
          <w:tcPr>
            <w:tcW w:w="10548" w:type="dxa"/>
            <w:gridSpan w:val="4"/>
            <w:tcBorders>
              <w:top w:val="single" w:color="auto" w:sz="4" w:space="0"/>
              <w:left w:val="single" w:color="auto" w:sz="4" w:space="0"/>
              <w:bottom w:val="single" w:color="auto" w:sz="4" w:space="0"/>
              <w:right w:val="single" w:color="auto" w:sz="4" w:space="0"/>
            </w:tcBorders>
            <w:vAlign w:val="center"/>
          </w:tcPr>
          <w:p w14:paraId="5D6F4DF1">
            <w:pPr>
              <w:spacing w:line="276" w:lineRule="auto"/>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应中华人民共和国财政部令第</w:t>
            </w:r>
            <w:r>
              <w:rPr>
                <w:rFonts w:ascii="宋体" w:hAnsi="宋体" w:eastAsia="宋体" w:cs="Times New Roman"/>
                <w:b/>
                <w:bCs/>
                <w:color w:val="000000" w:themeColor="text1"/>
                <w:sz w:val="24"/>
                <w:szCs w:val="24"/>
                <w14:textFill>
                  <w14:solidFill>
                    <w14:schemeClr w14:val="tx1"/>
                  </w14:solidFill>
                </w14:textFill>
              </w:rPr>
              <w:t>87</w:t>
            </w:r>
            <w:r>
              <w:rPr>
                <w:rFonts w:hint="eastAsia" w:ascii="宋体" w:hAnsi="宋体" w:eastAsia="宋体" w:cs="Times New Roman"/>
                <w:b/>
                <w:bCs/>
                <w:color w:val="000000" w:themeColor="text1"/>
                <w:sz w:val="24"/>
                <w:szCs w:val="24"/>
                <w14:textFill>
                  <w14:solidFill>
                    <w14:schemeClr w14:val="tx1"/>
                  </w14:solidFill>
                </w14:textFill>
              </w:rPr>
              <w:t>号《政府采购货物和服务招标投标管理办法》第四十四条</w:t>
            </w:r>
            <w:r>
              <w:rPr>
                <w:rFonts w:hint="eastAsia" w:ascii="宋体" w:hAnsi="宋体" w:eastAsia="宋体" w:cs="Times New Roman"/>
                <w:b/>
                <w:color w:val="000000" w:themeColor="text1"/>
                <w:sz w:val="24"/>
                <w:szCs w:val="24"/>
                <w14:textFill>
                  <w14:solidFill>
                    <w14:schemeClr w14:val="tx1"/>
                  </w14:solidFill>
                </w14:textFill>
              </w:rPr>
              <w:t>公开招标采购项目开标结束后，采购人或者采购代理机构应当依法对投标供应商的资格进行审查。合格投标投标供应商不足</w:t>
            </w:r>
            <w:r>
              <w:rPr>
                <w:rFonts w:ascii="宋体" w:hAnsi="宋体" w:eastAsia="宋体" w:cs="Times New Roman"/>
                <w:b/>
                <w:color w:val="000000" w:themeColor="text1"/>
                <w:sz w:val="24"/>
                <w:szCs w:val="24"/>
                <w14:textFill>
                  <w14:solidFill>
                    <w14:schemeClr w14:val="tx1"/>
                  </w14:solidFill>
                </w14:textFill>
              </w:rPr>
              <w:t>3</w:t>
            </w:r>
            <w:r>
              <w:rPr>
                <w:rFonts w:hint="eastAsia" w:ascii="宋体" w:hAnsi="宋体" w:eastAsia="宋体" w:cs="Times New Roman"/>
                <w:b/>
                <w:color w:val="000000" w:themeColor="text1"/>
                <w:sz w:val="24"/>
                <w:szCs w:val="24"/>
                <w14:textFill>
                  <w14:solidFill>
                    <w14:schemeClr w14:val="tx1"/>
                  </w14:solidFill>
                </w14:textFill>
              </w:rPr>
              <w:t>家的，不得评标。</w:t>
            </w:r>
          </w:p>
          <w:p w14:paraId="2D76B635">
            <w:pPr>
              <w:spacing w:line="276" w:lineRule="auto"/>
              <w:ind w:firstLine="482" w:firstLineChars="200"/>
              <w:rPr>
                <w:rFonts w:ascii="宋体" w:hAnsi="宋体" w:eastAsia="宋体" w:cs="Times New Roman"/>
                <w:b/>
                <w:color w:val="000000" w:themeColor="text1"/>
                <w:sz w:val="24"/>
                <w:szCs w:val="24"/>
                <w14:textFill>
                  <w14:solidFill>
                    <w14:schemeClr w14:val="tx1"/>
                  </w14:solidFill>
                </w14:textFill>
              </w:rPr>
            </w:pPr>
            <w:r>
              <w:rPr>
                <w:rFonts w:hint="eastAsia" w:ascii="宋体" w:hAnsi="宋体" w:eastAsia="宋体" w:cs="Times New Roman"/>
                <w:b/>
                <w:bCs/>
                <w:color w:val="000000" w:themeColor="text1"/>
                <w:sz w:val="24"/>
                <w:szCs w:val="24"/>
                <w14:textFill>
                  <w14:solidFill>
                    <w14:schemeClr w14:val="tx1"/>
                  </w14:solidFill>
                </w14:textFill>
              </w:rPr>
              <w:t>资格评（预）审以投标文件为准，其上传资料真实性由投标供应商自行承担</w:t>
            </w:r>
            <w:r>
              <w:rPr>
                <w:rFonts w:hint="eastAsia" w:ascii="宋体" w:hAnsi="宋体" w:eastAsia="宋体" w:cs="Times New Roman"/>
                <w:b/>
                <w:color w:val="000000" w:themeColor="text1"/>
                <w:sz w:val="24"/>
                <w:szCs w:val="24"/>
                <w14:textFill>
                  <w14:solidFill>
                    <w14:schemeClr w14:val="tx1"/>
                  </w14:solidFill>
                </w14:textFill>
              </w:rPr>
              <w:t>。</w:t>
            </w:r>
          </w:p>
        </w:tc>
      </w:tr>
      <w:tr w14:paraId="306B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927" w:type="dxa"/>
            <w:vMerge w:val="restart"/>
            <w:tcBorders>
              <w:top w:val="single" w:color="auto" w:sz="4" w:space="0"/>
              <w:left w:val="single" w:color="auto" w:sz="4" w:space="0"/>
              <w:bottom w:val="single" w:color="auto" w:sz="4" w:space="0"/>
              <w:right w:val="single" w:color="auto" w:sz="4" w:space="0"/>
            </w:tcBorders>
            <w:vAlign w:val="center"/>
          </w:tcPr>
          <w:p w14:paraId="059C9CB8">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3.1.2</w:t>
            </w:r>
          </w:p>
        </w:tc>
        <w:tc>
          <w:tcPr>
            <w:tcW w:w="1284" w:type="dxa"/>
            <w:vMerge w:val="restart"/>
            <w:tcBorders>
              <w:top w:val="single" w:color="auto" w:sz="4" w:space="0"/>
              <w:left w:val="single" w:color="auto" w:sz="4" w:space="0"/>
              <w:bottom w:val="single" w:color="auto" w:sz="4" w:space="0"/>
              <w:right w:val="single" w:color="auto" w:sz="4" w:space="0"/>
            </w:tcBorders>
            <w:vAlign w:val="center"/>
          </w:tcPr>
          <w:p w14:paraId="1E485CEB">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符合性</w:t>
            </w:r>
          </w:p>
          <w:p w14:paraId="04DD6A63">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审查</w:t>
            </w:r>
          </w:p>
          <w:p w14:paraId="02E08B97">
            <w:pPr>
              <w:widowControl/>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标准</w:t>
            </w:r>
          </w:p>
        </w:tc>
        <w:tc>
          <w:tcPr>
            <w:tcW w:w="1887" w:type="dxa"/>
            <w:tcBorders>
              <w:top w:val="single" w:color="auto" w:sz="4" w:space="0"/>
              <w:left w:val="single" w:color="auto" w:sz="4" w:space="0"/>
              <w:bottom w:val="single" w:color="auto" w:sz="4" w:space="0"/>
              <w:right w:val="single" w:color="auto" w:sz="4" w:space="0"/>
            </w:tcBorders>
            <w:vAlign w:val="center"/>
          </w:tcPr>
          <w:p w14:paraId="2A79A29C">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投标供应商名称</w:t>
            </w:r>
          </w:p>
        </w:tc>
        <w:tc>
          <w:tcPr>
            <w:tcW w:w="6450" w:type="dxa"/>
            <w:tcBorders>
              <w:top w:val="single" w:color="auto" w:sz="4" w:space="0"/>
              <w:left w:val="single" w:color="auto" w:sz="4" w:space="0"/>
              <w:bottom w:val="single" w:color="auto" w:sz="4" w:space="0"/>
              <w:right w:val="single" w:color="auto" w:sz="4" w:space="0"/>
            </w:tcBorders>
            <w:vAlign w:val="center"/>
          </w:tcPr>
          <w:p w14:paraId="6E56FBBD">
            <w:pPr>
              <w:spacing w:line="72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与营业执照一致</w:t>
            </w:r>
          </w:p>
        </w:tc>
      </w:tr>
      <w:tr w14:paraId="7B8D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6B1D3BB">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8CAA9BB">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6BE69BA6">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投标函法人、单位盖章</w:t>
            </w:r>
          </w:p>
        </w:tc>
        <w:tc>
          <w:tcPr>
            <w:tcW w:w="6450" w:type="dxa"/>
            <w:tcBorders>
              <w:top w:val="single" w:color="auto" w:sz="4" w:space="0"/>
              <w:left w:val="single" w:color="auto" w:sz="4" w:space="0"/>
              <w:bottom w:val="single" w:color="auto" w:sz="4" w:space="0"/>
              <w:right w:val="single" w:color="auto" w:sz="4" w:space="0"/>
            </w:tcBorders>
            <w:vAlign w:val="center"/>
          </w:tcPr>
          <w:p w14:paraId="235FFEDE">
            <w:pPr>
              <w:spacing w:line="72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符合招标文件要求</w:t>
            </w:r>
          </w:p>
        </w:tc>
      </w:tr>
      <w:tr w14:paraId="147B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3D66355F">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F70989B">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58F325FE">
            <w:pPr>
              <w:spacing w:line="72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供货期</w:t>
            </w:r>
          </w:p>
        </w:tc>
        <w:tc>
          <w:tcPr>
            <w:tcW w:w="6450" w:type="dxa"/>
            <w:tcBorders>
              <w:top w:val="single" w:color="auto" w:sz="4" w:space="0"/>
              <w:left w:val="single" w:color="auto" w:sz="4" w:space="0"/>
              <w:bottom w:val="single" w:color="auto" w:sz="4" w:space="0"/>
              <w:right w:val="single" w:color="auto" w:sz="4" w:space="0"/>
            </w:tcBorders>
            <w:vAlign w:val="center"/>
          </w:tcPr>
          <w:p w14:paraId="68114E29">
            <w:pPr>
              <w:spacing w:line="72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符合第二章“投标供应商须知”规定</w:t>
            </w:r>
          </w:p>
        </w:tc>
      </w:tr>
      <w:tr w14:paraId="4E0B0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04EFB35">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4336E3BD">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right w:val="single" w:color="auto" w:sz="4" w:space="0"/>
            </w:tcBorders>
            <w:vAlign w:val="center"/>
          </w:tcPr>
          <w:p w14:paraId="7D790238">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质量要求</w:t>
            </w:r>
          </w:p>
        </w:tc>
        <w:tc>
          <w:tcPr>
            <w:tcW w:w="6450" w:type="dxa"/>
            <w:tcBorders>
              <w:top w:val="single" w:color="auto" w:sz="4" w:space="0"/>
              <w:left w:val="single" w:color="auto" w:sz="4" w:space="0"/>
              <w:bottom w:val="single" w:color="auto" w:sz="4" w:space="0"/>
              <w:right w:val="single" w:color="auto" w:sz="4" w:space="0"/>
            </w:tcBorders>
            <w:vAlign w:val="center"/>
          </w:tcPr>
          <w:p w14:paraId="38AA10E6">
            <w:p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符合第二章“投标供应商须知”规定</w:t>
            </w:r>
          </w:p>
        </w:tc>
      </w:tr>
      <w:tr w14:paraId="2CEC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07C5C58F">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0ED41770">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right w:val="single" w:color="auto" w:sz="4" w:space="0"/>
            </w:tcBorders>
            <w:vAlign w:val="center"/>
          </w:tcPr>
          <w:p w14:paraId="05AA759D">
            <w:pPr>
              <w:spacing w:line="276"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投标有效期</w:t>
            </w:r>
          </w:p>
        </w:tc>
        <w:tc>
          <w:tcPr>
            <w:tcW w:w="6450" w:type="dxa"/>
            <w:tcBorders>
              <w:top w:val="single" w:color="auto" w:sz="4" w:space="0"/>
              <w:left w:val="single" w:color="auto" w:sz="4" w:space="0"/>
              <w:right w:val="single" w:color="auto" w:sz="4" w:space="0"/>
            </w:tcBorders>
            <w:vAlign w:val="center"/>
          </w:tcPr>
          <w:p w14:paraId="45D03C45">
            <w:pP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符合第二章“投标供应商须知”规定</w:t>
            </w:r>
          </w:p>
        </w:tc>
      </w:tr>
      <w:tr w14:paraId="0077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927" w:type="dxa"/>
            <w:vMerge w:val="continue"/>
            <w:tcBorders>
              <w:top w:val="single" w:color="auto" w:sz="4" w:space="0"/>
              <w:left w:val="single" w:color="auto" w:sz="4" w:space="0"/>
              <w:bottom w:val="single" w:color="auto" w:sz="4" w:space="0"/>
              <w:right w:val="single" w:color="auto" w:sz="4" w:space="0"/>
            </w:tcBorders>
            <w:vAlign w:val="center"/>
          </w:tcPr>
          <w:p w14:paraId="5CD2D704">
            <w:pPr>
              <w:widowControl/>
              <w:jc w:val="left"/>
              <w:rPr>
                <w:rFonts w:ascii="宋体" w:hAnsi="宋体" w:eastAsia="宋体" w:cs="Times New Roman"/>
                <w:color w:val="000000" w:themeColor="text1"/>
                <w:sz w:val="24"/>
                <w:szCs w:val="24"/>
                <w14:textFill>
                  <w14:solidFill>
                    <w14:schemeClr w14:val="tx1"/>
                  </w14:solidFill>
                </w14:textFill>
              </w:rPr>
            </w:pPr>
          </w:p>
        </w:tc>
        <w:tc>
          <w:tcPr>
            <w:tcW w:w="1284" w:type="dxa"/>
            <w:vMerge w:val="continue"/>
            <w:tcBorders>
              <w:top w:val="single" w:color="auto" w:sz="4" w:space="0"/>
              <w:left w:val="single" w:color="auto" w:sz="4" w:space="0"/>
              <w:bottom w:val="single" w:color="auto" w:sz="4" w:space="0"/>
              <w:right w:val="single" w:color="auto" w:sz="4" w:space="0"/>
            </w:tcBorders>
            <w:vAlign w:val="center"/>
          </w:tcPr>
          <w:p w14:paraId="3936D9DD">
            <w:pPr>
              <w:widowControl/>
              <w:jc w:val="left"/>
              <w:rPr>
                <w:rFonts w:ascii="宋体" w:hAnsi="宋体" w:eastAsia="宋体" w:cs="Times New Roman"/>
                <w:color w:val="000000" w:themeColor="text1"/>
                <w:sz w:val="24"/>
                <w:szCs w:val="24"/>
                <w14:textFill>
                  <w14:solidFill>
                    <w14:schemeClr w14:val="tx1"/>
                  </w14:solidFill>
                </w14:textFill>
              </w:rPr>
            </w:pPr>
          </w:p>
        </w:tc>
        <w:tc>
          <w:tcPr>
            <w:tcW w:w="1887" w:type="dxa"/>
            <w:tcBorders>
              <w:top w:val="single" w:color="auto" w:sz="4" w:space="0"/>
              <w:left w:val="single" w:color="auto" w:sz="4" w:space="0"/>
              <w:bottom w:val="single" w:color="auto" w:sz="4" w:space="0"/>
              <w:right w:val="single" w:color="auto" w:sz="4" w:space="0"/>
            </w:tcBorders>
            <w:vAlign w:val="center"/>
          </w:tcPr>
          <w:p w14:paraId="313A4897">
            <w:pPr>
              <w:spacing w:line="360" w:lineRule="auto"/>
              <w:jc w:val="center"/>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投标报价</w:t>
            </w:r>
          </w:p>
        </w:tc>
        <w:tc>
          <w:tcPr>
            <w:tcW w:w="6450" w:type="dxa"/>
            <w:tcBorders>
              <w:top w:val="single" w:color="auto" w:sz="4" w:space="0"/>
              <w:left w:val="single" w:color="auto" w:sz="4" w:space="0"/>
              <w:bottom w:val="single" w:color="auto" w:sz="4" w:space="0"/>
              <w:right w:val="single" w:color="auto" w:sz="4" w:space="0"/>
            </w:tcBorders>
            <w:vAlign w:val="center"/>
          </w:tcPr>
          <w:p w14:paraId="79CFD947">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超出“最高限价”的，该投标供应商的投标按无效处理。</w:t>
            </w:r>
          </w:p>
        </w:tc>
      </w:tr>
    </w:tbl>
    <w:p w14:paraId="0BCB1EF4">
      <w:pPr>
        <w:rPr>
          <w:rFonts w:ascii="宋体" w:hAnsi="宋体" w:eastAsia="宋体"/>
          <w:color w:val="000000" w:themeColor="text1"/>
          <w14:textFill>
            <w14:solidFill>
              <w14:schemeClr w14:val="tx1"/>
            </w14:solidFill>
          </w14:textFill>
        </w:rPr>
      </w:pPr>
    </w:p>
    <w:p w14:paraId="191772B6">
      <w:pPr>
        <w:rPr>
          <w:rFonts w:ascii="宋体" w:hAnsi="宋体" w:eastAsia="宋体"/>
          <w:color w:val="000000" w:themeColor="text1"/>
          <w14:textFill>
            <w14:solidFill>
              <w14:schemeClr w14:val="tx1"/>
            </w14:solidFill>
          </w14:textFill>
        </w:rPr>
      </w:pPr>
    </w:p>
    <w:p w14:paraId="4164F160">
      <w:pPr>
        <w:rPr>
          <w:rFonts w:ascii="宋体" w:hAnsi="宋体" w:eastAsia="宋体"/>
          <w:color w:val="000000" w:themeColor="text1"/>
          <w14:textFill>
            <w14:solidFill>
              <w14:schemeClr w14:val="tx1"/>
            </w14:solidFill>
          </w14:textFill>
        </w:rPr>
      </w:pPr>
    </w:p>
    <w:p w14:paraId="64625457">
      <w:pPr>
        <w:rPr>
          <w:rFonts w:ascii="宋体" w:hAnsi="宋体" w:eastAsia="宋体"/>
          <w:color w:val="000000" w:themeColor="text1"/>
          <w14:textFill>
            <w14:solidFill>
              <w14:schemeClr w14:val="tx1"/>
            </w14:solidFill>
          </w14:textFill>
        </w:rPr>
      </w:pPr>
    </w:p>
    <w:p w14:paraId="2D2BC6B8">
      <w:pPr>
        <w:rPr>
          <w:rFonts w:ascii="宋体" w:hAnsi="宋体" w:eastAsia="宋体"/>
          <w:color w:val="000000" w:themeColor="text1"/>
          <w14:textFill>
            <w14:solidFill>
              <w14:schemeClr w14:val="tx1"/>
            </w14:solidFill>
          </w14:textFill>
        </w:rPr>
      </w:pPr>
    </w:p>
    <w:p w14:paraId="0CC37C7D">
      <w:pPr>
        <w:rPr>
          <w:rFonts w:ascii="宋体" w:hAnsi="宋体" w:eastAsia="宋体"/>
          <w:color w:val="000000" w:themeColor="text1"/>
          <w14:textFill>
            <w14:solidFill>
              <w14:schemeClr w14:val="tx1"/>
            </w14:solidFill>
          </w14:textFill>
        </w:rPr>
      </w:pPr>
    </w:p>
    <w:p w14:paraId="597B3D48">
      <w:pPr>
        <w:rPr>
          <w:rFonts w:ascii="宋体" w:hAnsi="宋体" w:eastAsia="宋体"/>
          <w:color w:val="000000" w:themeColor="text1"/>
          <w14:textFill>
            <w14:solidFill>
              <w14:schemeClr w14:val="tx1"/>
            </w14:solidFill>
          </w14:textFill>
        </w:rPr>
      </w:pPr>
    </w:p>
    <w:p w14:paraId="318948F8">
      <w:pPr>
        <w:rPr>
          <w:rFonts w:ascii="宋体" w:hAnsi="宋体" w:eastAsia="宋体"/>
          <w:color w:val="000000" w:themeColor="text1"/>
          <w14:textFill>
            <w14:solidFill>
              <w14:schemeClr w14:val="tx1"/>
            </w14:solidFill>
          </w14:textFill>
        </w:rPr>
      </w:pPr>
    </w:p>
    <w:p w14:paraId="62522038">
      <w:pPr>
        <w:rPr>
          <w:rFonts w:ascii="宋体" w:hAnsi="宋体" w:eastAsia="宋体"/>
          <w:color w:val="000000" w:themeColor="text1"/>
          <w14:textFill>
            <w14:solidFill>
              <w14:schemeClr w14:val="tx1"/>
            </w14:solidFill>
          </w14:textFill>
        </w:rPr>
      </w:pPr>
    </w:p>
    <w:p w14:paraId="29CE06D1">
      <w:pPr>
        <w:rPr>
          <w:rFonts w:ascii="宋体" w:hAnsi="宋体" w:eastAsia="宋体"/>
          <w:color w:val="000000" w:themeColor="text1"/>
          <w14:textFill>
            <w14:solidFill>
              <w14:schemeClr w14:val="tx1"/>
            </w14:solidFill>
          </w14:textFill>
        </w:rPr>
      </w:pPr>
    </w:p>
    <w:p w14:paraId="6B27813E">
      <w:pPr>
        <w:rPr>
          <w:rFonts w:ascii="宋体" w:hAnsi="宋体" w:eastAsia="宋体"/>
          <w:color w:val="000000" w:themeColor="text1"/>
          <w14:textFill>
            <w14:solidFill>
              <w14:schemeClr w14:val="tx1"/>
            </w14:solidFill>
          </w14:textFill>
        </w:rPr>
      </w:pPr>
    </w:p>
    <w:p w14:paraId="1B9CBEDB">
      <w:pPr>
        <w:rPr>
          <w:rFonts w:ascii="宋体" w:hAnsi="宋体" w:eastAsia="宋体"/>
          <w:color w:val="000000" w:themeColor="text1"/>
          <w14:textFill>
            <w14:solidFill>
              <w14:schemeClr w14:val="tx1"/>
            </w14:solidFill>
          </w14:textFill>
        </w:rPr>
      </w:pPr>
    </w:p>
    <w:p w14:paraId="4DEB0EAE">
      <w:pPr>
        <w:rPr>
          <w:rFonts w:ascii="宋体" w:hAnsi="宋体" w:eastAsia="宋体"/>
          <w:color w:val="000000" w:themeColor="text1"/>
          <w14:textFill>
            <w14:solidFill>
              <w14:schemeClr w14:val="tx1"/>
            </w14:solidFill>
          </w14:textFill>
        </w:rPr>
      </w:pPr>
    </w:p>
    <w:p w14:paraId="021A0FEE">
      <w:pPr>
        <w:rPr>
          <w:rFonts w:ascii="宋体" w:hAnsi="宋体" w:eastAsia="宋体"/>
          <w:b/>
          <w:bCs/>
          <w:color w:val="000000" w:themeColor="text1"/>
          <w:sz w:val="32"/>
          <w:szCs w:val="36"/>
          <w14:textFill>
            <w14:solidFill>
              <w14:schemeClr w14:val="tx1"/>
            </w14:solidFill>
          </w14:textFill>
        </w:rPr>
      </w:pPr>
    </w:p>
    <w:tbl>
      <w:tblPr>
        <w:tblStyle w:val="89"/>
        <w:tblpPr w:leftFromText="180" w:rightFromText="180" w:vertAnchor="text" w:tblpXSpec="center" w:tblpY="1"/>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921"/>
        <w:gridCol w:w="6142"/>
        <w:gridCol w:w="850"/>
      </w:tblGrid>
      <w:tr w14:paraId="41E6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976" w:type="dxa"/>
            <w:noWrap/>
            <w:vAlign w:val="center"/>
          </w:tcPr>
          <w:p w14:paraId="59845F42">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评分项</w:t>
            </w:r>
          </w:p>
        </w:tc>
        <w:tc>
          <w:tcPr>
            <w:tcW w:w="1921" w:type="dxa"/>
            <w:noWrap/>
            <w:vAlign w:val="center"/>
          </w:tcPr>
          <w:p w14:paraId="6A0011A5">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评审内容</w:t>
            </w:r>
          </w:p>
        </w:tc>
        <w:tc>
          <w:tcPr>
            <w:tcW w:w="6142" w:type="dxa"/>
            <w:noWrap/>
            <w:vAlign w:val="center"/>
          </w:tcPr>
          <w:p w14:paraId="705FCB1D">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评分标准</w:t>
            </w:r>
          </w:p>
        </w:tc>
        <w:tc>
          <w:tcPr>
            <w:tcW w:w="850" w:type="dxa"/>
            <w:noWrap/>
            <w:vAlign w:val="center"/>
          </w:tcPr>
          <w:p w14:paraId="7A5CE20A">
            <w:pPr>
              <w:widowControl/>
              <w:spacing w:line="360" w:lineRule="auto"/>
              <w:jc w:val="center"/>
              <w:rPr>
                <w:rFonts w:ascii="宋体" w:hAnsi="宋体" w:eastAsia="宋体" w:cs="宋体"/>
                <w:b/>
                <w:bCs/>
                <w:sz w:val="24"/>
                <w:szCs w:val="24"/>
              </w:rPr>
            </w:pPr>
            <w:r>
              <w:rPr>
                <w:rFonts w:hint="eastAsia" w:ascii="宋体" w:hAnsi="宋体" w:eastAsia="宋体" w:cs="宋体"/>
                <w:b/>
                <w:bCs/>
                <w:sz w:val="24"/>
                <w:szCs w:val="24"/>
              </w:rPr>
              <w:t>分值</w:t>
            </w:r>
          </w:p>
        </w:tc>
      </w:tr>
      <w:tr w14:paraId="3536B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897" w:type="dxa"/>
            <w:gridSpan w:val="2"/>
            <w:noWrap/>
            <w:vAlign w:val="center"/>
          </w:tcPr>
          <w:p w14:paraId="7C8A4212">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投标报价</w:t>
            </w:r>
          </w:p>
          <w:p w14:paraId="33882D25">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30分</w:t>
            </w:r>
          </w:p>
        </w:tc>
        <w:tc>
          <w:tcPr>
            <w:tcW w:w="6142" w:type="dxa"/>
            <w:noWrap/>
            <w:vAlign w:val="center"/>
          </w:tcPr>
          <w:p w14:paraId="7CB07CD1">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综合评分法中的价格分统一采用低价优先法计算，即满足招标文件要求且最后报价最低的供应商的价格为基准价，其价格分为满分。其他供应商的价格分统一按照下列公式计算：</w:t>
            </w:r>
          </w:p>
          <w:p w14:paraId="33C56DA9">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报价得分=（基准价/供应商报价）×30</w:t>
            </w:r>
          </w:p>
          <w:p w14:paraId="5F13B028">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1、评审过程中，不得去掉最后报价中的最高报价和最低报价。</w:t>
            </w:r>
          </w:p>
          <w:p w14:paraId="787C5A50">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2、政府采购政策：</w:t>
            </w:r>
          </w:p>
          <w:p w14:paraId="6959F6FD">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 xml:space="preserve">价格扣除： </w:t>
            </w:r>
          </w:p>
          <w:p w14:paraId="3C4E5AE4">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（1）根据《政府采购促进中小企业发展管理办法》财库〔</w:t>
            </w:r>
            <w:r>
              <w:rPr>
                <w:rFonts w:ascii="Times New Roman" w:hAnsi="Times New Roman" w:eastAsia="宋体" w:cs="Times New Roman"/>
                <w:sz w:val="24"/>
                <w:lang w:bidi="ar"/>
              </w:rPr>
              <w:t xml:space="preserve">2020〕46 号的规定，对于非专门面向中小企业的项目，对所有服务全部均由小型和微型企业提供的给予 </w:t>
            </w:r>
            <w:r>
              <w:rPr>
                <w:rFonts w:hint="eastAsia" w:ascii="Times New Roman" w:hAnsi="Times New Roman" w:eastAsia="宋体" w:cs="Times New Roman"/>
                <w:sz w:val="24"/>
                <w:lang w:bidi="ar"/>
              </w:rPr>
              <w:t>2</w:t>
            </w:r>
            <w:r>
              <w:rPr>
                <w:rFonts w:ascii="Times New Roman" w:hAnsi="Times New Roman" w:eastAsia="宋体" w:cs="Times New Roman"/>
                <w:sz w:val="24"/>
                <w:lang w:bidi="ar"/>
              </w:rPr>
              <w:t>0%的扣除，用扣除后的价格参与评审。</w:t>
            </w:r>
          </w:p>
          <w:p w14:paraId="5A4ACB53">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所投小微企业报价=所投小微企业报价×（1-20%）</w:t>
            </w:r>
          </w:p>
          <w:p w14:paraId="143D617E">
            <w:pPr>
              <w:spacing w:before="50" w:line="360" w:lineRule="auto"/>
              <w:ind w:right="47"/>
              <w:rPr>
                <w:rFonts w:ascii="Times New Roman" w:hAnsi="Times New Roman" w:eastAsia="宋体" w:cs="Times New Roman"/>
                <w:sz w:val="24"/>
                <w:lang w:bidi="ar"/>
              </w:rPr>
            </w:pPr>
            <w:r>
              <w:rPr>
                <w:rFonts w:hint="eastAsia" w:ascii="Times New Roman" w:hAnsi="Times New Roman" w:eastAsia="宋体" w:cs="Times New Roman"/>
                <w:sz w:val="24"/>
                <w:lang w:bidi="ar"/>
              </w:rPr>
              <w:t>（2）根据《关于促进残疾人就业政府采购政策的通知》（财库〔</w:t>
            </w:r>
            <w:r>
              <w:rPr>
                <w:rFonts w:ascii="Times New Roman" w:hAnsi="Times New Roman" w:eastAsia="宋体" w:cs="Times New Roman"/>
                <w:sz w:val="24"/>
                <w:lang w:bidi="ar"/>
              </w:rPr>
              <w:t>2017〕141 号）的规定，残疾人福利性单位视同小型、微型企业；根据财库〔2014〕68 号《财政部司法部关于政府采购支持监狱企业发展有关问题的通知》，监狱企业视同小微企业。</w:t>
            </w:r>
          </w:p>
          <w:p w14:paraId="25D9AE0C">
            <w:pPr>
              <w:spacing w:before="50" w:line="360" w:lineRule="auto"/>
              <w:ind w:right="47"/>
              <w:rPr>
                <w:rFonts w:ascii="宋体" w:hAnsi="宋体" w:eastAsia="宋体" w:cs="宋体"/>
                <w:b/>
                <w:sz w:val="24"/>
                <w:szCs w:val="24"/>
              </w:rPr>
            </w:pPr>
            <w:r>
              <w:rPr>
                <w:rFonts w:hint="eastAsia" w:ascii="Times New Roman" w:hAnsi="Times New Roman" w:eastAsia="宋体" w:cs="Times New Roman"/>
                <w:sz w:val="24"/>
                <w:lang w:bidi="ar"/>
              </w:rPr>
              <w:t>（3）</w:t>
            </w:r>
            <w:r>
              <w:rPr>
                <w:rFonts w:ascii="Times New Roman" w:hAnsi="Times New Roman" w:eastAsia="宋体" w:cs="Times New Roman"/>
                <w:sz w:val="24"/>
                <w:lang w:bidi="ar"/>
              </w:rPr>
              <w:t>同一供应商，小微企业、残疾人福利企业价格扣除优惠只享受一次，不重复享受。</w:t>
            </w:r>
          </w:p>
        </w:tc>
        <w:tc>
          <w:tcPr>
            <w:tcW w:w="850" w:type="dxa"/>
            <w:noWrap/>
            <w:vAlign w:val="center"/>
          </w:tcPr>
          <w:p w14:paraId="169B3564">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30分</w:t>
            </w:r>
          </w:p>
        </w:tc>
      </w:tr>
      <w:tr w14:paraId="6FDF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976" w:type="dxa"/>
            <w:vMerge w:val="restart"/>
            <w:noWrap/>
            <w:vAlign w:val="center"/>
          </w:tcPr>
          <w:p w14:paraId="7AF32E3D">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技术</w:t>
            </w:r>
          </w:p>
          <w:p w14:paraId="5D16BFE2">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部分</w:t>
            </w:r>
          </w:p>
          <w:p w14:paraId="4DF83064">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50分</w:t>
            </w:r>
          </w:p>
        </w:tc>
        <w:tc>
          <w:tcPr>
            <w:tcW w:w="1921" w:type="dxa"/>
            <w:noWrap/>
            <w:vAlign w:val="center"/>
          </w:tcPr>
          <w:p w14:paraId="635EE3F3">
            <w:pPr>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技术参数响应</w:t>
            </w:r>
          </w:p>
          <w:p w14:paraId="04C3BB5D">
            <w:pPr>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bCs/>
                <w:kern w:val="0"/>
                <w:sz w:val="24"/>
                <w:szCs w:val="24"/>
              </w:rPr>
              <w:t>程度</w:t>
            </w:r>
          </w:p>
        </w:tc>
        <w:tc>
          <w:tcPr>
            <w:tcW w:w="6142" w:type="dxa"/>
            <w:noWrap/>
            <w:vAlign w:val="center"/>
          </w:tcPr>
          <w:p w14:paraId="43E0D123">
            <w:pPr>
              <w:spacing w:line="360" w:lineRule="auto"/>
              <w:jc w:val="left"/>
              <w:rPr>
                <w:rFonts w:ascii="宋体" w:hAnsi="宋体" w:eastAsia="宋体" w:cs="宋体"/>
                <w:kern w:val="0"/>
                <w:sz w:val="24"/>
                <w:szCs w:val="24"/>
              </w:rPr>
            </w:pPr>
            <w:r>
              <w:rPr>
                <w:rFonts w:hint="eastAsia" w:ascii="宋体" w:hAnsi="宋体" w:eastAsia="宋体" w:cs="仿宋"/>
                <w:sz w:val="24"/>
                <w:szCs w:val="24"/>
              </w:rPr>
              <w:t>供应商所投货物的技术参数能够全部满足招标文件技术参数要求的,得30分；技术参数不满足招标文件要求的,每有一项不满足扣3分，扣完为止。</w:t>
            </w:r>
          </w:p>
        </w:tc>
        <w:tc>
          <w:tcPr>
            <w:tcW w:w="850" w:type="dxa"/>
            <w:noWrap/>
            <w:vAlign w:val="center"/>
          </w:tcPr>
          <w:p w14:paraId="0E1F0659">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30分</w:t>
            </w:r>
          </w:p>
        </w:tc>
      </w:tr>
      <w:tr w14:paraId="5B155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976" w:type="dxa"/>
            <w:vMerge w:val="continue"/>
            <w:vAlign w:val="center"/>
          </w:tcPr>
          <w:p w14:paraId="29CCD98E">
            <w:pPr>
              <w:widowControl/>
              <w:jc w:val="left"/>
              <w:rPr>
                <w:rFonts w:ascii="宋体" w:hAnsi="宋体" w:eastAsia="宋体" w:cs="宋体"/>
                <w:kern w:val="0"/>
                <w:sz w:val="24"/>
                <w:szCs w:val="24"/>
              </w:rPr>
            </w:pPr>
          </w:p>
        </w:tc>
        <w:tc>
          <w:tcPr>
            <w:tcW w:w="1921" w:type="dxa"/>
            <w:noWrap/>
            <w:vAlign w:val="center"/>
          </w:tcPr>
          <w:p w14:paraId="6F7DC988">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产品质量保证</w:t>
            </w:r>
          </w:p>
          <w:p w14:paraId="54C1297F">
            <w:pPr>
              <w:autoSpaceDE w:val="0"/>
              <w:autoSpaceDN w:val="0"/>
              <w:adjustRightInd w:val="0"/>
              <w:spacing w:line="360" w:lineRule="auto"/>
              <w:jc w:val="center"/>
              <w:rPr>
                <w:rFonts w:ascii="宋体" w:hAnsi="宋体" w:eastAsia="宋体" w:cs="宋体"/>
                <w:bCs/>
                <w:kern w:val="0"/>
                <w:sz w:val="24"/>
                <w:szCs w:val="24"/>
              </w:rPr>
            </w:pPr>
            <w:r>
              <w:rPr>
                <w:rFonts w:hint="eastAsia" w:ascii="宋体" w:hAnsi="宋体" w:eastAsia="宋体" w:cs="宋体"/>
                <w:kern w:val="0"/>
                <w:sz w:val="24"/>
                <w:szCs w:val="24"/>
              </w:rPr>
              <w:t>措施</w:t>
            </w:r>
          </w:p>
        </w:tc>
        <w:tc>
          <w:tcPr>
            <w:tcW w:w="6142" w:type="dxa"/>
            <w:noWrap/>
            <w:vAlign w:val="center"/>
          </w:tcPr>
          <w:p w14:paraId="47E5A7ED">
            <w:pPr>
              <w:spacing w:line="420" w:lineRule="exact"/>
              <w:ind w:firstLine="480" w:firstLineChars="200"/>
              <w:jc w:val="left"/>
              <w:rPr>
                <w:rFonts w:ascii="宋体" w:hAnsi="宋体" w:eastAsia="宋体" w:cs="仿宋"/>
                <w:sz w:val="24"/>
                <w:szCs w:val="24"/>
              </w:rPr>
            </w:pPr>
            <w:r>
              <w:rPr>
                <w:rFonts w:hint="eastAsia" w:ascii="宋体" w:hAnsi="宋体" w:eastAsia="宋体" w:cs="仿宋"/>
                <w:sz w:val="24"/>
                <w:szCs w:val="24"/>
              </w:rPr>
              <w:t>详细说明本项目设备安装准备阶段、安装阶段、试运转阶段、现场安装质量、安装中临时事件及突发事件的处理情况；内容具体全面，可操作性强的，得6分；内容片面的或可，操作性不强的，得3分；可操作性差的，得1分；没有不得分。</w:t>
            </w:r>
          </w:p>
        </w:tc>
        <w:tc>
          <w:tcPr>
            <w:tcW w:w="850" w:type="dxa"/>
            <w:noWrap/>
            <w:vAlign w:val="center"/>
          </w:tcPr>
          <w:p w14:paraId="3C9543DF">
            <w:pPr>
              <w:jc w:val="center"/>
              <w:rPr>
                <w:rFonts w:ascii="仿宋" w:hAnsi="仿宋" w:eastAsia="仿宋" w:cs="仿宋"/>
              </w:rPr>
            </w:pPr>
            <w:r>
              <w:rPr>
                <w:rFonts w:hint="eastAsia" w:ascii="仿宋" w:hAnsi="仿宋" w:eastAsia="仿宋" w:cs="仿宋"/>
                <w:bCs/>
                <w:kern w:val="0"/>
                <w:sz w:val="24"/>
                <w:szCs w:val="24"/>
              </w:rPr>
              <w:t>6分</w:t>
            </w:r>
          </w:p>
        </w:tc>
      </w:tr>
      <w:tr w14:paraId="4B6E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976" w:type="dxa"/>
            <w:vMerge w:val="continue"/>
            <w:vAlign w:val="center"/>
          </w:tcPr>
          <w:p w14:paraId="322AC9A6">
            <w:pPr>
              <w:widowControl/>
              <w:jc w:val="left"/>
              <w:rPr>
                <w:rFonts w:ascii="宋体" w:hAnsi="宋体" w:eastAsia="宋体" w:cs="宋体"/>
                <w:kern w:val="0"/>
                <w:sz w:val="24"/>
                <w:szCs w:val="24"/>
              </w:rPr>
            </w:pPr>
          </w:p>
        </w:tc>
        <w:tc>
          <w:tcPr>
            <w:tcW w:w="1921" w:type="dxa"/>
            <w:noWrap/>
            <w:vAlign w:val="center"/>
          </w:tcPr>
          <w:p w14:paraId="703753E5">
            <w:pPr>
              <w:autoSpaceDE w:val="0"/>
              <w:autoSpaceDN w:val="0"/>
              <w:adjustRightInd w:val="0"/>
              <w:spacing w:line="360" w:lineRule="auto"/>
              <w:jc w:val="center"/>
              <w:rPr>
                <w:rFonts w:ascii="宋体" w:hAnsi="宋体" w:eastAsia="宋体" w:cs="Times New Roman"/>
                <w:sz w:val="24"/>
                <w:szCs w:val="24"/>
              </w:rPr>
            </w:pPr>
            <w:r>
              <w:rPr>
                <w:rFonts w:hint="eastAsia" w:ascii="宋体" w:hAnsi="宋体" w:eastAsia="宋体" w:cs="Times New Roman"/>
                <w:sz w:val="24"/>
                <w:szCs w:val="24"/>
              </w:rPr>
              <w:t>供货实施方案</w:t>
            </w:r>
          </w:p>
        </w:tc>
        <w:tc>
          <w:tcPr>
            <w:tcW w:w="6142" w:type="dxa"/>
            <w:noWrap/>
            <w:vAlign w:val="center"/>
          </w:tcPr>
          <w:p w14:paraId="76B6A9BE">
            <w:pPr>
              <w:spacing w:line="360" w:lineRule="auto"/>
              <w:rPr>
                <w:rFonts w:ascii="宋体" w:hAnsi="宋体" w:eastAsia="宋体" w:cs="Times New Roman"/>
                <w:sz w:val="24"/>
                <w:szCs w:val="24"/>
              </w:rPr>
            </w:pPr>
            <w:r>
              <w:rPr>
                <w:rFonts w:hint="eastAsia" w:ascii="宋体" w:hAnsi="宋体" w:eastAsia="宋体" w:cs="Times New Roman"/>
                <w:sz w:val="24"/>
                <w:szCs w:val="24"/>
              </w:rPr>
              <w:t>供应商提供的项目实施方案（含货物运输、安装、调试等）内容详实具体、合理、安全、安装调试实施保障</w:t>
            </w:r>
            <w:r>
              <w:rPr>
                <w:rFonts w:hint="eastAsia" w:ascii="宋体" w:hAnsi="宋体" w:eastAsia="宋体" w:cs="仿宋"/>
                <w:sz w:val="24"/>
                <w:szCs w:val="24"/>
              </w:rPr>
              <w:t>考虑周全措施到位，</w:t>
            </w:r>
            <w:r>
              <w:rPr>
                <w:rFonts w:hint="eastAsia" w:ascii="宋体" w:hAnsi="宋体" w:eastAsia="宋体" w:cs="Times New Roman"/>
                <w:sz w:val="24"/>
                <w:szCs w:val="24"/>
              </w:rPr>
              <w:t>充分且高效、人数充足，满足项目实施得8分；有较具体的实施方案，内容较详实，基本满足项目需求但有个别细节需要进一步完善或提高者得5分；方案欠完备，内容一般，基本满足需求得3分；方案不完备，内容差，不能满足需求得1分；不提供不得分。</w:t>
            </w:r>
          </w:p>
        </w:tc>
        <w:tc>
          <w:tcPr>
            <w:tcW w:w="850" w:type="dxa"/>
            <w:noWrap/>
            <w:vAlign w:val="center"/>
          </w:tcPr>
          <w:p w14:paraId="076E7F73">
            <w:pPr>
              <w:spacing w:line="360" w:lineRule="auto"/>
              <w:jc w:val="center"/>
              <w:rPr>
                <w:rFonts w:ascii="宋体" w:hAnsi="宋体" w:eastAsia="宋体" w:cs="宋体"/>
                <w:sz w:val="24"/>
                <w:szCs w:val="24"/>
              </w:rPr>
            </w:pPr>
            <w:r>
              <w:rPr>
                <w:rFonts w:hint="eastAsia" w:ascii="宋体" w:hAnsi="宋体" w:eastAsia="宋体" w:cs="宋体"/>
                <w:sz w:val="24"/>
                <w:szCs w:val="24"/>
              </w:rPr>
              <w:t>8分</w:t>
            </w:r>
          </w:p>
        </w:tc>
      </w:tr>
      <w:tr w14:paraId="275C3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4" w:hRule="atLeast"/>
        </w:trPr>
        <w:tc>
          <w:tcPr>
            <w:tcW w:w="976" w:type="dxa"/>
            <w:vMerge w:val="continue"/>
            <w:vAlign w:val="center"/>
          </w:tcPr>
          <w:p w14:paraId="67F3C201">
            <w:pPr>
              <w:widowControl/>
              <w:jc w:val="left"/>
              <w:rPr>
                <w:rFonts w:ascii="宋体" w:hAnsi="宋体" w:eastAsia="宋体" w:cs="宋体"/>
                <w:kern w:val="0"/>
                <w:sz w:val="24"/>
                <w:szCs w:val="24"/>
              </w:rPr>
            </w:pPr>
          </w:p>
        </w:tc>
        <w:tc>
          <w:tcPr>
            <w:tcW w:w="1921" w:type="dxa"/>
            <w:noWrap/>
            <w:vAlign w:val="center"/>
          </w:tcPr>
          <w:p w14:paraId="67A76E4A">
            <w:pPr>
              <w:spacing w:line="440" w:lineRule="exact"/>
              <w:jc w:val="center"/>
              <w:rPr>
                <w:rFonts w:ascii="宋体" w:hAnsi="宋体" w:eastAsia="宋体" w:cs="Times New Roman"/>
                <w:sz w:val="24"/>
                <w:szCs w:val="24"/>
              </w:rPr>
            </w:pPr>
            <w:r>
              <w:rPr>
                <w:rFonts w:hint="eastAsia" w:ascii="宋体" w:hAnsi="宋体" w:eastAsia="宋体" w:cs="Times New Roman"/>
                <w:sz w:val="24"/>
                <w:szCs w:val="24"/>
              </w:rPr>
              <w:t>技术培训</w:t>
            </w:r>
          </w:p>
        </w:tc>
        <w:tc>
          <w:tcPr>
            <w:tcW w:w="6142" w:type="dxa"/>
            <w:noWrap/>
            <w:vAlign w:val="center"/>
          </w:tcPr>
          <w:p w14:paraId="74157D80">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 xml:space="preserve">根据培训的科学性、计划安排、培训措施等方面，评委根据方案的科学性、可行性和合理性进行综合评比： </w:t>
            </w:r>
          </w:p>
          <w:p w14:paraId="6AEEE28A">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(1)对本项目特点和难点理解准确，技术培训优于本项目采购需求，完整详细，可行性、实用性、针对性强，得6分;</w:t>
            </w:r>
          </w:p>
          <w:p w14:paraId="1640B06E">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 xml:space="preserve">(2)对本项目特点和难点理解基本准确，技术培训适合本项目采购需求，完整详细，具有可行性、实用性和针对性，得4分: </w:t>
            </w:r>
          </w:p>
          <w:p w14:paraId="6E57C5A3">
            <w:pPr>
              <w:spacing w:line="360" w:lineRule="auto"/>
              <w:ind w:firstLine="460" w:firstLineChars="192"/>
              <w:rPr>
                <w:rFonts w:ascii="宋体" w:hAnsi="宋体" w:eastAsia="宋体" w:cs="Times New Roman"/>
                <w:sz w:val="24"/>
                <w:szCs w:val="24"/>
              </w:rPr>
            </w:pPr>
            <w:r>
              <w:rPr>
                <w:rFonts w:hint="eastAsia" w:ascii="宋体" w:hAnsi="宋体" w:eastAsia="宋体" w:cs="Times New Roman"/>
                <w:sz w:val="24"/>
                <w:szCs w:val="24"/>
              </w:rPr>
              <w:t>(3)对本项目特点和难点理解有待提升，技术培训基本适合本项目采购需求，可行性、实用性.针对性有待改善，得2分:</w:t>
            </w:r>
          </w:p>
          <w:p w14:paraId="29BF76CC">
            <w:pPr>
              <w:spacing w:line="360" w:lineRule="auto"/>
              <w:ind w:firstLine="120" w:firstLineChars="50"/>
              <w:rPr>
                <w:rFonts w:ascii="宋体" w:hAnsi="宋体" w:eastAsia="宋体" w:cs="Times New Roman"/>
                <w:sz w:val="24"/>
                <w:szCs w:val="24"/>
              </w:rPr>
            </w:pPr>
            <w:r>
              <w:rPr>
                <w:rFonts w:hint="eastAsia" w:ascii="宋体" w:hAnsi="宋体" w:eastAsia="宋体" w:cs="Times New Roman"/>
                <w:sz w:val="24"/>
                <w:szCs w:val="24"/>
              </w:rPr>
              <w:t>（4）方案不能满足项目实施要求或未提供的不得分</w:t>
            </w:r>
          </w:p>
        </w:tc>
        <w:tc>
          <w:tcPr>
            <w:tcW w:w="850" w:type="dxa"/>
            <w:noWrap/>
            <w:vAlign w:val="center"/>
          </w:tcPr>
          <w:p w14:paraId="2449CA02">
            <w:pPr>
              <w:spacing w:line="360" w:lineRule="auto"/>
              <w:jc w:val="center"/>
              <w:rPr>
                <w:rFonts w:ascii="宋体" w:hAnsi="宋体" w:eastAsia="宋体" w:cs="宋体"/>
                <w:sz w:val="24"/>
                <w:szCs w:val="24"/>
              </w:rPr>
            </w:pPr>
            <w:r>
              <w:rPr>
                <w:rFonts w:hint="eastAsia" w:ascii="宋体" w:hAnsi="宋体" w:eastAsia="宋体" w:cs="宋体"/>
                <w:sz w:val="24"/>
                <w:szCs w:val="24"/>
              </w:rPr>
              <w:t>6分</w:t>
            </w:r>
          </w:p>
        </w:tc>
      </w:tr>
      <w:tr w14:paraId="710E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76" w:type="dxa"/>
            <w:vMerge w:val="restart"/>
            <w:noWrap/>
            <w:vAlign w:val="center"/>
          </w:tcPr>
          <w:p w14:paraId="4A82D25D">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商务</w:t>
            </w:r>
          </w:p>
          <w:p w14:paraId="49FC8A72">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部分</w:t>
            </w:r>
          </w:p>
          <w:p w14:paraId="5C2EB474">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20分</w:t>
            </w:r>
          </w:p>
        </w:tc>
        <w:tc>
          <w:tcPr>
            <w:tcW w:w="1921" w:type="dxa"/>
            <w:noWrap/>
            <w:vAlign w:val="center"/>
          </w:tcPr>
          <w:p w14:paraId="41F2AE20">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类似业绩</w:t>
            </w:r>
          </w:p>
        </w:tc>
        <w:tc>
          <w:tcPr>
            <w:tcW w:w="6142" w:type="dxa"/>
            <w:noWrap/>
            <w:vAlign w:val="center"/>
          </w:tcPr>
          <w:p w14:paraId="3A8D2709">
            <w:pPr>
              <w:spacing w:line="360" w:lineRule="auto"/>
              <w:rPr>
                <w:rFonts w:ascii="宋体" w:hAnsi="宋体" w:eastAsia="宋体" w:cs="Times New Roman"/>
                <w:sz w:val="24"/>
                <w:szCs w:val="24"/>
              </w:rPr>
            </w:pPr>
            <w:r>
              <w:rPr>
                <w:rFonts w:hint="eastAsia" w:ascii="宋体" w:hAnsi="宋体" w:eastAsia="宋体" w:cs="Times New Roman"/>
                <w:sz w:val="24"/>
                <w:szCs w:val="24"/>
              </w:rPr>
              <w:t>投标人自2021年以来所签订的类似产品的供货合同，每提供一份得1分，最多得5分。</w:t>
            </w:r>
          </w:p>
        </w:tc>
        <w:tc>
          <w:tcPr>
            <w:tcW w:w="850" w:type="dxa"/>
            <w:noWrap/>
            <w:vAlign w:val="center"/>
          </w:tcPr>
          <w:p w14:paraId="70104C13">
            <w:pPr>
              <w:spacing w:line="360" w:lineRule="auto"/>
              <w:jc w:val="center"/>
              <w:rPr>
                <w:rFonts w:ascii="宋体" w:hAnsi="宋体" w:eastAsia="宋体" w:cs="宋体"/>
                <w:sz w:val="24"/>
                <w:szCs w:val="24"/>
              </w:rPr>
            </w:pPr>
            <w:r>
              <w:rPr>
                <w:rFonts w:hint="eastAsia" w:ascii="宋体" w:hAnsi="宋体" w:eastAsia="宋体" w:cs="宋体"/>
                <w:sz w:val="24"/>
                <w:szCs w:val="24"/>
              </w:rPr>
              <w:t>5分</w:t>
            </w:r>
          </w:p>
        </w:tc>
      </w:tr>
      <w:tr w14:paraId="5363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6" w:type="dxa"/>
            <w:vMerge w:val="continue"/>
            <w:vAlign w:val="center"/>
          </w:tcPr>
          <w:p w14:paraId="7A6538E9">
            <w:pPr>
              <w:widowControl/>
              <w:jc w:val="left"/>
              <w:rPr>
                <w:rFonts w:ascii="宋体" w:hAnsi="宋体" w:eastAsia="宋体" w:cs="宋体"/>
                <w:kern w:val="0"/>
                <w:sz w:val="24"/>
                <w:szCs w:val="24"/>
              </w:rPr>
            </w:pPr>
          </w:p>
        </w:tc>
        <w:tc>
          <w:tcPr>
            <w:tcW w:w="1921" w:type="dxa"/>
            <w:noWrap/>
            <w:vAlign w:val="center"/>
          </w:tcPr>
          <w:p w14:paraId="0F820E5A">
            <w:pPr>
              <w:spacing w:line="360" w:lineRule="auto"/>
              <w:jc w:val="center"/>
              <w:rPr>
                <w:rFonts w:ascii="宋体" w:hAnsi="宋体" w:eastAsia="宋体" w:cs="宋体"/>
                <w:bCs/>
                <w:sz w:val="24"/>
                <w:szCs w:val="24"/>
              </w:rPr>
            </w:pPr>
            <w:r>
              <w:rPr>
                <w:rFonts w:hint="eastAsia" w:ascii="宋体" w:hAnsi="宋体" w:eastAsia="宋体" w:cs="Times New Roman"/>
                <w:bCs/>
                <w:sz w:val="24"/>
                <w:szCs w:val="24"/>
              </w:rPr>
              <w:t>售后服务</w:t>
            </w:r>
          </w:p>
        </w:tc>
        <w:tc>
          <w:tcPr>
            <w:tcW w:w="6142" w:type="dxa"/>
            <w:noWrap/>
            <w:vAlign w:val="center"/>
          </w:tcPr>
          <w:p w14:paraId="261F3B1E">
            <w:pPr>
              <w:spacing w:line="360" w:lineRule="auto"/>
              <w:rPr>
                <w:rFonts w:ascii="宋体" w:hAnsi="宋体" w:eastAsia="宋体" w:cs="宋体"/>
                <w:b/>
                <w:bCs/>
                <w:sz w:val="24"/>
                <w:szCs w:val="24"/>
              </w:rPr>
            </w:pPr>
            <w:r>
              <w:rPr>
                <w:rFonts w:hint="eastAsia" w:ascii="宋体" w:hAnsi="宋体" w:eastAsia="宋体" w:cs="宋体"/>
                <w:b/>
                <w:bCs/>
                <w:sz w:val="24"/>
                <w:szCs w:val="24"/>
              </w:rPr>
              <w:t>1.售后服务方案（5分）</w:t>
            </w:r>
          </w:p>
          <w:p w14:paraId="39F88AC8">
            <w:pPr>
              <w:spacing w:line="360" w:lineRule="auto"/>
              <w:rPr>
                <w:rFonts w:ascii="宋体" w:hAnsi="宋体" w:eastAsia="宋体" w:cs="宋体"/>
                <w:sz w:val="24"/>
                <w:szCs w:val="24"/>
              </w:rPr>
            </w:pPr>
            <w:r>
              <w:rPr>
                <w:rFonts w:hint="eastAsia" w:ascii="宋体" w:hAnsi="宋体" w:eastAsia="宋体" w:cs="宋体"/>
                <w:sz w:val="24"/>
                <w:szCs w:val="24"/>
              </w:rPr>
              <w:t>售后服务方案(包括服务内容、服务团队和故障响应时间、解决问题时间、保障措施等)全面、详尽、符合项目特点，完全满足项目要求得5分；基本满足项目要求得3分；不全面、不详尽或者保障措施欠充分、欠有效得2分；方案不完备，内容差，不能满足项目要求得1分；不提供不得分。</w:t>
            </w:r>
          </w:p>
          <w:p w14:paraId="38A3C432">
            <w:pPr>
              <w:spacing w:line="360" w:lineRule="auto"/>
              <w:rPr>
                <w:rFonts w:ascii="宋体" w:hAnsi="宋体" w:eastAsia="宋体" w:cs="宋体"/>
                <w:b/>
                <w:bCs/>
                <w:sz w:val="24"/>
                <w:szCs w:val="24"/>
              </w:rPr>
            </w:pPr>
            <w:r>
              <w:rPr>
                <w:rFonts w:hint="eastAsia" w:ascii="宋体" w:hAnsi="宋体" w:eastAsia="宋体" w:cs="宋体"/>
                <w:b/>
                <w:bCs/>
                <w:sz w:val="24"/>
                <w:szCs w:val="24"/>
              </w:rPr>
              <w:t>2.售后服务机构（4分）</w:t>
            </w:r>
          </w:p>
          <w:p w14:paraId="6634ED49">
            <w:pPr>
              <w:spacing w:line="360" w:lineRule="auto"/>
              <w:rPr>
                <w:rFonts w:ascii="宋体" w:hAnsi="宋体" w:eastAsia="宋体" w:cs="宋体"/>
                <w:sz w:val="24"/>
                <w:szCs w:val="24"/>
              </w:rPr>
            </w:pPr>
            <w:r>
              <w:rPr>
                <w:rFonts w:hint="eastAsia" w:ascii="宋体" w:hAnsi="宋体" w:eastAsia="宋体" w:cs="宋体"/>
                <w:sz w:val="24"/>
                <w:szCs w:val="24"/>
              </w:rPr>
              <w:t>投标产品的生产厂家售后服务机构设置情况(提供机构设置证明材料)，可根据售后服务对本项目自时效性、便捷性打分，时效性、便捷性强得4分;时效性、便捷性较强得2分;时效性、便捷性一般得1分;不提供不得分。</w:t>
            </w:r>
          </w:p>
        </w:tc>
        <w:tc>
          <w:tcPr>
            <w:tcW w:w="850" w:type="dxa"/>
            <w:noWrap/>
            <w:vAlign w:val="center"/>
          </w:tcPr>
          <w:p w14:paraId="77FA9ABD">
            <w:pPr>
              <w:spacing w:line="360" w:lineRule="auto"/>
              <w:jc w:val="center"/>
              <w:rPr>
                <w:rFonts w:ascii="宋体" w:hAnsi="宋体" w:eastAsia="宋体" w:cs="宋体"/>
                <w:sz w:val="24"/>
                <w:szCs w:val="24"/>
              </w:rPr>
            </w:pPr>
            <w:r>
              <w:rPr>
                <w:rFonts w:hint="eastAsia" w:ascii="宋体" w:hAnsi="宋体" w:eastAsia="宋体" w:cs="宋体"/>
                <w:sz w:val="24"/>
                <w:szCs w:val="24"/>
              </w:rPr>
              <w:t>9分</w:t>
            </w:r>
          </w:p>
        </w:tc>
      </w:tr>
      <w:tr w14:paraId="381D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976" w:type="dxa"/>
            <w:vMerge w:val="continue"/>
            <w:vAlign w:val="center"/>
          </w:tcPr>
          <w:p w14:paraId="088AD1B1">
            <w:pPr>
              <w:widowControl/>
              <w:jc w:val="left"/>
              <w:rPr>
                <w:rFonts w:ascii="宋体" w:hAnsi="宋体" w:eastAsia="宋体" w:cs="宋体"/>
                <w:kern w:val="0"/>
                <w:sz w:val="24"/>
                <w:szCs w:val="24"/>
              </w:rPr>
            </w:pPr>
          </w:p>
        </w:tc>
        <w:tc>
          <w:tcPr>
            <w:tcW w:w="1921" w:type="dxa"/>
            <w:noWrap/>
            <w:vAlign w:val="center"/>
          </w:tcPr>
          <w:p w14:paraId="2C6C9E1A">
            <w:pPr>
              <w:spacing w:line="360" w:lineRule="auto"/>
              <w:ind w:firstLine="120" w:firstLineChars="50"/>
              <w:jc w:val="center"/>
              <w:rPr>
                <w:rFonts w:ascii="宋体" w:hAnsi="宋体" w:eastAsia="宋体" w:cs="Times New Roman"/>
                <w:sz w:val="24"/>
                <w:szCs w:val="24"/>
              </w:rPr>
            </w:pPr>
            <w:r>
              <w:rPr>
                <w:rFonts w:hint="eastAsia" w:ascii="宋体" w:hAnsi="宋体" w:eastAsia="宋体" w:cs="Times New Roman"/>
                <w:sz w:val="24"/>
                <w:szCs w:val="24"/>
              </w:rPr>
              <w:t>优惠承诺</w:t>
            </w:r>
          </w:p>
        </w:tc>
        <w:tc>
          <w:tcPr>
            <w:tcW w:w="6142" w:type="dxa"/>
            <w:noWrap/>
            <w:vAlign w:val="center"/>
          </w:tcPr>
          <w:p w14:paraId="1BCB0F74">
            <w:pPr>
              <w:snapToGrid w:val="0"/>
              <w:spacing w:line="360" w:lineRule="auto"/>
              <w:jc w:val="left"/>
              <w:rPr>
                <w:rFonts w:ascii="宋体" w:hAnsi="宋体" w:eastAsia="宋体" w:cs="宋体"/>
                <w:sz w:val="24"/>
                <w:szCs w:val="24"/>
              </w:rPr>
            </w:pPr>
            <w:r>
              <w:rPr>
                <w:rFonts w:hint="eastAsia" w:ascii="宋体" w:hAnsi="宋体" w:eastAsia="宋体" w:cs="仿宋"/>
                <w:kern w:val="0"/>
                <w:sz w:val="24"/>
                <w:szCs w:val="24"/>
              </w:rPr>
              <w:t>根据各供应商</w:t>
            </w:r>
            <w:r>
              <w:rPr>
                <w:rFonts w:hint="eastAsia" w:ascii="宋体" w:hAnsi="宋体" w:eastAsia="宋体" w:cs="Times New Roman"/>
                <w:sz w:val="24"/>
                <w:szCs w:val="24"/>
              </w:rPr>
              <w:t>针对本项目提供有利于采购人的其他实质性优惠承诺</w:t>
            </w:r>
            <w:r>
              <w:rPr>
                <w:rFonts w:hint="eastAsia" w:ascii="宋体" w:hAnsi="宋体" w:eastAsia="宋体" w:cs="仿宋"/>
                <w:kern w:val="0"/>
                <w:sz w:val="24"/>
                <w:szCs w:val="24"/>
              </w:rPr>
              <w:t>，由评标小组进行综合评价后,切实可行得6分;基本可行得3分;可行性不强得1分;不提供不得分。</w:t>
            </w:r>
          </w:p>
        </w:tc>
        <w:tc>
          <w:tcPr>
            <w:tcW w:w="850" w:type="dxa"/>
            <w:noWrap/>
            <w:vAlign w:val="center"/>
          </w:tcPr>
          <w:p w14:paraId="0EE70374">
            <w:pPr>
              <w:snapToGrid w:val="0"/>
              <w:spacing w:line="360" w:lineRule="auto"/>
              <w:jc w:val="center"/>
              <w:rPr>
                <w:rFonts w:ascii="宋体" w:hAnsi="宋体" w:eastAsia="宋体" w:cs="宋体"/>
                <w:sz w:val="24"/>
                <w:szCs w:val="24"/>
              </w:rPr>
            </w:pPr>
            <w:r>
              <w:rPr>
                <w:rFonts w:hint="eastAsia" w:ascii="宋体" w:hAnsi="宋体" w:eastAsia="宋体" w:cs="宋体"/>
                <w:sz w:val="24"/>
                <w:szCs w:val="24"/>
              </w:rPr>
              <w:t>6分</w:t>
            </w:r>
          </w:p>
        </w:tc>
      </w:tr>
    </w:tbl>
    <w:p w14:paraId="7421DF0F">
      <w:pPr>
        <w:rPr>
          <w:rFonts w:ascii="宋体" w:hAnsi="宋体" w:eastAsia="宋体"/>
          <w:color w:val="000000" w:themeColor="text1"/>
          <w14:textFill>
            <w14:solidFill>
              <w14:schemeClr w14:val="tx1"/>
            </w14:solidFill>
          </w14:textFill>
        </w:rPr>
      </w:pPr>
    </w:p>
    <w:p w14:paraId="30C1A5D8">
      <w:pPr>
        <w:pStyle w:val="2"/>
      </w:pPr>
    </w:p>
    <w:p w14:paraId="6F9B04AE">
      <w:pPr>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w:t>
      </w:r>
    </w:p>
    <w:p w14:paraId="0602927C">
      <w:pPr>
        <w:widowControl/>
        <w:spacing w:line="360" w:lineRule="auto"/>
        <w:ind w:firstLine="480" w:firstLineChars="2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如投标小组一致认为投标报价明显低于其他通过符合性审查投标供应商的报价，有可能影响产品质量或者不能诚信履约的，应当要求其在评标现场合理的时间内提供说明资料，必要时提交相关证明材料；投标供应商不能证明其报价合理性的，经评标小组取得一致意见后，评标小组应当将其作为无效投标处理。</w:t>
      </w:r>
    </w:p>
    <w:p w14:paraId="61598A75">
      <w:pPr>
        <w:widowControl/>
        <w:spacing w:line="360" w:lineRule="auto"/>
        <w:ind w:firstLine="480" w:firstLineChars="2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2.本项目实行资格后审，审查内容以投标文件为准，其上传资料真实性由供应商自行承担，同时，供应商请完善主体库。</w:t>
      </w:r>
    </w:p>
    <w:p w14:paraId="2D590520">
      <w:pPr>
        <w:widowControl/>
        <w:spacing w:line="360" w:lineRule="auto"/>
        <w:ind w:firstLine="480" w:firstLineChars="200"/>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3.评标打分部分：评标打分部分仍按照100分制原则进行，涉及到资格审查、企业荣誉、企业业绩等计分部分时，以投标单位自行上传到投标文件中的相应内容为准。</w:t>
      </w:r>
    </w:p>
    <w:p w14:paraId="761FFC9B">
      <w:pPr>
        <w:widowControl/>
        <w:spacing w:line="360" w:lineRule="auto"/>
        <w:ind w:firstLine="480" w:firstLineChars="200"/>
        <w:jc w:val="left"/>
        <w:rPr>
          <w:rFonts w:ascii="宋体" w:hAnsi="宋体" w:eastAsia="宋体" w:cs="Times New Roman"/>
          <w:b/>
          <w:bCs/>
          <w:color w:val="000000" w:themeColor="text1"/>
          <w:kern w:val="0"/>
          <w:sz w:val="44"/>
          <w:szCs w:val="4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4.在招标文件中要求投标供应商按照招标文件格式进行投标文件编制，在投标文件编制时，应明确将供应商企业基本情况、人员情况、财务情况、业绩情况编入投标，便于进行资格审查及评标打分。</w:t>
      </w:r>
      <w:r>
        <w:rPr>
          <w:rFonts w:ascii="宋体" w:hAnsi="宋体" w:eastAsia="宋体" w:cs="Times New Roman"/>
          <w:b/>
          <w:bCs/>
          <w:color w:val="000000" w:themeColor="text1"/>
          <w:kern w:val="0"/>
          <w:sz w:val="44"/>
          <w:szCs w:val="44"/>
          <w14:textFill>
            <w14:solidFill>
              <w14:schemeClr w14:val="tx1"/>
            </w14:solidFill>
          </w14:textFill>
        </w:rPr>
        <w:br w:type="page"/>
      </w:r>
    </w:p>
    <w:p w14:paraId="14DDF126">
      <w:pPr>
        <w:widowControl/>
        <w:jc w:val="center"/>
        <w:rPr>
          <w:rFonts w:ascii="宋体" w:hAnsi="宋体" w:eastAsia="宋体" w:cs="Times New Roman"/>
          <w:b/>
          <w:bCs/>
          <w:color w:val="000000" w:themeColor="text1"/>
          <w:kern w:val="0"/>
          <w:sz w:val="36"/>
          <w:szCs w:val="36"/>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第五章   合同条款及格式</w:t>
      </w:r>
    </w:p>
    <w:p w14:paraId="33BD9827">
      <w:pPr>
        <w:autoSpaceDE w:val="0"/>
        <w:autoSpaceDN w:val="0"/>
        <w:adjustRightInd w:val="0"/>
        <w:spacing w:line="360" w:lineRule="auto"/>
        <w:ind w:firstLine="480" w:firstLineChars="200"/>
        <w:jc w:val="left"/>
        <w:rPr>
          <w:rFonts w:cs="宋体" w:asciiTheme="minorEastAsia" w:hAnsiTheme="minorEastAsia"/>
          <w:kern w:val="0"/>
          <w:sz w:val="28"/>
          <w:szCs w:val="28"/>
        </w:rPr>
      </w:pPr>
      <w:r>
        <w:rPr>
          <w:rFonts w:hint="eastAsia" w:cs="宋体" w:asciiTheme="minorEastAsia" w:hAnsiTheme="minorEastAsia"/>
          <w:kern w:val="0"/>
          <w:sz w:val="24"/>
          <w:szCs w:val="24"/>
        </w:rPr>
        <w:t xml:space="preserve"> </w:t>
      </w:r>
      <w:r>
        <w:rPr>
          <w:rFonts w:hint="eastAsia" w:cs="宋体" w:asciiTheme="minorEastAsia" w:hAnsiTheme="minorEastAsia"/>
          <w:kern w:val="0"/>
          <w:sz w:val="28"/>
          <w:szCs w:val="28"/>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w:t>
      </w:r>
    </w:p>
    <w:p w14:paraId="5AB30883">
      <w:pPr>
        <w:rPr>
          <w:rFonts w:cs="宋体" w:asciiTheme="minorEastAsia" w:hAnsiTheme="minorEastAsia"/>
          <w:kern w:val="0"/>
          <w:sz w:val="24"/>
          <w:szCs w:val="24"/>
        </w:rPr>
      </w:pPr>
      <w:r>
        <w:rPr>
          <w:rFonts w:hint="eastAsia" w:cs="宋体" w:asciiTheme="minorEastAsia" w:hAnsiTheme="minorEastAsia"/>
          <w:kern w:val="0"/>
          <w:sz w:val="24"/>
          <w:szCs w:val="24"/>
        </w:rPr>
        <w:br w:type="page"/>
      </w:r>
    </w:p>
    <w:p w14:paraId="3AD0EDBB">
      <w:pPr>
        <w:autoSpaceDE w:val="0"/>
        <w:autoSpaceDN w:val="0"/>
        <w:adjustRightInd w:val="0"/>
        <w:spacing w:line="360" w:lineRule="auto"/>
        <w:ind w:firstLine="482" w:firstLineChars="200"/>
        <w:jc w:val="center"/>
        <w:rPr>
          <w:rFonts w:cs="宋体" w:asciiTheme="minorEastAsia" w:hAnsiTheme="minorEastAsia"/>
          <w:b/>
          <w:bCs/>
          <w:kern w:val="0"/>
          <w:sz w:val="24"/>
          <w:szCs w:val="24"/>
        </w:rPr>
      </w:pPr>
      <w:r>
        <w:rPr>
          <w:rFonts w:hint="eastAsia" w:cs="宋体" w:asciiTheme="minorEastAsia" w:hAnsiTheme="minorEastAsia"/>
          <w:b/>
          <w:bCs/>
          <w:kern w:val="0"/>
          <w:sz w:val="24"/>
          <w:szCs w:val="24"/>
        </w:rPr>
        <w:t>合 同</w:t>
      </w:r>
    </w:p>
    <w:p w14:paraId="3BF5BEB1">
      <w:pPr>
        <w:autoSpaceDE w:val="0"/>
        <w:autoSpaceDN w:val="0"/>
        <w:adjustRightInd w:val="0"/>
        <w:spacing w:line="360" w:lineRule="auto"/>
        <w:ind w:firstLine="480" w:firstLineChars="200"/>
        <w:jc w:val="center"/>
        <w:rPr>
          <w:rFonts w:cs="宋体" w:asciiTheme="minorEastAsia" w:hAnsiTheme="minorEastAsia"/>
          <w:kern w:val="0"/>
          <w:sz w:val="24"/>
          <w:szCs w:val="24"/>
        </w:rPr>
      </w:pPr>
      <w:r>
        <w:rPr>
          <w:rFonts w:hint="eastAsia" w:cs="宋体" w:asciiTheme="minorEastAsia" w:hAnsiTheme="minorEastAsia"/>
          <w:kern w:val="0"/>
          <w:sz w:val="24"/>
          <w:szCs w:val="24"/>
        </w:rPr>
        <w:t>（仅供参考）</w:t>
      </w:r>
    </w:p>
    <w:p w14:paraId="36C19EF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项目名称：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项目编号：</w:t>
      </w:r>
    </w:p>
    <w:p w14:paraId="3F87735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甲方：（采购人）</w:t>
      </w:r>
    </w:p>
    <w:p w14:paraId="76D17631">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乙方：（中标供应商）</w:t>
      </w:r>
    </w:p>
    <w:p w14:paraId="19AE8FF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甲、乙双方根据《中华人民共和国政府采购法》、《中华人民共和国合同法》等法律法规的规定，按照（项目编号）的招标结果签订本合同。</w:t>
      </w:r>
    </w:p>
    <w:p w14:paraId="7DFF87CB">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asciiTheme="minorEastAsia" w:hAnsiTheme="minorEastAsia"/>
          <w:sz w:val="24"/>
          <w:szCs w:val="24"/>
        </w:rPr>
        <w:t xml:space="preserve"> </w:t>
      </w:r>
      <w:r>
        <w:rPr>
          <w:rFonts w:hint="eastAsia" w:asciiTheme="minorEastAsia" w:hAnsiTheme="minorEastAsia"/>
          <w:b/>
          <w:sz w:val="24"/>
          <w:szCs w:val="24"/>
        </w:rPr>
        <w:t>采购项目、数量、单价及金额</w:t>
      </w:r>
    </w:p>
    <w:tbl>
      <w:tblPr>
        <w:tblStyle w:val="90"/>
        <w:tblW w:w="88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35"/>
        <w:gridCol w:w="1134"/>
        <w:gridCol w:w="1134"/>
        <w:gridCol w:w="1417"/>
        <w:gridCol w:w="1336"/>
      </w:tblGrid>
      <w:tr w14:paraId="385E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20709538">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序号</w:t>
            </w:r>
          </w:p>
        </w:tc>
        <w:tc>
          <w:tcPr>
            <w:tcW w:w="2835" w:type="dxa"/>
            <w:vAlign w:val="center"/>
          </w:tcPr>
          <w:p w14:paraId="56B7BB4C">
            <w:pPr>
              <w:spacing w:line="360" w:lineRule="auto"/>
              <w:ind w:firstLine="480" w:firstLineChars="20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货物名称</w:t>
            </w:r>
          </w:p>
        </w:tc>
        <w:tc>
          <w:tcPr>
            <w:tcW w:w="1134" w:type="dxa"/>
            <w:vAlign w:val="center"/>
          </w:tcPr>
          <w:p w14:paraId="1D6E5590">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单位</w:t>
            </w:r>
          </w:p>
        </w:tc>
        <w:tc>
          <w:tcPr>
            <w:tcW w:w="1134" w:type="dxa"/>
            <w:vAlign w:val="center"/>
          </w:tcPr>
          <w:p w14:paraId="41682E62">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数量</w:t>
            </w:r>
          </w:p>
        </w:tc>
        <w:tc>
          <w:tcPr>
            <w:tcW w:w="1417" w:type="dxa"/>
            <w:vAlign w:val="center"/>
          </w:tcPr>
          <w:p w14:paraId="5E7E1246">
            <w:pPr>
              <w:spacing w:line="360" w:lineRule="auto"/>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单价</w:t>
            </w:r>
          </w:p>
        </w:tc>
        <w:tc>
          <w:tcPr>
            <w:tcW w:w="1336" w:type="dxa"/>
            <w:vAlign w:val="center"/>
          </w:tcPr>
          <w:p w14:paraId="76FEDC1A">
            <w:pPr>
              <w:spacing w:line="360" w:lineRule="auto"/>
              <w:ind w:firstLine="480" w:firstLineChars="200"/>
              <w:jc w:val="center"/>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备注</w:t>
            </w:r>
          </w:p>
        </w:tc>
      </w:tr>
      <w:tr w14:paraId="19FF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5D4DE2C5">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2BB1D8C3">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723E6615">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3F298502">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0088B785">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2FEC96E9">
            <w:pPr>
              <w:spacing w:line="360" w:lineRule="auto"/>
              <w:ind w:firstLine="480" w:firstLineChars="200"/>
              <w:jc w:val="center"/>
              <w:rPr>
                <w:rFonts w:eastAsia="宋体" w:cs="Times New Roman" w:asciiTheme="minorEastAsia" w:hAnsiTheme="minorEastAsia"/>
                <w:sz w:val="24"/>
                <w:szCs w:val="24"/>
              </w:rPr>
            </w:pPr>
          </w:p>
        </w:tc>
      </w:tr>
      <w:tr w14:paraId="3200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13AF8975">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287EBD62">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3BAF7C2C">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21A062C8">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213D4E99">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60E4D7E4">
            <w:pPr>
              <w:spacing w:line="360" w:lineRule="auto"/>
              <w:ind w:firstLine="480" w:firstLineChars="200"/>
              <w:jc w:val="center"/>
              <w:rPr>
                <w:rFonts w:eastAsia="宋体" w:cs="Times New Roman" w:asciiTheme="minorEastAsia" w:hAnsiTheme="minorEastAsia"/>
                <w:sz w:val="24"/>
                <w:szCs w:val="24"/>
              </w:rPr>
            </w:pPr>
          </w:p>
        </w:tc>
      </w:tr>
      <w:tr w14:paraId="2E24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357A3673">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5C407904">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3B99B578">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7DA2E651">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28C8E57B">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7D52A2D2">
            <w:pPr>
              <w:spacing w:line="360" w:lineRule="auto"/>
              <w:ind w:firstLine="480" w:firstLineChars="200"/>
              <w:jc w:val="center"/>
              <w:rPr>
                <w:rFonts w:eastAsia="宋体" w:cs="Times New Roman" w:asciiTheme="minorEastAsia" w:hAnsiTheme="minorEastAsia"/>
                <w:sz w:val="24"/>
                <w:szCs w:val="24"/>
              </w:rPr>
            </w:pPr>
          </w:p>
        </w:tc>
      </w:tr>
      <w:tr w14:paraId="7344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07C6A4DD">
            <w:pPr>
              <w:spacing w:line="360" w:lineRule="auto"/>
              <w:ind w:firstLine="480" w:firstLineChars="200"/>
              <w:jc w:val="center"/>
              <w:rPr>
                <w:rFonts w:eastAsia="宋体" w:cs="Times New Roman" w:asciiTheme="minorEastAsia" w:hAnsiTheme="minorEastAsia"/>
                <w:sz w:val="24"/>
                <w:szCs w:val="24"/>
              </w:rPr>
            </w:pPr>
          </w:p>
        </w:tc>
        <w:tc>
          <w:tcPr>
            <w:tcW w:w="2835" w:type="dxa"/>
            <w:vAlign w:val="center"/>
          </w:tcPr>
          <w:p w14:paraId="5CD1DB7F">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7C0C1022">
            <w:pPr>
              <w:spacing w:line="360" w:lineRule="auto"/>
              <w:ind w:firstLine="480" w:firstLineChars="200"/>
              <w:jc w:val="center"/>
              <w:rPr>
                <w:rFonts w:eastAsia="宋体" w:cs="Times New Roman" w:asciiTheme="minorEastAsia" w:hAnsiTheme="minorEastAsia"/>
                <w:sz w:val="24"/>
                <w:szCs w:val="24"/>
              </w:rPr>
            </w:pPr>
          </w:p>
        </w:tc>
        <w:tc>
          <w:tcPr>
            <w:tcW w:w="1134" w:type="dxa"/>
            <w:vAlign w:val="center"/>
          </w:tcPr>
          <w:p w14:paraId="399FA0EE">
            <w:pPr>
              <w:spacing w:line="360" w:lineRule="auto"/>
              <w:ind w:firstLine="480" w:firstLineChars="200"/>
              <w:jc w:val="center"/>
              <w:rPr>
                <w:rFonts w:eastAsia="宋体" w:cs="Times New Roman" w:asciiTheme="minorEastAsia" w:hAnsiTheme="minorEastAsia"/>
                <w:sz w:val="24"/>
                <w:szCs w:val="24"/>
              </w:rPr>
            </w:pPr>
          </w:p>
        </w:tc>
        <w:tc>
          <w:tcPr>
            <w:tcW w:w="1417" w:type="dxa"/>
            <w:vAlign w:val="center"/>
          </w:tcPr>
          <w:p w14:paraId="33A56714">
            <w:pPr>
              <w:spacing w:line="360" w:lineRule="auto"/>
              <w:ind w:firstLine="480" w:firstLineChars="200"/>
              <w:jc w:val="center"/>
              <w:rPr>
                <w:rFonts w:eastAsia="宋体" w:cs="Times New Roman" w:asciiTheme="minorEastAsia" w:hAnsiTheme="minorEastAsia"/>
                <w:sz w:val="24"/>
                <w:szCs w:val="24"/>
              </w:rPr>
            </w:pPr>
          </w:p>
        </w:tc>
        <w:tc>
          <w:tcPr>
            <w:tcW w:w="1336" w:type="dxa"/>
            <w:vAlign w:val="center"/>
          </w:tcPr>
          <w:p w14:paraId="74F3A13B">
            <w:pPr>
              <w:spacing w:line="360" w:lineRule="auto"/>
              <w:ind w:firstLine="480" w:firstLineChars="200"/>
              <w:jc w:val="center"/>
              <w:rPr>
                <w:rFonts w:eastAsia="宋体" w:cs="Times New Roman" w:asciiTheme="minorEastAsia" w:hAnsiTheme="minorEastAsia"/>
                <w:sz w:val="24"/>
                <w:szCs w:val="24"/>
              </w:rPr>
            </w:pPr>
          </w:p>
        </w:tc>
      </w:tr>
      <w:tr w14:paraId="38D1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197F8953">
            <w:pPr>
              <w:spacing w:line="360" w:lineRule="auto"/>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合计</w:t>
            </w:r>
          </w:p>
        </w:tc>
        <w:tc>
          <w:tcPr>
            <w:tcW w:w="3969" w:type="dxa"/>
            <w:gridSpan w:val="2"/>
            <w:vAlign w:val="center"/>
          </w:tcPr>
          <w:p w14:paraId="78484417">
            <w:pPr>
              <w:spacing w:line="360" w:lineRule="auto"/>
              <w:ind w:firstLine="480" w:firstLineChars="200"/>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大写</w:t>
            </w:r>
            <w:r>
              <w:rPr>
                <w:rFonts w:eastAsia="宋体" w:cs="Times New Roman" w:asciiTheme="minorEastAsia" w:hAnsiTheme="minorEastAsia"/>
                <w:sz w:val="24"/>
                <w:szCs w:val="24"/>
              </w:rPr>
              <w:t>：</w:t>
            </w:r>
          </w:p>
        </w:tc>
        <w:tc>
          <w:tcPr>
            <w:tcW w:w="3887" w:type="dxa"/>
            <w:gridSpan w:val="3"/>
            <w:vAlign w:val="center"/>
          </w:tcPr>
          <w:p w14:paraId="6E25F8E3">
            <w:pPr>
              <w:spacing w:line="360" w:lineRule="auto"/>
              <w:ind w:firstLine="480" w:firstLineChars="200"/>
              <w:rPr>
                <w:rFonts w:eastAsia="宋体" w:cs="Times New Roman" w:asciiTheme="minorEastAsia" w:hAnsiTheme="minorEastAsia"/>
                <w:sz w:val="24"/>
                <w:szCs w:val="24"/>
              </w:rPr>
            </w:pPr>
            <w:r>
              <w:rPr>
                <w:rFonts w:hint="eastAsia" w:eastAsia="宋体" w:cs="Times New Roman" w:asciiTheme="minorEastAsia" w:hAnsiTheme="minorEastAsia"/>
                <w:sz w:val="24"/>
                <w:szCs w:val="24"/>
              </w:rPr>
              <w:t>小写</w:t>
            </w:r>
            <w:r>
              <w:rPr>
                <w:rFonts w:eastAsia="宋体" w:cs="Times New Roman" w:asciiTheme="minorEastAsia" w:hAnsiTheme="minorEastAsia"/>
                <w:sz w:val="24"/>
                <w:szCs w:val="24"/>
              </w:rPr>
              <w:t>：</w:t>
            </w:r>
          </w:p>
        </w:tc>
      </w:tr>
    </w:tbl>
    <w:p w14:paraId="603DDA80">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2.</w:t>
      </w:r>
      <w:r>
        <w:rPr>
          <w:rFonts w:hint="eastAsia" w:cs="宋体" w:asciiTheme="minorEastAsia" w:hAnsiTheme="minorEastAsia"/>
          <w:b/>
          <w:kern w:val="0"/>
          <w:sz w:val="24"/>
          <w:szCs w:val="24"/>
        </w:rPr>
        <w:t>技术资料</w:t>
      </w:r>
    </w:p>
    <w:p w14:paraId="77CE9DDA">
      <w:pPr>
        <w:autoSpaceDE w:val="0"/>
        <w:autoSpaceDN w:val="0"/>
        <w:adjustRightInd w:val="0"/>
        <w:spacing w:line="360" w:lineRule="auto"/>
        <w:ind w:right="-340" w:rightChars="-162"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乙方按招标文件规定的时间向甲方提供使用货物的有关技术资料。</w:t>
      </w:r>
    </w:p>
    <w:p w14:paraId="0711991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没有甲方事先书面同意，乙方不得将由甲方提供的有关合同或任何合同条文、规格、计划、图纸、样品或资料提供给与履行本合同无关的任何其他人。</w:t>
      </w:r>
    </w:p>
    <w:p w14:paraId="503CEDD3">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3.</w:t>
      </w:r>
      <w:r>
        <w:rPr>
          <w:rFonts w:hint="eastAsia" w:cs="宋体" w:asciiTheme="minorEastAsia" w:hAnsiTheme="minorEastAsia"/>
          <w:b/>
          <w:kern w:val="0"/>
          <w:sz w:val="24"/>
          <w:szCs w:val="24"/>
        </w:rPr>
        <w:t>产权担保</w:t>
      </w:r>
    </w:p>
    <w:p w14:paraId="7D93393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乙方保证所交付的货物的所有权完全属于乙方且无任何抵押、查封等产权瑕疵。</w:t>
      </w:r>
    </w:p>
    <w:p w14:paraId="0CE0EFA5">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4</w:t>
      </w:r>
      <w:r>
        <w:rPr>
          <w:rFonts w:cs="宋体" w:asciiTheme="minorEastAsia" w:hAnsiTheme="minorEastAsia"/>
          <w:b/>
          <w:kern w:val="0"/>
          <w:sz w:val="24"/>
          <w:szCs w:val="24"/>
        </w:rPr>
        <w:t>.</w:t>
      </w:r>
      <w:r>
        <w:rPr>
          <w:rFonts w:hint="eastAsia" w:cs="宋体" w:asciiTheme="minorEastAsia" w:hAnsiTheme="minorEastAsia"/>
          <w:b/>
          <w:kern w:val="0"/>
          <w:sz w:val="24"/>
          <w:szCs w:val="24"/>
        </w:rPr>
        <w:t>转包或分包</w:t>
      </w:r>
    </w:p>
    <w:p w14:paraId="3BF0263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5.1 </w:t>
      </w:r>
      <w:r>
        <w:rPr>
          <w:rFonts w:hint="eastAsia" w:cs="宋体" w:asciiTheme="minorEastAsia" w:hAnsiTheme="minorEastAsia"/>
          <w:kern w:val="0"/>
          <w:sz w:val="24"/>
          <w:szCs w:val="24"/>
        </w:rPr>
        <w:t>本合同范围的货物，由乙方直接供应，不得转让他人供应。</w:t>
      </w:r>
    </w:p>
    <w:p w14:paraId="0920EF2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5.2 </w:t>
      </w:r>
      <w:r>
        <w:rPr>
          <w:rFonts w:hint="eastAsia" w:cs="宋体" w:asciiTheme="minorEastAsia" w:hAnsiTheme="minorEastAsia"/>
          <w:kern w:val="0"/>
          <w:sz w:val="24"/>
          <w:szCs w:val="24"/>
        </w:rPr>
        <w:t>除非得到甲方的书面同意，乙方不得部分分包给他人供应。</w:t>
      </w:r>
    </w:p>
    <w:p w14:paraId="1159643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5.3 </w:t>
      </w:r>
      <w:r>
        <w:rPr>
          <w:rFonts w:hint="eastAsia" w:cs="宋体" w:asciiTheme="minorEastAsia" w:hAnsiTheme="minorEastAsia"/>
          <w:kern w:val="0"/>
          <w:sz w:val="24"/>
          <w:szCs w:val="24"/>
        </w:rPr>
        <w:t>如有转让和未经甲方同意的分包行为，甲方有权给予终止合同。</w:t>
      </w:r>
    </w:p>
    <w:p w14:paraId="192C6A14">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5</w:t>
      </w:r>
      <w:r>
        <w:rPr>
          <w:rFonts w:cs="宋体" w:asciiTheme="minorEastAsia" w:hAnsiTheme="minorEastAsia"/>
          <w:b/>
          <w:kern w:val="0"/>
          <w:sz w:val="24"/>
          <w:szCs w:val="24"/>
        </w:rPr>
        <w:t>.</w:t>
      </w:r>
      <w:r>
        <w:rPr>
          <w:rFonts w:hint="eastAsia" w:cs="宋体" w:asciiTheme="minorEastAsia" w:hAnsiTheme="minorEastAsia"/>
          <w:b/>
          <w:kern w:val="0"/>
          <w:sz w:val="24"/>
          <w:szCs w:val="24"/>
        </w:rPr>
        <w:t>交货期、交货方式及交货地点</w:t>
      </w:r>
    </w:p>
    <w:p w14:paraId="6711B7E1">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6.1 </w:t>
      </w:r>
      <w:r>
        <w:rPr>
          <w:rFonts w:hint="eastAsia" w:cs="宋体" w:asciiTheme="minorEastAsia" w:hAnsiTheme="minorEastAsia"/>
          <w:kern w:val="0"/>
          <w:sz w:val="24"/>
          <w:szCs w:val="24"/>
        </w:rPr>
        <w:t>交货期：</w:t>
      </w:r>
    </w:p>
    <w:p w14:paraId="44FD4CD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6.2 </w:t>
      </w:r>
      <w:r>
        <w:rPr>
          <w:rFonts w:hint="eastAsia" w:cs="宋体" w:asciiTheme="minorEastAsia" w:hAnsiTheme="minorEastAsia"/>
          <w:kern w:val="0"/>
          <w:sz w:val="24"/>
          <w:szCs w:val="24"/>
        </w:rPr>
        <w:t>交货方式：</w:t>
      </w:r>
    </w:p>
    <w:p w14:paraId="2F5B124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 xml:space="preserve">6.3 </w:t>
      </w:r>
      <w:r>
        <w:rPr>
          <w:rFonts w:hint="eastAsia" w:cs="宋体" w:asciiTheme="minorEastAsia" w:hAnsiTheme="minorEastAsia"/>
          <w:kern w:val="0"/>
          <w:sz w:val="24"/>
          <w:szCs w:val="24"/>
        </w:rPr>
        <w:t>交货地点：</w:t>
      </w:r>
    </w:p>
    <w:p w14:paraId="443F4F73">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6</w:t>
      </w:r>
      <w:r>
        <w:rPr>
          <w:rFonts w:cs="宋体" w:asciiTheme="minorEastAsia" w:hAnsiTheme="minorEastAsia"/>
          <w:b/>
          <w:kern w:val="0"/>
          <w:sz w:val="24"/>
          <w:szCs w:val="24"/>
        </w:rPr>
        <w:t>.</w:t>
      </w:r>
      <w:r>
        <w:rPr>
          <w:rFonts w:hint="eastAsia" w:cs="宋体" w:asciiTheme="minorEastAsia" w:hAnsiTheme="minorEastAsia"/>
          <w:b/>
          <w:kern w:val="0"/>
          <w:sz w:val="24"/>
          <w:szCs w:val="24"/>
        </w:rPr>
        <w:t>货款支付</w:t>
      </w:r>
    </w:p>
    <w:p w14:paraId="4A2821A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付款方式：</w:t>
      </w:r>
    </w:p>
    <w:p w14:paraId="53249064">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7</w:t>
      </w:r>
      <w:r>
        <w:rPr>
          <w:rFonts w:cs="宋体" w:asciiTheme="minorEastAsia" w:hAnsiTheme="minorEastAsia"/>
          <w:b/>
          <w:kern w:val="0"/>
          <w:sz w:val="24"/>
          <w:szCs w:val="24"/>
        </w:rPr>
        <w:t>.</w:t>
      </w:r>
      <w:r>
        <w:rPr>
          <w:rFonts w:hint="eastAsia" w:cs="宋体" w:asciiTheme="minorEastAsia" w:hAnsiTheme="minorEastAsia"/>
          <w:b/>
          <w:kern w:val="0"/>
          <w:sz w:val="24"/>
          <w:szCs w:val="24"/>
        </w:rPr>
        <w:t>税费</w:t>
      </w:r>
    </w:p>
    <w:p w14:paraId="39485589">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本合同执行中相关的一切税费均由乙方负担。</w:t>
      </w:r>
    </w:p>
    <w:p w14:paraId="591BB3CC">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8</w:t>
      </w:r>
      <w:r>
        <w:rPr>
          <w:rFonts w:cs="宋体" w:asciiTheme="minorEastAsia" w:hAnsiTheme="minorEastAsia"/>
          <w:b/>
          <w:kern w:val="0"/>
          <w:sz w:val="24"/>
          <w:szCs w:val="24"/>
        </w:rPr>
        <w:t>.</w:t>
      </w:r>
      <w:r>
        <w:rPr>
          <w:rFonts w:hint="eastAsia" w:cs="宋体" w:asciiTheme="minorEastAsia" w:hAnsiTheme="minorEastAsia"/>
          <w:b/>
          <w:kern w:val="0"/>
          <w:sz w:val="24"/>
          <w:szCs w:val="24"/>
        </w:rPr>
        <w:t>货物包装、发运及运输</w:t>
      </w:r>
    </w:p>
    <w:p w14:paraId="2549191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乙方在货物发运前对其进行满足运输距离、防潮、防震、防锈和防破损装卸等要求包装，以保证货物安全运达甲方指定地点。</w:t>
      </w:r>
    </w:p>
    <w:p w14:paraId="4B2AC885">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使用说明书、质量检验证明书、随配附件和工具以及清单一并附于货物内。</w:t>
      </w:r>
    </w:p>
    <w:p w14:paraId="2520B3DB">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乙方在货物发运手续办理完毕后</w:t>
      </w:r>
      <w:r>
        <w:rPr>
          <w:rFonts w:cs="宋体" w:asciiTheme="minorEastAsia" w:hAnsiTheme="minorEastAsia"/>
          <w:kern w:val="0"/>
          <w:sz w:val="24"/>
          <w:szCs w:val="24"/>
        </w:rPr>
        <w:t>24</w:t>
      </w:r>
      <w:r>
        <w:rPr>
          <w:rFonts w:hint="eastAsia" w:cs="宋体" w:asciiTheme="minorEastAsia" w:hAnsiTheme="minorEastAsia"/>
          <w:kern w:val="0"/>
          <w:sz w:val="24"/>
          <w:szCs w:val="24"/>
        </w:rPr>
        <w:t>小时内或货到甲方</w:t>
      </w:r>
      <w:r>
        <w:rPr>
          <w:rFonts w:cs="宋体" w:asciiTheme="minorEastAsia" w:hAnsiTheme="minorEastAsia"/>
          <w:kern w:val="0"/>
          <w:sz w:val="24"/>
          <w:szCs w:val="24"/>
        </w:rPr>
        <w:t>48</w:t>
      </w:r>
      <w:r>
        <w:rPr>
          <w:rFonts w:hint="eastAsia" w:cs="宋体" w:asciiTheme="minorEastAsia" w:hAnsiTheme="minorEastAsia"/>
          <w:kern w:val="0"/>
          <w:sz w:val="24"/>
          <w:szCs w:val="24"/>
        </w:rPr>
        <w:t>小时前通知甲方，以准备接货。</w:t>
      </w:r>
    </w:p>
    <w:p w14:paraId="6BD8A3D3">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货物在交付甲方前发生的风险均由乙方负责。</w:t>
      </w:r>
    </w:p>
    <w:p w14:paraId="7CD695EB">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8</w:t>
      </w:r>
      <w:r>
        <w:rPr>
          <w:rFonts w:cs="宋体" w:asciiTheme="minorEastAsia" w:hAnsiTheme="minorEastAsia"/>
          <w:kern w:val="0"/>
          <w:sz w:val="24"/>
          <w:szCs w:val="24"/>
        </w:rPr>
        <w:t xml:space="preserve">.5 </w:t>
      </w:r>
      <w:r>
        <w:rPr>
          <w:rFonts w:hint="eastAsia" w:cs="宋体" w:asciiTheme="minorEastAsia" w:hAnsiTheme="minorEastAsia"/>
          <w:kern w:val="0"/>
          <w:sz w:val="24"/>
          <w:szCs w:val="24"/>
        </w:rPr>
        <w:t>货物在规定的交付期限内由乙方送达甲方指定的地点视为交付，乙方同时需通知甲方货物已送达。</w:t>
      </w:r>
    </w:p>
    <w:p w14:paraId="193C938E">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hint="eastAsia" w:cs="宋体" w:asciiTheme="minorEastAsia" w:hAnsiTheme="minorEastAsia"/>
          <w:b/>
          <w:kern w:val="0"/>
          <w:sz w:val="24"/>
          <w:szCs w:val="24"/>
        </w:rPr>
        <w:t>9</w:t>
      </w:r>
      <w:r>
        <w:rPr>
          <w:rFonts w:cs="宋体" w:asciiTheme="minorEastAsia" w:hAnsiTheme="minorEastAsia"/>
          <w:b/>
          <w:kern w:val="0"/>
          <w:sz w:val="24"/>
          <w:szCs w:val="24"/>
        </w:rPr>
        <w:t>.</w:t>
      </w:r>
      <w:r>
        <w:rPr>
          <w:rFonts w:hint="eastAsia" w:cs="宋体" w:asciiTheme="minorEastAsia" w:hAnsiTheme="minorEastAsia"/>
          <w:b/>
          <w:kern w:val="0"/>
          <w:sz w:val="24"/>
          <w:szCs w:val="24"/>
        </w:rPr>
        <w:t>质量保证及售后服务</w:t>
      </w:r>
    </w:p>
    <w:p w14:paraId="61939BA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乙方提供的货物是全新、未使用过的，并完全符合强制性的国家技术质量规范和招标文件规定的质量、规格、性能和技术规范等的要求。</w:t>
      </w:r>
    </w:p>
    <w:p w14:paraId="35BB313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乙方提供的货物经正确安装、正常运转和保养，在其使用寿命期内须具有符合质量要求和产品说明书的性能。在货物质量保证期之内，乙方须对由于设计、工艺或材料的缺陷而发生的任何不足或故障负责。</w:t>
      </w:r>
    </w:p>
    <w:p w14:paraId="07CB20A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根据甲方按检验标准自己检验结果或委托有资质的相关质检机构的检验结果，发现货物的数量、质量、规格与合同或样品及样品小样不符；或者在质量保证期内，证实货物存在缺陷，包括潜在的缺陷或使用不符合要求的材料等，甲方应尽快以书面形式通知乙方。乙方在收到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日内应免费维修或更换有缺陷的货物或部件。如果乙方在收到通知后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日内没有弥补缺陷，甲方可采取必要的补救措施，但由此引发的风险和费用将由乙方承担。</w:t>
      </w:r>
    </w:p>
    <w:p w14:paraId="5292D66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合同项下货物的质量保证期为自货物通过最终验收起</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个月，在质保期内，因人为因素出现故障外，乙方对货物出现的质量及安全问题负责处理解决并承担一切费用。</w:t>
      </w:r>
    </w:p>
    <w:p w14:paraId="3BB4C86B">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.5 </w:t>
      </w:r>
      <w:r>
        <w:rPr>
          <w:rFonts w:hint="eastAsia" w:cs="宋体" w:asciiTheme="minorEastAsia" w:hAnsiTheme="minorEastAsia"/>
          <w:kern w:val="0"/>
          <w:sz w:val="24"/>
          <w:szCs w:val="24"/>
        </w:rPr>
        <w:t>合同项下货物免费保修期为质量保证期满后个</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月，因人为因素出现的故障不在免费保修范围内。对超过保修期的货物终生维修，维修时只收部件成本费。</w:t>
      </w:r>
    </w:p>
    <w:p w14:paraId="754A85A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9</w:t>
      </w:r>
      <w:r>
        <w:rPr>
          <w:rFonts w:cs="宋体" w:asciiTheme="minorEastAsia" w:hAnsiTheme="minorEastAsia"/>
          <w:kern w:val="0"/>
          <w:sz w:val="24"/>
          <w:szCs w:val="24"/>
        </w:rPr>
        <w:t xml:space="preserve">.6 </w:t>
      </w:r>
      <w:r>
        <w:rPr>
          <w:rFonts w:hint="eastAsia" w:cs="宋体" w:asciiTheme="minorEastAsia" w:hAnsiTheme="minorEastAsia"/>
          <w:kern w:val="0"/>
          <w:sz w:val="24"/>
          <w:szCs w:val="24"/>
        </w:rPr>
        <w:t>在使用过程中发生故障，乙方在接到甲方通知后在</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小时内到达甲方现场，</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小时内解除故障。</w:t>
      </w:r>
    </w:p>
    <w:p w14:paraId="6346D39C">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0</w:t>
      </w:r>
      <w:r>
        <w:rPr>
          <w:rFonts w:cs="宋体" w:asciiTheme="minorEastAsia" w:hAnsiTheme="minorEastAsia"/>
          <w:b/>
          <w:kern w:val="0"/>
          <w:sz w:val="24"/>
          <w:szCs w:val="24"/>
        </w:rPr>
        <w:t>.</w:t>
      </w:r>
      <w:r>
        <w:rPr>
          <w:rFonts w:hint="eastAsia" w:cs="宋体" w:asciiTheme="minorEastAsia" w:hAnsiTheme="minorEastAsia"/>
          <w:b/>
          <w:kern w:val="0"/>
          <w:sz w:val="24"/>
          <w:szCs w:val="24"/>
        </w:rPr>
        <w:t>调试和验收</w:t>
      </w:r>
    </w:p>
    <w:p w14:paraId="7B5D5A5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乙方交货前对产品作出全面检查和对验收文件进行整理，并列出清单，作为甲方收货验收和使用的技术条件依据，检验的结果应随货物交甲方。</w:t>
      </w:r>
    </w:p>
    <w:p w14:paraId="5FC8DC7A">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货物运抵现场后，甲方依据招标文件上的技术规格要求和国家有关质量标准在</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个工作日内组织初步验收，并制作验收备忘录，签署验收意见。初步验收不合格的不予签收。</w:t>
      </w:r>
    </w:p>
    <w:p w14:paraId="23DB79F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甲方对乙方提供的货物在使用前进行调试时，乙方负责安装并培训甲方的使用操作人员，并协助甲方一起调试，直到符合技术要求，甲方才做最终验收并签署验收意见。</w:t>
      </w:r>
    </w:p>
    <w:p w14:paraId="4CA1593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对大型或技术复杂的货物，甲方应邀请国家认可的专业检测机构参与初步验收及最终验收，并由其出具质量检测报告。</w:t>
      </w:r>
    </w:p>
    <w:p w14:paraId="59351C93">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0</w:t>
      </w:r>
      <w:r>
        <w:rPr>
          <w:rFonts w:cs="宋体" w:asciiTheme="minorEastAsia" w:hAnsiTheme="minorEastAsia"/>
          <w:kern w:val="0"/>
          <w:sz w:val="24"/>
          <w:szCs w:val="24"/>
        </w:rPr>
        <w:t xml:space="preserve">.5 </w:t>
      </w:r>
      <w:r>
        <w:rPr>
          <w:rFonts w:hint="eastAsia" w:cs="宋体" w:asciiTheme="minorEastAsia" w:hAnsiTheme="minorEastAsia"/>
          <w:kern w:val="0"/>
          <w:sz w:val="24"/>
          <w:szCs w:val="24"/>
        </w:rPr>
        <w:t>验收时乙方必须在现场，验收完毕后作出验收结果报告。验收费用由乙方负责。</w:t>
      </w:r>
    </w:p>
    <w:p w14:paraId="1E1310D0">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1</w:t>
      </w:r>
      <w:r>
        <w:rPr>
          <w:rFonts w:cs="宋体" w:asciiTheme="minorEastAsia" w:hAnsiTheme="minorEastAsia"/>
          <w:b/>
          <w:kern w:val="0"/>
          <w:sz w:val="24"/>
          <w:szCs w:val="24"/>
        </w:rPr>
        <w:t>.</w:t>
      </w:r>
      <w:r>
        <w:rPr>
          <w:rFonts w:hint="eastAsia" w:cs="宋体" w:asciiTheme="minorEastAsia" w:hAnsiTheme="minorEastAsia"/>
          <w:b/>
          <w:kern w:val="0"/>
          <w:sz w:val="24"/>
          <w:szCs w:val="24"/>
        </w:rPr>
        <w:t>索赔</w:t>
      </w:r>
    </w:p>
    <w:p w14:paraId="2BAC8B8C">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如果货物的质量、规格、数量、重量等与合同或样品及样品小样不符，或在质量保证期内证实货物存有缺陷，包括潜在的缺陷或使用不符合要求的材料等，甲方有权根据有资质的权威质检机构的检验结果向乙方提出索赔</w:t>
      </w:r>
      <w:r>
        <w:rPr>
          <w:rFonts w:cs="宋体" w:asciiTheme="minorEastAsia" w:hAnsiTheme="minorEastAsia"/>
          <w:kern w:val="0"/>
          <w:sz w:val="24"/>
          <w:szCs w:val="24"/>
        </w:rPr>
        <w:t>(</w:t>
      </w:r>
      <w:r>
        <w:rPr>
          <w:rFonts w:hint="eastAsia" w:cs="宋体" w:asciiTheme="minorEastAsia" w:hAnsiTheme="minorEastAsia"/>
          <w:kern w:val="0"/>
          <w:sz w:val="24"/>
          <w:szCs w:val="24"/>
        </w:rPr>
        <w:t>但责任应由保险公司或运输部门承担的除外</w:t>
      </w:r>
      <w:r>
        <w:rPr>
          <w:rFonts w:cs="宋体" w:asciiTheme="minorEastAsia" w:hAnsiTheme="minorEastAsia"/>
          <w:kern w:val="0"/>
          <w:sz w:val="24"/>
          <w:szCs w:val="24"/>
        </w:rPr>
        <w:t>)</w:t>
      </w:r>
      <w:r>
        <w:rPr>
          <w:rFonts w:hint="eastAsia" w:cs="宋体" w:asciiTheme="minorEastAsia" w:hAnsiTheme="minorEastAsia"/>
          <w:kern w:val="0"/>
          <w:sz w:val="24"/>
          <w:szCs w:val="24"/>
        </w:rPr>
        <w:t>。</w:t>
      </w:r>
    </w:p>
    <w:p w14:paraId="070BC6B6">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在根据合同第</w:t>
      </w:r>
      <w:r>
        <w:rPr>
          <w:rFonts w:cs="宋体" w:asciiTheme="minorEastAsia" w:hAnsiTheme="minorEastAsia"/>
          <w:kern w:val="0"/>
          <w:sz w:val="24"/>
          <w:szCs w:val="24"/>
        </w:rPr>
        <w:t xml:space="preserve">10 </w:t>
      </w:r>
      <w:r>
        <w:rPr>
          <w:rFonts w:hint="eastAsia" w:cs="宋体" w:asciiTheme="minorEastAsia" w:hAnsiTheme="minorEastAsia"/>
          <w:kern w:val="0"/>
          <w:sz w:val="24"/>
          <w:szCs w:val="24"/>
        </w:rPr>
        <w:t>条和第</w:t>
      </w:r>
      <w:r>
        <w:rPr>
          <w:rFonts w:cs="宋体" w:asciiTheme="minorEastAsia" w:hAnsiTheme="minorEastAsia"/>
          <w:kern w:val="0"/>
          <w:sz w:val="24"/>
          <w:szCs w:val="24"/>
        </w:rPr>
        <w:t xml:space="preserve">11 </w:t>
      </w:r>
      <w:r>
        <w:rPr>
          <w:rFonts w:hint="eastAsia" w:cs="宋体" w:asciiTheme="minorEastAsia" w:hAnsiTheme="minorEastAsia"/>
          <w:kern w:val="0"/>
          <w:sz w:val="24"/>
          <w:szCs w:val="24"/>
        </w:rPr>
        <w:t>条规定的检验期和质量保证期内，如果乙方对甲方提出的索赔负有责任，乙方应按照甲方同意的下列一种或多种方式解决索赔事宜：</w:t>
      </w:r>
    </w:p>
    <w:p w14:paraId="453B894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.2.1 </w:t>
      </w:r>
      <w:r>
        <w:rPr>
          <w:rFonts w:hint="eastAsia" w:cs="宋体" w:asciiTheme="minorEastAsia" w:hAnsiTheme="minorEastAsia"/>
          <w:kern w:val="0"/>
          <w:sz w:val="24"/>
          <w:szCs w:val="24"/>
        </w:rPr>
        <w:t>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2EF01A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.2.2 </w:t>
      </w:r>
      <w:r>
        <w:rPr>
          <w:rFonts w:hint="eastAsia" w:cs="宋体" w:asciiTheme="minorEastAsia" w:hAnsiTheme="minorEastAsia"/>
          <w:kern w:val="0"/>
          <w:sz w:val="24"/>
          <w:szCs w:val="24"/>
        </w:rPr>
        <w:t>根据货物低劣程度、损坏程度以及甲方所遭受损失的数额，经双方商定降低货物的价格，或由有权的部门评估，以降低后的价格或评估价格为准。</w:t>
      </w:r>
    </w:p>
    <w:p w14:paraId="14444C1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.2.3 </w:t>
      </w:r>
      <w:r>
        <w:rPr>
          <w:rFonts w:hint="eastAsia" w:cs="宋体" w:asciiTheme="minorEastAsia" w:hAnsiTheme="minorEastAsia"/>
          <w:kern w:val="0"/>
          <w:sz w:val="24"/>
          <w:szCs w:val="24"/>
        </w:rPr>
        <w:t>用符合规格、质量和性能要求的新零件、部件或货物来更换有缺陷的部分或</w:t>
      </w:r>
      <w:r>
        <w:rPr>
          <w:rFonts w:cs="宋体" w:asciiTheme="minorEastAsia" w:hAnsiTheme="minorEastAsia"/>
          <w:kern w:val="0"/>
          <w:sz w:val="24"/>
          <w:szCs w:val="24"/>
        </w:rPr>
        <w:t>/</w:t>
      </w:r>
      <w:r>
        <w:rPr>
          <w:rFonts w:hint="eastAsia" w:cs="宋体" w:asciiTheme="minorEastAsia" w:hAnsiTheme="minorEastAsia"/>
          <w:kern w:val="0"/>
          <w:sz w:val="24"/>
          <w:szCs w:val="24"/>
        </w:rPr>
        <w:t>和修补缺陷部分，乙方承担一切费用和风险并负担甲方所发生的一切直接费用。同时，乙方方应按合同第</w:t>
      </w:r>
      <w:r>
        <w:rPr>
          <w:rFonts w:cs="宋体" w:asciiTheme="minorEastAsia" w:hAnsiTheme="minorEastAsia"/>
          <w:kern w:val="0"/>
          <w:sz w:val="24"/>
          <w:szCs w:val="24"/>
        </w:rPr>
        <w:t xml:space="preserve">12 </w:t>
      </w:r>
      <w:r>
        <w:rPr>
          <w:rFonts w:hint="eastAsia" w:cs="宋体" w:asciiTheme="minorEastAsia" w:hAnsiTheme="minorEastAsia"/>
          <w:kern w:val="0"/>
          <w:sz w:val="24"/>
          <w:szCs w:val="24"/>
        </w:rPr>
        <w:t>条规定，相应延长修补或更换件的质量保证期。</w:t>
      </w:r>
    </w:p>
    <w:p w14:paraId="02DB003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1</w:t>
      </w:r>
      <w:r>
        <w:rPr>
          <w:rFonts w:cs="宋体" w:asciiTheme="minorEastAsia" w:hAnsiTheme="minorEastAsia"/>
          <w:kern w:val="0"/>
          <w:sz w:val="24"/>
          <w:szCs w:val="24"/>
        </w:rPr>
        <w:t xml:space="preserve">.2.4 </w:t>
      </w:r>
      <w:r>
        <w:rPr>
          <w:rFonts w:hint="eastAsia" w:cs="宋体" w:asciiTheme="minorEastAsia" w:hAnsiTheme="minorEastAsia"/>
          <w:kern w:val="0"/>
          <w:sz w:val="24"/>
          <w:szCs w:val="24"/>
        </w:rPr>
        <w:t>如果在甲方发出索赔通知后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日内，乙方未作答复，上述索赔应视为已被乙方接受。如乙方未能在甲方提出索赔通知后</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日内或买方同意的更长时间内，按照本合同第</w:t>
      </w:r>
      <w:r>
        <w:rPr>
          <w:rFonts w:cs="宋体" w:asciiTheme="minorEastAsia" w:hAnsiTheme="minorEastAsia"/>
          <w:kern w:val="0"/>
          <w:sz w:val="24"/>
          <w:szCs w:val="24"/>
        </w:rPr>
        <w:t xml:space="preserve">14.2 </w:t>
      </w:r>
      <w:r>
        <w:rPr>
          <w:rFonts w:hint="eastAsia" w:cs="宋体" w:asciiTheme="minorEastAsia" w:hAnsiTheme="minorEastAsia"/>
          <w:kern w:val="0"/>
          <w:sz w:val="24"/>
          <w:szCs w:val="24"/>
        </w:rPr>
        <w:t>条规定的任何一种方法解决索赔事宜，甲方将从合同款中扣回索赔金额。如果这些金额不足以补偿索赔金额，甲方有权向乙方提出不足部分的补偿。</w:t>
      </w:r>
    </w:p>
    <w:p w14:paraId="29B1121D">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2</w:t>
      </w:r>
      <w:r>
        <w:rPr>
          <w:rFonts w:cs="宋体" w:asciiTheme="minorEastAsia" w:hAnsiTheme="minorEastAsia"/>
          <w:b/>
          <w:kern w:val="0"/>
          <w:sz w:val="24"/>
          <w:szCs w:val="24"/>
        </w:rPr>
        <w:t>.</w:t>
      </w:r>
      <w:r>
        <w:rPr>
          <w:rFonts w:hint="eastAsia" w:cs="宋体" w:asciiTheme="minorEastAsia" w:hAnsiTheme="minorEastAsia"/>
          <w:b/>
          <w:kern w:val="0"/>
          <w:sz w:val="24"/>
          <w:szCs w:val="24"/>
        </w:rPr>
        <w:t>违约责任</w:t>
      </w:r>
    </w:p>
    <w:p w14:paraId="147D847D">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2</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甲方无正当理由拒收货物的，甲方向乙方偿付拒收货款总值的百分之五违约金。</w:t>
      </w:r>
    </w:p>
    <w:p w14:paraId="11F9E2F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2</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甲方无故逾期验收和办理货款支付手续的</w:t>
      </w:r>
      <w:r>
        <w:rPr>
          <w:rFonts w:cs="宋体" w:asciiTheme="minorEastAsia" w:hAnsiTheme="minorEastAsia"/>
          <w:kern w:val="0"/>
          <w:sz w:val="24"/>
          <w:szCs w:val="24"/>
        </w:rPr>
        <w:t>,</w:t>
      </w:r>
      <w:r>
        <w:rPr>
          <w:rFonts w:hint="eastAsia" w:cs="宋体" w:asciiTheme="minorEastAsia" w:hAnsiTheme="minorEastAsia"/>
          <w:kern w:val="0"/>
          <w:sz w:val="24"/>
          <w:szCs w:val="24"/>
        </w:rPr>
        <w:t>甲方按逾期付款总额每日万分之五向乙方支付违约金。</w:t>
      </w:r>
    </w:p>
    <w:p w14:paraId="030B8FE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2</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乙方逾期交付货物的，乙方按逾期交货总额每日万分之五向甲方支付违约金。逾期超过约定日期</w:t>
      </w:r>
      <w:r>
        <w:rPr>
          <w:rFonts w:cs="宋体" w:asciiTheme="minorEastAsia" w:hAnsiTheme="minorEastAsia"/>
          <w:kern w:val="0"/>
          <w:sz w:val="24"/>
          <w:szCs w:val="24"/>
        </w:rPr>
        <w:t xml:space="preserve">10 </w:t>
      </w:r>
      <w:r>
        <w:rPr>
          <w:rFonts w:hint="eastAsia" w:cs="宋体" w:asciiTheme="minorEastAsia" w:hAnsiTheme="minorEastAsia"/>
          <w:kern w:val="0"/>
          <w:sz w:val="24"/>
          <w:szCs w:val="24"/>
        </w:rPr>
        <w:t>个工作日不能交货的，甲方有权选择同意延长交货期或解除本合同。甲方同意延长交货期的，延期交货的时间由双方别行确定。乙方仍按上述规定向甲方支付延期交货违约金。违约金由甲方从待付货款中扣除。乙方因逾期交货或因其他违约行为导致甲方解除合同的，乙方向甲方支付合同总值</w:t>
      </w:r>
      <w:r>
        <w:rPr>
          <w:rFonts w:cs="宋体" w:asciiTheme="minorEastAsia" w:hAnsiTheme="minorEastAsia"/>
          <w:kern w:val="0"/>
          <w:sz w:val="24"/>
          <w:szCs w:val="24"/>
        </w:rPr>
        <w:t>5%</w:t>
      </w:r>
      <w:r>
        <w:rPr>
          <w:rFonts w:hint="eastAsia" w:cs="宋体" w:asciiTheme="minorEastAsia" w:hAnsiTheme="minorEastAsia"/>
          <w:kern w:val="0"/>
          <w:sz w:val="24"/>
          <w:szCs w:val="24"/>
        </w:rPr>
        <w:t>的违约金，如造成甲方损失超过违约金的，超出部分由乙方继续承担赔偿责任。</w:t>
      </w:r>
    </w:p>
    <w:p w14:paraId="7243AB07">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3</w:t>
      </w:r>
      <w:r>
        <w:rPr>
          <w:rFonts w:cs="宋体" w:asciiTheme="minorEastAsia" w:hAnsiTheme="minorEastAsia"/>
          <w:b/>
          <w:kern w:val="0"/>
          <w:sz w:val="24"/>
          <w:szCs w:val="24"/>
        </w:rPr>
        <w:t>.</w:t>
      </w:r>
      <w:r>
        <w:rPr>
          <w:rFonts w:hint="eastAsia" w:cs="宋体" w:asciiTheme="minorEastAsia" w:hAnsiTheme="minorEastAsia"/>
          <w:b/>
          <w:kern w:val="0"/>
          <w:sz w:val="24"/>
          <w:szCs w:val="24"/>
        </w:rPr>
        <w:t>不可抗力事件处理</w:t>
      </w:r>
    </w:p>
    <w:p w14:paraId="450A029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3</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因不可抗力造成违约的，遭受不可抗力一方应及时向对方通报不能履行或不能完全履行的理由，并在随后取得有关权威机构出具的证明后的</w:t>
      </w:r>
      <w:r>
        <w:rPr>
          <w:rFonts w:cs="宋体" w:asciiTheme="minorEastAsia" w:hAnsiTheme="minorEastAsia"/>
          <w:kern w:val="0"/>
          <w:sz w:val="24"/>
          <w:szCs w:val="24"/>
        </w:rPr>
        <w:t xml:space="preserve">15 </w:t>
      </w:r>
      <w:r>
        <w:rPr>
          <w:rFonts w:hint="eastAsia" w:cs="宋体" w:asciiTheme="minorEastAsia" w:hAnsiTheme="minorEastAsia"/>
          <w:kern w:val="0"/>
          <w:sz w:val="24"/>
          <w:szCs w:val="24"/>
        </w:rPr>
        <w:t>日内向另一方提供不可抗力发生以及持续期间的充分证据。基本于以上行为，允许遭受不可抗力一方延期履行、部分履行或者不履行合同，并根据情况可部分或全部免于承担违约责任。</w:t>
      </w:r>
    </w:p>
    <w:p w14:paraId="3B55DBE2">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3</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14:paraId="276B122F">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4</w:t>
      </w:r>
      <w:r>
        <w:rPr>
          <w:rFonts w:cs="宋体" w:asciiTheme="minorEastAsia" w:hAnsiTheme="minorEastAsia"/>
          <w:b/>
          <w:kern w:val="0"/>
          <w:sz w:val="24"/>
          <w:szCs w:val="24"/>
        </w:rPr>
        <w:t>.</w:t>
      </w:r>
      <w:r>
        <w:rPr>
          <w:rFonts w:hint="eastAsia" w:cs="宋体" w:asciiTheme="minorEastAsia" w:hAnsiTheme="minorEastAsia"/>
          <w:b/>
          <w:kern w:val="0"/>
          <w:sz w:val="24"/>
          <w:szCs w:val="24"/>
        </w:rPr>
        <w:t>合同纠纷处理</w:t>
      </w:r>
    </w:p>
    <w:p w14:paraId="424D417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因本合同或与本合同有关的一切事项发生争议，由双方友好协商解决。协商不成的，任何一方均可选择以下方式解决：</w:t>
      </w:r>
    </w:p>
    <w:p w14:paraId="29764DF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4</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向甲方所在地仲裁委员会申请仲裁。</w:t>
      </w:r>
    </w:p>
    <w:p w14:paraId="78E6198A">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4</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向合同签订地人民法院提起诉讼。</w:t>
      </w:r>
    </w:p>
    <w:p w14:paraId="75D85C79">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5</w:t>
      </w:r>
      <w:r>
        <w:rPr>
          <w:rFonts w:cs="宋体" w:asciiTheme="minorEastAsia" w:hAnsiTheme="minorEastAsia"/>
          <w:b/>
          <w:kern w:val="0"/>
          <w:sz w:val="24"/>
          <w:szCs w:val="24"/>
        </w:rPr>
        <w:t>.</w:t>
      </w:r>
      <w:r>
        <w:rPr>
          <w:rFonts w:hint="eastAsia" w:cs="宋体" w:asciiTheme="minorEastAsia" w:hAnsiTheme="minorEastAsia"/>
          <w:b/>
          <w:kern w:val="0"/>
          <w:sz w:val="24"/>
          <w:szCs w:val="24"/>
        </w:rPr>
        <w:t>违约解除合同</w:t>
      </w:r>
    </w:p>
    <w:p w14:paraId="6671EEEB">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在乙方违约的情况下，甲方可向乙方发出书面通知，部分或全部终止合同，同时保留向对方追诉的权利。</w:t>
      </w:r>
    </w:p>
    <w:p w14:paraId="45C0E000">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.1.1 </w:t>
      </w:r>
      <w:r>
        <w:rPr>
          <w:rFonts w:hint="eastAsia" w:cs="宋体" w:asciiTheme="minorEastAsia" w:hAnsiTheme="minorEastAsia"/>
          <w:kern w:val="0"/>
          <w:sz w:val="24"/>
          <w:szCs w:val="24"/>
        </w:rPr>
        <w:t>乙方未能在合同规定的限期或甲方同意延长的限期内提供全部或部分货物，按合同第</w:t>
      </w:r>
      <w:r>
        <w:rPr>
          <w:rFonts w:cs="宋体" w:asciiTheme="minorEastAsia" w:hAnsiTheme="minorEastAsia"/>
          <w:kern w:val="0"/>
          <w:sz w:val="24"/>
          <w:szCs w:val="24"/>
        </w:rPr>
        <w:t xml:space="preserve">15.3 </w:t>
      </w:r>
      <w:r>
        <w:rPr>
          <w:rFonts w:hint="eastAsia" w:cs="宋体" w:asciiTheme="minorEastAsia" w:hAnsiTheme="minorEastAsia"/>
          <w:kern w:val="0"/>
          <w:sz w:val="24"/>
          <w:szCs w:val="24"/>
        </w:rPr>
        <w:t>的规定可以解除合同的。</w:t>
      </w:r>
    </w:p>
    <w:p w14:paraId="0D428487">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.1.2 </w:t>
      </w:r>
      <w:r>
        <w:rPr>
          <w:rFonts w:hint="eastAsia" w:cs="宋体" w:asciiTheme="minorEastAsia" w:hAnsiTheme="minorEastAsia"/>
          <w:kern w:val="0"/>
          <w:sz w:val="24"/>
          <w:szCs w:val="24"/>
        </w:rPr>
        <w:t>乙方有转让和未经甲方同意的分包行为，按合同第</w:t>
      </w:r>
      <w:r>
        <w:rPr>
          <w:rFonts w:cs="宋体" w:asciiTheme="minorEastAsia" w:hAnsiTheme="minorEastAsia"/>
          <w:kern w:val="0"/>
          <w:sz w:val="24"/>
          <w:szCs w:val="24"/>
        </w:rPr>
        <w:t xml:space="preserve">7.3 </w:t>
      </w:r>
      <w:r>
        <w:rPr>
          <w:rFonts w:hint="eastAsia" w:cs="宋体" w:asciiTheme="minorEastAsia" w:hAnsiTheme="minorEastAsia"/>
          <w:kern w:val="0"/>
          <w:sz w:val="24"/>
          <w:szCs w:val="24"/>
        </w:rPr>
        <w:t>的规定可以解除合同的。</w:t>
      </w:r>
    </w:p>
    <w:p w14:paraId="253D1836">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.1.3 </w:t>
      </w:r>
      <w:r>
        <w:rPr>
          <w:rFonts w:hint="eastAsia" w:cs="宋体" w:asciiTheme="minorEastAsia" w:hAnsiTheme="minorEastAsia"/>
          <w:kern w:val="0"/>
          <w:sz w:val="24"/>
          <w:szCs w:val="24"/>
        </w:rPr>
        <w:t>乙方未能履行合同规定的其它主要义务的。</w:t>
      </w:r>
    </w:p>
    <w:p w14:paraId="7771B8E9">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.1.4 </w:t>
      </w:r>
      <w:r>
        <w:rPr>
          <w:rFonts w:hint="eastAsia" w:cs="宋体" w:asciiTheme="minorEastAsia" w:hAnsiTheme="minorEastAsia"/>
          <w:kern w:val="0"/>
          <w:sz w:val="24"/>
          <w:szCs w:val="24"/>
        </w:rPr>
        <w:t>在本合同履行过程中有腐败和欺诈行为的。</w:t>
      </w:r>
    </w:p>
    <w:p w14:paraId="4C8760FF">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5</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在甲方根据上述笫</w:t>
      </w:r>
      <w:r>
        <w:rPr>
          <w:rFonts w:cs="宋体" w:asciiTheme="minorEastAsia" w:hAnsiTheme="minorEastAsia"/>
          <w:kern w:val="0"/>
          <w:sz w:val="24"/>
          <w:szCs w:val="24"/>
        </w:rPr>
        <w:t xml:space="preserve">18.1 </w:t>
      </w:r>
      <w:r>
        <w:rPr>
          <w:rFonts w:hint="eastAsia" w:cs="宋体" w:asciiTheme="minorEastAsia" w:hAnsiTheme="minorEastAsia"/>
          <w:kern w:val="0"/>
          <w:sz w:val="24"/>
          <w:szCs w:val="24"/>
        </w:rPr>
        <w:t>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42AB379A">
      <w:pPr>
        <w:autoSpaceDE w:val="0"/>
        <w:autoSpaceDN w:val="0"/>
        <w:adjustRightInd w:val="0"/>
        <w:spacing w:line="360" w:lineRule="auto"/>
        <w:ind w:firstLine="482" w:firstLineChars="200"/>
        <w:jc w:val="left"/>
        <w:rPr>
          <w:rFonts w:cs="宋体" w:asciiTheme="minorEastAsia" w:hAnsiTheme="minorEastAsia"/>
          <w:b/>
          <w:kern w:val="0"/>
          <w:sz w:val="24"/>
          <w:szCs w:val="24"/>
        </w:rPr>
      </w:pPr>
      <w:r>
        <w:rPr>
          <w:rFonts w:cs="宋体" w:asciiTheme="minorEastAsia" w:hAnsiTheme="minorEastAsia"/>
          <w:b/>
          <w:kern w:val="0"/>
          <w:sz w:val="24"/>
          <w:szCs w:val="24"/>
        </w:rPr>
        <w:t>1</w:t>
      </w:r>
      <w:r>
        <w:rPr>
          <w:rFonts w:hint="eastAsia" w:cs="宋体" w:asciiTheme="minorEastAsia" w:hAnsiTheme="minorEastAsia"/>
          <w:b/>
          <w:kern w:val="0"/>
          <w:sz w:val="24"/>
          <w:szCs w:val="24"/>
        </w:rPr>
        <w:t>6</w:t>
      </w:r>
      <w:r>
        <w:rPr>
          <w:rFonts w:cs="宋体" w:asciiTheme="minorEastAsia" w:hAnsiTheme="minorEastAsia"/>
          <w:b/>
          <w:kern w:val="0"/>
          <w:sz w:val="24"/>
          <w:szCs w:val="24"/>
        </w:rPr>
        <w:t>.</w:t>
      </w:r>
      <w:r>
        <w:rPr>
          <w:rFonts w:hint="eastAsia" w:cs="宋体" w:asciiTheme="minorEastAsia" w:hAnsiTheme="minorEastAsia"/>
          <w:b/>
          <w:kern w:val="0"/>
          <w:sz w:val="24"/>
          <w:szCs w:val="24"/>
        </w:rPr>
        <w:t>其他约定</w:t>
      </w:r>
    </w:p>
    <w:p w14:paraId="627DE1F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.1 </w:t>
      </w:r>
      <w:r>
        <w:rPr>
          <w:rFonts w:hint="eastAsia" w:cs="宋体" w:asciiTheme="minorEastAsia" w:hAnsiTheme="minorEastAsia"/>
          <w:kern w:val="0"/>
          <w:sz w:val="24"/>
          <w:szCs w:val="24"/>
        </w:rPr>
        <w:t>本采购项目的招标文件、中标供应商的投标文件以及相关的澄清确认函（如果有的话）均为本合同不可分割的一部分，与本合同具有同等法律效力。</w:t>
      </w:r>
    </w:p>
    <w:p w14:paraId="39CE6D44">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.2 </w:t>
      </w:r>
      <w:r>
        <w:rPr>
          <w:rFonts w:hint="eastAsia" w:cs="宋体" w:asciiTheme="minorEastAsia" w:hAnsiTheme="minorEastAsia"/>
          <w:kern w:val="0"/>
          <w:sz w:val="24"/>
          <w:szCs w:val="24"/>
        </w:rPr>
        <w:t>本合同未尽事宜，双方另行补充。</w:t>
      </w:r>
    </w:p>
    <w:p w14:paraId="07C7702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.3 </w:t>
      </w:r>
      <w:r>
        <w:rPr>
          <w:rFonts w:hint="eastAsia" w:cs="宋体" w:asciiTheme="minorEastAsia" w:hAnsiTheme="minorEastAsia"/>
          <w:kern w:val="0"/>
          <w:sz w:val="24"/>
          <w:szCs w:val="24"/>
        </w:rPr>
        <w:t>本合同正本一式</w:t>
      </w:r>
      <w:r>
        <w:rPr>
          <w:rFonts w:cs="宋体" w:asciiTheme="minorEastAsia" w:hAnsiTheme="minorEastAsia"/>
          <w:kern w:val="0"/>
          <w:sz w:val="24"/>
          <w:szCs w:val="24"/>
          <w:u w:val="single"/>
        </w:rPr>
        <w:t xml:space="preserve">    </w:t>
      </w:r>
      <w:r>
        <w:rPr>
          <w:rFonts w:hint="eastAsia" w:cs="宋体" w:asciiTheme="minorEastAsia" w:hAnsiTheme="minorEastAsia"/>
          <w:kern w:val="0"/>
          <w:sz w:val="24"/>
          <w:szCs w:val="24"/>
        </w:rPr>
        <w:t>份，具有同等法律效力，甲、乙双方各执一份。自采购合同签订之日起</w:t>
      </w:r>
      <w:r>
        <w:rPr>
          <w:rFonts w:cs="宋体" w:asciiTheme="minorEastAsia" w:hAnsiTheme="minorEastAsia"/>
          <w:kern w:val="0"/>
          <w:sz w:val="24"/>
          <w:szCs w:val="24"/>
        </w:rPr>
        <w:t xml:space="preserve">7 </w:t>
      </w:r>
      <w:r>
        <w:rPr>
          <w:rFonts w:hint="eastAsia" w:cs="宋体" w:asciiTheme="minorEastAsia" w:hAnsiTheme="minorEastAsia"/>
          <w:kern w:val="0"/>
          <w:sz w:val="24"/>
          <w:szCs w:val="24"/>
        </w:rPr>
        <w:t>个工作日内，甲方按照有关规定将合同副本报同级财政部门备案。</w:t>
      </w:r>
    </w:p>
    <w:p w14:paraId="563C19D5">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6</w:t>
      </w:r>
      <w:r>
        <w:rPr>
          <w:rFonts w:cs="宋体" w:asciiTheme="minorEastAsia" w:hAnsiTheme="minorEastAsia"/>
          <w:kern w:val="0"/>
          <w:sz w:val="24"/>
          <w:szCs w:val="24"/>
        </w:rPr>
        <w:t xml:space="preserve">.4 </w:t>
      </w:r>
      <w:r>
        <w:rPr>
          <w:rFonts w:hint="eastAsia" w:cs="宋体" w:asciiTheme="minorEastAsia" w:hAnsiTheme="minorEastAsia"/>
          <w:kern w:val="0"/>
          <w:sz w:val="24"/>
          <w:szCs w:val="24"/>
        </w:rPr>
        <w:t>签定地点：</w:t>
      </w:r>
    </w:p>
    <w:p w14:paraId="33C3642B">
      <w:pPr>
        <w:pStyle w:val="2"/>
      </w:pPr>
    </w:p>
    <w:p w14:paraId="6AA55AB3">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甲方：</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乙方：</w:t>
      </w:r>
    </w:p>
    <w:p w14:paraId="1436DD68">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单位地址：</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单位地址：</w:t>
      </w:r>
    </w:p>
    <w:p w14:paraId="0AA62C8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法定代表人：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法定代表人：</w:t>
      </w:r>
    </w:p>
    <w:p w14:paraId="66507486">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委托代理人：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委托代理人：</w:t>
      </w:r>
    </w:p>
    <w:p w14:paraId="3B27FFDE">
      <w:pPr>
        <w:autoSpaceDE w:val="0"/>
        <w:autoSpaceDN w:val="0"/>
        <w:adjustRightInd w:val="0"/>
        <w:spacing w:line="360" w:lineRule="auto"/>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电话：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电话：</w:t>
      </w:r>
    </w:p>
    <w:p w14:paraId="715F942C">
      <w:pPr>
        <w:spacing w:line="360" w:lineRule="auto"/>
        <w:ind w:firstLine="480" w:firstLineChars="200"/>
        <w:rPr>
          <w:rFonts w:cs="宋体" w:asciiTheme="minorEastAsia" w:hAnsiTheme="minorEastAsia"/>
          <w:kern w:val="0"/>
          <w:sz w:val="24"/>
          <w:szCs w:val="24"/>
        </w:rPr>
      </w:pPr>
    </w:p>
    <w:p w14:paraId="04A03372">
      <w:pPr>
        <w:spacing w:line="360" w:lineRule="auto"/>
        <w:ind w:firstLine="480" w:firstLineChars="200"/>
        <w:rPr>
          <w:rFonts w:asciiTheme="minorEastAsia" w:hAnsiTheme="minorEastAsia"/>
          <w:sz w:val="24"/>
          <w:szCs w:val="24"/>
        </w:rPr>
      </w:pPr>
      <w:r>
        <w:rPr>
          <w:rFonts w:hint="eastAsia" w:cs="宋体" w:asciiTheme="minorEastAsia" w:hAnsiTheme="minorEastAsia"/>
          <w:kern w:val="0"/>
          <w:sz w:val="24"/>
          <w:szCs w:val="24"/>
        </w:rPr>
        <w:t xml:space="preserve">签订日期： </w:t>
      </w:r>
      <w:r>
        <w:rPr>
          <w:rFonts w:cs="宋体" w:asciiTheme="minorEastAsia" w:hAnsiTheme="minorEastAsia"/>
          <w:kern w:val="0"/>
          <w:sz w:val="24"/>
          <w:szCs w:val="24"/>
        </w:rPr>
        <w:t xml:space="preserve"> </w:t>
      </w:r>
      <w:r>
        <w:rPr>
          <w:rFonts w:hint="eastAsia" w:cs="宋体" w:asciiTheme="minorEastAsia" w:hAnsiTheme="minorEastAsia"/>
          <w:kern w:val="0"/>
          <w:sz w:val="24"/>
          <w:szCs w:val="24"/>
        </w:rPr>
        <w:t>年  月  日</w:t>
      </w:r>
    </w:p>
    <w:p w14:paraId="4016150B">
      <w:pPr>
        <w:spacing w:line="360" w:lineRule="auto"/>
        <w:ind w:firstLine="480" w:firstLineChars="200"/>
        <w:rPr>
          <w:rFonts w:asciiTheme="minorEastAsia" w:hAnsiTheme="minorEastAsia"/>
          <w:sz w:val="24"/>
          <w:szCs w:val="24"/>
        </w:rPr>
      </w:pPr>
    </w:p>
    <w:p w14:paraId="46F35BD5">
      <w:pPr>
        <w:widowControl/>
        <w:spacing w:line="440" w:lineRule="atLeast"/>
        <w:rPr>
          <w:rFonts w:ascii="宋体" w:hAnsi="宋体" w:eastAsia="宋体" w:cs="Times New Roman"/>
          <w:color w:val="000000" w:themeColor="text1"/>
          <w:kern w:val="0"/>
          <w:sz w:val="28"/>
          <w:szCs w:val="28"/>
          <w14:textFill>
            <w14:solidFill>
              <w14:schemeClr w14:val="tx1"/>
            </w14:solidFill>
          </w14:textFill>
        </w:rPr>
      </w:pPr>
    </w:p>
    <w:p w14:paraId="37E2E067">
      <w:pPr>
        <w:spacing w:line="360" w:lineRule="auto"/>
        <w:jc w:val="left"/>
        <w:rPr>
          <w:rFonts w:ascii="宋体" w:hAnsi="宋体" w:eastAsia="宋体" w:cs="宋体"/>
          <w:color w:val="000000" w:themeColor="text1"/>
          <w:kern w:val="0"/>
          <w:sz w:val="24"/>
          <w:szCs w:val="24"/>
          <w14:textFill>
            <w14:solidFill>
              <w14:schemeClr w14:val="tx1"/>
            </w14:solidFill>
          </w14:textFill>
        </w:rPr>
      </w:pPr>
    </w:p>
    <w:p w14:paraId="1E5D3355">
      <w:pPr>
        <w:spacing w:line="360" w:lineRule="auto"/>
        <w:jc w:val="left"/>
        <w:rPr>
          <w:rFonts w:ascii="宋体" w:hAnsi="宋体" w:eastAsia="宋体" w:cs="宋体"/>
          <w:color w:val="000000" w:themeColor="text1"/>
          <w:kern w:val="0"/>
          <w:sz w:val="24"/>
          <w:szCs w:val="24"/>
          <w14:textFill>
            <w14:solidFill>
              <w14:schemeClr w14:val="tx1"/>
            </w14:solidFill>
          </w14:textFill>
        </w:rPr>
      </w:pPr>
    </w:p>
    <w:p w14:paraId="4C7ED7A0">
      <w:pPr>
        <w:widowControl/>
        <w:jc w:val="center"/>
        <w:rPr>
          <w:rFonts w:ascii="宋体" w:hAnsi="宋体" w:eastAsia="宋体" w:cs="宋体"/>
          <w:color w:val="000000" w:themeColor="text1"/>
          <w:kern w:val="0"/>
          <w:sz w:val="24"/>
          <w:szCs w:val="24"/>
          <w14:textFill>
            <w14:solidFill>
              <w14:schemeClr w14:val="tx1"/>
            </w14:solidFill>
          </w14:textFill>
        </w:rPr>
      </w:pPr>
    </w:p>
    <w:p w14:paraId="092CB757">
      <w:pPr>
        <w:widowControl/>
        <w:jc w:val="center"/>
        <w:rPr>
          <w:rFonts w:ascii="宋体" w:hAnsi="宋体" w:eastAsia="宋体" w:cs="宋体"/>
          <w:color w:val="000000" w:themeColor="text1"/>
          <w:kern w:val="0"/>
          <w:sz w:val="24"/>
          <w:szCs w:val="24"/>
          <w14:textFill>
            <w14:solidFill>
              <w14:schemeClr w14:val="tx1"/>
            </w14:solidFill>
          </w14:textFill>
        </w:rPr>
      </w:pPr>
    </w:p>
    <w:p w14:paraId="36FB1C49">
      <w:pPr>
        <w:widowControl/>
        <w:jc w:val="left"/>
        <w:rPr>
          <w:rFonts w:ascii="宋体" w:hAnsi="宋体" w:eastAsia="宋体" w:cs="Times New Roman"/>
          <w:b/>
          <w:bCs/>
          <w:color w:val="000000" w:themeColor="text1"/>
          <w:kern w:val="0"/>
          <w:sz w:val="44"/>
          <w:szCs w:val="4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br w:type="page"/>
      </w:r>
    </w:p>
    <w:p w14:paraId="5F6B7525">
      <w:pPr>
        <w:widowControl/>
        <w:jc w:val="center"/>
        <w:rPr>
          <w:rFonts w:ascii="宋体" w:hAnsi="宋体" w:eastAsia="宋体" w:cs="Times New Roman"/>
          <w:color w:val="000000" w:themeColor="text1"/>
          <w:kern w:val="0"/>
          <w:sz w:val="36"/>
          <w:szCs w:val="36"/>
          <w14:textFill>
            <w14:solidFill>
              <w14:schemeClr w14:val="tx1"/>
            </w14:solidFill>
          </w14:textFill>
        </w:rPr>
      </w:pPr>
      <w:r>
        <w:rPr>
          <w:rFonts w:hint="eastAsia" w:ascii="宋体" w:hAnsi="宋体" w:eastAsia="宋体" w:cs="Times New Roman"/>
          <w:b/>
          <w:bCs/>
          <w:color w:val="000000" w:themeColor="text1"/>
          <w:kern w:val="0"/>
          <w:sz w:val="36"/>
          <w:szCs w:val="36"/>
          <w14:textFill>
            <w14:solidFill>
              <w14:schemeClr w14:val="tx1"/>
            </w14:solidFill>
          </w14:textFill>
        </w:rPr>
        <w:t>第六章 投标文件格式</w:t>
      </w:r>
    </w:p>
    <w:p w14:paraId="4592D698">
      <w:pPr>
        <w:widowControl/>
        <w:rPr>
          <w:rFonts w:ascii="宋体" w:hAnsi="宋体" w:eastAsia="宋体" w:cs="Times New Roman"/>
          <w:b/>
          <w:bCs/>
          <w:color w:val="000000" w:themeColor="text1"/>
          <w:kern w:val="0"/>
          <w:sz w:val="24"/>
          <w:szCs w:val="24"/>
          <w14:textFill>
            <w14:solidFill>
              <w14:schemeClr w14:val="tx1"/>
            </w14:solidFill>
          </w14:textFill>
        </w:rPr>
      </w:pPr>
    </w:p>
    <w:p w14:paraId="027C62D9">
      <w:pPr>
        <w:widowControl/>
        <w:jc w:val="center"/>
        <w:rPr>
          <w:rFonts w:ascii="宋体" w:hAnsi="宋体" w:eastAsia="宋体" w:cs="Times New Roman"/>
          <w:b/>
          <w:color w:val="000000" w:themeColor="text1"/>
          <w:kern w:val="0"/>
          <w:sz w:val="48"/>
          <w:szCs w:val="48"/>
          <w14:textFill>
            <w14:solidFill>
              <w14:schemeClr w14:val="tx1"/>
            </w14:solidFill>
          </w14:textFill>
        </w:rPr>
      </w:pPr>
    </w:p>
    <w:p w14:paraId="486044A5">
      <w:pPr>
        <w:widowControl/>
        <w:jc w:val="center"/>
        <w:rPr>
          <w:rFonts w:ascii="宋体" w:hAnsi="宋体" w:eastAsia="宋体" w:cs="Times New Roman"/>
          <w:b/>
          <w:color w:val="000000" w:themeColor="text1"/>
          <w:kern w:val="0"/>
          <w:sz w:val="48"/>
          <w:szCs w:val="48"/>
          <w:u w:val="single"/>
          <w14:textFill>
            <w14:solidFill>
              <w14:schemeClr w14:val="tx1"/>
            </w14:solidFill>
          </w14:textFill>
        </w:rPr>
      </w:pPr>
      <w:r>
        <w:rPr>
          <w:rFonts w:hint="eastAsia" w:ascii="宋体" w:hAnsi="宋体" w:eastAsia="宋体" w:cs="Times New Roman"/>
          <w:b/>
          <w:color w:val="000000" w:themeColor="text1"/>
          <w:kern w:val="0"/>
          <w:sz w:val="48"/>
          <w:szCs w:val="48"/>
          <w14:textFill>
            <w14:solidFill>
              <w14:schemeClr w14:val="tx1"/>
            </w14:solidFill>
          </w14:textFill>
        </w:rPr>
        <w:t>灵宝市高级技工学校灵宝市公共就业创业服务驿站项目</w:t>
      </w:r>
      <w:r>
        <w:rPr>
          <w:rFonts w:hint="eastAsia" w:ascii="宋体" w:hAnsi="宋体" w:eastAsia="宋体" w:cs="Times New Roman"/>
          <w:b/>
          <w:color w:val="000000" w:themeColor="text1"/>
          <w:kern w:val="0"/>
          <w:sz w:val="48"/>
          <w:szCs w:val="48"/>
          <w:u w:val="single"/>
          <w14:textFill>
            <w14:solidFill>
              <w14:schemeClr w14:val="tx1"/>
            </w14:solidFill>
          </w14:textFill>
        </w:rPr>
        <w:t xml:space="preserve">  </w:t>
      </w:r>
      <w:r>
        <w:rPr>
          <w:rFonts w:ascii="宋体" w:hAnsi="宋体" w:eastAsia="宋体" w:cs="Times New Roman"/>
          <w:b/>
          <w:color w:val="000000" w:themeColor="text1"/>
          <w:kern w:val="0"/>
          <w:sz w:val="48"/>
          <w:szCs w:val="48"/>
          <w:u w:val="single"/>
          <w14:textFill>
            <w14:solidFill>
              <w14:schemeClr w14:val="tx1"/>
            </w14:solidFill>
          </w14:textFill>
        </w:rPr>
        <w:t xml:space="preserve"> </w:t>
      </w:r>
      <w:r>
        <w:rPr>
          <w:rFonts w:hint="eastAsia" w:ascii="宋体" w:hAnsi="宋体" w:eastAsia="宋体" w:cs="Times New Roman"/>
          <w:b/>
          <w:color w:val="000000" w:themeColor="text1"/>
          <w:kern w:val="0"/>
          <w:sz w:val="48"/>
          <w:szCs w:val="48"/>
          <w:u w:val="single"/>
          <w14:textFill>
            <w14:solidFill>
              <w14:schemeClr w14:val="tx1"/>
            </w14:solidFill>
          </w14:textFill>
        </w:rPr>
        <w:t xml:space="preserve"> </w:t>
      </w:r>
      <w:r>
        <w:rPr>
          <w:rFonts w:hint="eastAsia" w:ascii="宋体" w:hAnsi="宋体" w:eastAsia="宋体" w:cs="Times New Roman"/>
          <w:b/>
          <w:color w:val="000000" w:themeColor="text1"/>
          <w:kern w:val="0"/>
          <w:sz w:val="48"/>
          <w:szCs w:val="48"/>
          <w14:textFill>
            <w14:solidFill>
              <w14:schemeClr w14:val="tx1"/>
            </w14:solidFill>
          </w14:textFill>
        </w:rPr>
        <w:t>包</w:t>
      </w:r>
    </w:p>
    <w:p w14:paraId="55584E6F">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 </w:t>
      </w:r>
    </w:p>
    <w:p w14:paraId="12C22CF0">
      <w:pPr>
        <w:widowControl/>
        <w:jc w:val="center"/>
        <w:rPr>
          <w:rFonts w:ascii="宋体" w:hAnsi="宋体" w:eastAsia="宋体" w:cs="Times New Roman"/>
          <w:b/>
          <w:bCs/>
          <w:color w:val="000000" w:themeColor="text1"/>
          <w:kern w:val="0"/>
          <w:sz w:val="44"/>
          <w:szCs w:val="44"/>
          <w14:textFill>
            <w14:solidFill>
              <w14:schemeClr w14:val="tx1"/>
            </w14:solidFill>
          </w14:textFill>
        </w:rPr>
      </w:pPr>
      <w:r>
        <w:rPr>
          <w:rFonts w:hint="eastAsia" w:ascii="宋体" w:hAnsi="宋体" w:eastAsia="宋体" w:cs="Times New Roman"/>
          <w:b/>
          <w:bCs/>
          <w:color w:val="000000" w:themeColor="text1"/>
          <w:kern w:val="0"/>
          <w:sz w:val="44"/>
          <w:szCs w:val="44"/>
          <w14:textFill>
            <w14:solidFill>
              <w14:schemeClr w14:val="tx1"/>
            </w14:solidFill>
          </w14:textFill>
        </w:rPr>
        <w:t> </w:t>
      </w:r>
    </w:p>
    <w:p w14:paraId="5217FD77">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b/>
          <w:bCs/>
          <w:color w:val="000000" w:themeColor="text1"/>
          <w:kern w:val="0"/>
          <w:sz w:val="48"/>
          <w:szCs w:val="48"/>
          <w14:textFill>
            <w14:solidFill>
              <w14:schemeClr w14:val="tx1"/>
            </w14:solidFill>
          </w14:textFill>
        </w:rPr>
        <w:t>投 标 文 件</w:t>
      </w:r>
      <w:bookmarkStart w:id="4" w:name="_Toc223432387"/>
      <w:bookmarkEnd w:id="4"/>
      <w:bookmarkStart w:id="5" w:name="_Toc171073207"/>
      <w:bookmarkEnd w:id="5"/>
      <w:bookmarkStart w:id="6" w:name="_Toc169921407"/>
      <w:bookmarkEnd w:id="6"/>
      <w:bookmarkStart w:id="7" w:name="_Toc171073042"/>
      <w:bookmarkEnd w:id="7"/>
    </w:p>
    <w:p w14:paraId="1B3EC83F">
      <w:pPr>
        <w:widowControl/>
        <w:jc w:val="center"/>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72"/>
          <w:szCs w:val="72"/>
          <w14:textFill>
            <w14:solidFill>
              <w14:schemeClr w14:val="tx1"/>
            </w14:solidFill>
          </w14:textFill>
        </w:rPr>
        <w:t> </w:t>
      </w:r>
    </w:p>
    <w:p w14:paraId="3BBAD922">
      <w:pPr>
        <w:widowControl/>
        <w:jc w:val="center"/>
        <w:rPr>
          <w:rFonts w:ascii="宋体" w:hAnsi="宋体"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51DA43D1">
      <w:pPr>
        <w:widowControl/>
        <w:spacing w:line="480" w:lineRule="auto"/>
        <w:ind w:firstLine="109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77F83D95">
      <w:pPr>
        <w:widowControl/>
        <w:spacing w:line="480" w:lineRule="auto"/>
        <w:ind w:firstLine="1090"/>
        <w:rPr>
          <w:rFonts w:ascii="宋体" w:hAnsi="宋体" w:eastAsia="宋体" w:cs="Times New Roman"/>
          <w:color w:val="000000" w:themeColor="text1"/>
          <w:kern w:val="0"/>
          <w:sz w:val="28"/>
          <w:szCs w:val="28"/>
          <w14:textFill>
            <w14:solidFill>
              <w14:schemeClr w14:val="tx1"/>
            </w14:solidFill>
          </w14:textFill>
        </w:rPr>
      </w:pPr>
    </w:p>
    <w:p w14:paraId="0FD06B6C">
      <w:pPr>
        <w:widowControl/>
        <w:spacing w:line="480" w:lineRule="auto"/>
        <w:ind w:firstLine="1090"/>
        <w:rPr>
          <w:rFonts w:ascii="宋体" w:hAnsi="宋体" w:eastAsia="宋体" w:cs="Times New Roman"/>
          <w:color w:val="000000" w:themeColor="text1"/>
          <w:kern w:val="0"/>
          <w:sz w:val="28"/>
          <w:szCs w:val="28"/>
          <w14:textFill>
            <w14:solidFill>
              <w14:schemeClr w14:val="tx1"/>
            </w14:solidFill>
          </w14:textFill>
        </w:rPr>
      </w:pPr>
    </w:p>
    <w:p w14:paraId="3C151CC8">
      <w:pPr>
        <w:widowControl/>
        <w:spacing w:line="480" w:lineRule="auto"/>
        <w:ind w:firstLine="1090"/>
        <w:rPr>
          <w:rFonts w:ascii="宋体" w:hAnsi="宋体" w:eastAsia="宋体" w:cs="Times New Roman"/>
          <w:color w:val="000000" w:themeColor="text1"/>
          <w:kern w:val="0"/>
          <w:sz w:val="20"/>
          <w:szCs w:val="24"/>
          <w14:textFill>
            <w14:solidFill>
              <w14:schemeClr w14:val="tx1"/>
            </w14:solidFill>
          </w14:textFill>
        </w:rPr>
      </w:pPr>
    </w:p>
    <w:p w14:paraId="7B9260FE">
      <w:pPr>
        <w:widowControl/>
        <w:spacing w:line="480" w:lineRule="auto"/>
        <w:ind w:firstLine="1090"/>
        <w:rPr>
          <w:rFonts w:ascii="宋体" w:hAnsi="宋体" w:eastAsia="宋体" w:cs="Times New Roman"/>
          <w:color w:val="000000" w:themeColor="text1"/>
          <w:kern w:val="0"/>
          <w:sz w:val="20"/>
          <w:szCs w:val="24"/>
          <w14:textFill>
            <w14:solidFill>
              <w14:schemeClr w14:val="tx1"/>
            </w14:solidFill>
          </w14:textFill>
        </w:rPr>
      </w:pPr>
    </w:p>
    <w:p w14:paraId="527F5A6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p>
    <w:p w14:paraId="2C3084B0">
      <w:pPr>
        <w:widowControl/>
        <w:spacing w:line="480" w:lineRule="auto"/>
        <w:ind w:firstLine="980" w:firstLineChars="350"/>
        <w:rPr>
          <w:rFonts w:ascii="宋体" w:hAnsi="宋体" w:eastAsia="宋体" w:cs="Times New Roman"/>
          <w:color w:val="000000" w:themeColor="text1"/>
          <w:kern w:val="0"/>
          <w:sz w:val="28"/>
          <w:szCs w:val="28"/>
          <w14:textFill>
            <w14:solidFill>
              <w14:schemeClr w14:val="tx1"/>
            </w14:solidFill>
          </w14:textFill>
        </w:rPr>
      </w:pPr>
    </w:p>
    <w:p w14:paraId="4978CDC5">
      <w:pPr>
        <w:widowControl/>
        <w:spacing w:line="480" w:lineRule="auto"/>
        <w:ind w:firstLine="980" w:firstLineChars="350"/>
        <w:rPr>
          <w:rFonts w:ascii="宋体" w:hAnsi="宋体" w:eastAsia="宋体" w:cs="Times New Roman"/>
          <w:color w:val="000000" w:themeColor="text1"/>
          <w:kern w:val="0"/>
          <w:sz w:val="28"/>
          <w:szCs w:val="28"/>
          <w14:textFill>
            <w14:solidFill>
              <w14:schemeClr w14:val="tx1"/>
            </w14:solidFill>
          </w14:textFill>
        </w:rPr>
      </w:pPr>
    </w:p>
    <w:p w14:paraId="5CD99557">
      <w:pPr>
        <w:widowControl/>
        <w:spacing w:line="480" w:lineRule="auto"/>
        <w:ind w:firstLine="2100" w:firstLineChars="750"/>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投标供应商：（电子签章）</w:t>
      </w:r>
    </w:p>
    <w:p w14:paraId="1C6C67A7">
      <w:pPr>
        <w:widowControl/>
        <w:spacing w:line="480" w:lineRule="auto"/>
        <w:ind w:firstLine="2100" w:firstLineChars="750"/>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法定代表人：（电子签章）</w:t>
      </w:r>
    </w:p>
    <w:p w14:paraId="0D71BAAD">
      <w:pPr>
        <w:widowControl/>
        <w:ind w:firstLine="2100" w:firstLineChars="750"/>
        <w:rPr>
          <w:rFonts w:ascii="宋体" w:hAnsi="宋体" w:eastAsia="宋体" w:cs="Times New Roman"/>
          <w:color w:val="000000" w:themeColor="text1"/>
          <w:kern w:val="0"/>
          <w:sz w:val="20"/>
          <w:szCs w:val="24"/>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 月 日</w:t>
      </w:r>
      <w:bookmarkStart w:id="8" w:name="_Toc171073208"/>
      <w:bookmarkEnd w:id="8"/>
      <w:bookmarkStart w:id="9" w:name="_Toc223432388"/>
      <w:bookmarkEnd w:id="9"/>
      <w:bookmarkStart w:id="10" w:name="_Toc171073043"/>
      <w:bookmarkEnd w:id="10"/>
    </w:p>
    <w:p w14:paraId="6B84D3D8">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ascii="宋体" w:hAnsi="宋体" w:eastAsia="宋体" w:cs="Times New Roman"/>
          <w:b/>
          <w:bCs/>
          <w:color w:val="000000" w:themeColor="text1"/>
          <w:kern w:val="0"/>
          <w:sz w:val="24"/>
          <w:szCs w:val="24"/>
          <w14:textFill>
            <w14:solidFill>
              <w14:schemeClr w14:val="tx1"/>
            </w14:solidFill>
          </w14:textFill>
        </w:rPr>
        <w:br w:type="page"/>
      </w:r>
    </w:p>
    <w:p w14:paraId="60081B99">
      <w:pPr>
        <w:widowControl/>
        <w:jc w:val="center"/>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一、法定代表人身份证明书</w:t>
      </w:r>
    </w:p>
    <w:p w14:paraId="6EE18BE5">
      <w:pPr>
        <w:pStyle w:val="2"/>
      </w:pPr>
    </w:p>
    <w:p w14:paraId="4B346A5F">
      <w:pPr>
        <w:widowControl/>
        <w:spacing w:line="480" w:lineRule="auto"/>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单位名称：</w:t>
      </w:r>
      <w:r>
        <w:rPr>
          <w:rFonts w:hint="eastAsia" w:ascii="宋体" w:hAnsi="宋体" w:eastAsia="宋体" w:cs="Times New Roman"/>
          <w:color w:val="000000" w:themeColor="text1"/>
          <w:kern w:val="0"/>
          <w:sz w:val="24"/>
          <w:szCs w:val="24"/>
          <w:u w:val="single"/>
          <w14:textFill>
            <w14:solidFill>
              <w14:schemeClr w14:val="tx1"/>
            </w14:solidFill>
          </w14:textFill>
        </w:rPr>
        <w:t>                     </w:t>
      </w:r>
    </w:p>
    <w:p w14:paraId="0079D836">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单位性质：</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7A905DC8">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地 址：</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596AEE8D">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成立时间：</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年</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月</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日</w:t>
      </w:r>
    </w:p>
    <w:p w14:paraId="46194B0A">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经营期限：</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67F5F5AB">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姓 名：</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性别：</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年龄：</w:t>
      </w:r>
      <w:r>
        <w:rPr>
          <w:rFonts w:hint="eastAsia" w:ascii="宋体" w:hAnsi="宋体" w:eastAsia="宋体" w:cs="Times New Roman"/>
          <w:color w:val="000000" w:themeColor="text1"/>
          <w:kern w:val="0"/>
          <w:sz w:val="24"/>
          <w:szCs w:val="24"/>
          <w:u w:val="single"/>
          <w14:textFill>
            <w14:solidFill>
              <w14:schemeClr w14:val="tx1"/>
            </w14:solidFill>
          </w14:textFill>
        </w:rPr>
        <w:t>    </w:t>
      </w:r>
      <w:r>
        <w:rPr>
          <w:rFonts w:hint="eastAsia" w:ascii="宋体" w:hAnsi="宋体" w:eastAsia="宋体" w:cs="Times New Roman"/>
          <w:color w:val="000000" w:themeColor="text1"/>
          <w:kern w:val="0"/>
          <w:sz w:val="24"/>
          <w:szCs w:val="24"/>
          <w14:textFill>
            <w14:solidFill>
              <w14:schemeClr w14:val="tx1"/>
            </w14:solidFill>
          </w14:textFill>
        </w:rPr>
        <w:t>职务：</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p>
    <w:p w14:paraId="39609E3D">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系</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（投标供应商单位名称） </w:t>
      </w:r>
      <w:r>
        <w:rPr>
          <w:rFonts w:hint="eastAsia" w:ascii="宋体" w:hAnsi="宋体" w:eastAsia="宋体" w:cs="Times New Roman"/>
          <w:color w:val="000000" w:themeColor="text1"/>
          <w:kern w:val="0"/>
          <w:sz w:val="24"/>
          <w:szCs w:val="24"/>
          <w14:textFill>
            <w14:solidFill>
              <w14:schemeClr w14:val="tx1"/>
            </w14:solidFill>
          </w14:textFill>
        </w:rPr>
        <w:t>的法定代表人。</w:t>
      </w:r>
    </w:p>
    <w:p w14:paraId="747504FD">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p w14:paraId="1F1B1A73">
      <w:pPr>
        <w:widowControl/>
        <w:spacing w:line="480" w:lineRule="auto"/>
        <w:ind w:firstLine="109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特此证明。</w:t>
      </w:r>
    </w:p>
    <w:p w14:paraId="21B6015F">
      <w:pPr>
        <w:widowControl/>
        <w:spacing w:line="480" w:lineRule="auto"/>
        <w:ind w:firstLine="504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p w14:paraId="5161CFFE">
      <w:pPr>
        <w:widowControl/>
        <w:spacing w:line="480" w:lineRule="auto"/>
        <w:ind w:firstLine="504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p w14:paraId="68B11C4B">
      <w:pPr>
        <w:widowControl/>
        <w:spacing w:line="480" w:lineRule="auto"/>
        <w:ind w:firstLine="504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投标供应商：</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（电子签章）</w:t>
      </w:r>
      <w:r>
        <w:rPr>
          <w:rFonts w:hint="eastAsia" w:ascii="宋体" w:hAnsi="宋体" w:eastAsia="宋体" w:cs="Times New Roman"/>
          <w:color w:val="000000" w:themeColor="text1"/>
          <w:kern w:val="0"/>
          <w:sz w:val="24"/>
          <w:szCs w:val="24"/>
          <w14:textFill>
            <w14:solidFill>
              <w14:schemeClr w14:val="tx1"/>
            </w14:solidFill>
          </w14:textFill>
        </w:rPr>
        <w:t> </w:t>
      </w:r>
    </w:p>
    <w:p w14:paraId="4EE13E1D">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w:t>
      </w:r>
      <w:r>
        <w:rPr>
          <w:rFonts w:ascii="宋体" w:hAnsi="宋体" w:eastAsia="宋体" w:cs="Times New Roman"/>
          <w:color w:val="000000" w:themeColor="text1"/>
          <w:kern w:val="0"/>
          <w:sz w:val="24"/>
          <w:szCs w:val="24"/>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日 期：年 月 日</w:t>
      </w:r>
    </w:p>
    <w:p w14:paraId="75352CDD">
      <w:pPr>
        <w:wordWrap w:val="0"/>
        <w:spacing w:line="480" w:lineRule="auto"/>
        <w:ind w:right="480"/>
        <w:jc w:val="center"/>
        <w:rPr>
          <w:b/>
          <w:bCs/>
          <w:sz w:val="24"/>
        </w:rPr>
      </w:pPr>
      <w:r>
        <w:rPr>
          <w:rFonts w:hint="eastAsia"/>
          <w:b/>
          <w:bCs/>
          <w:sz w:val="24"/>
        </w:rPr>
        <w:t>（后附法定代表人身份证正反面扫描件）</w:t>
      </w:r>
    </w:p>
    <w:p w14:paraId="72D4575F">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p>
    <w:p w14:paraId="70C2FB48">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p>
    <w:p w14:paraId="5DC0822B">
      <w:pPr>
        <w:widowControl/>
        <w:spacing w:line="480" w:lineRule="auto"/>
        <w:jc w:val="center"/>
        <w:rPr>
          <w:rFonts w:ascii="宋体" w:hAnsi="宋体" w:eastAsia="宋体" w:cs="Times New Roman"/>
          <w:color w:val="000000" w:themeColor="text1"/>
          <w:kern w:val="0"/>
          <w:sz w:val="24"/>
          <w:szCs w:val="24"/>
          <w14:textFill>
            <w14:solidFill>
              <w14:schemeClr w14:val="tx1"/>
            </w14:solidFill>
          </w14:textFill>
        </w:rPr>
      </w:pPr>
    </w:p>
    <w:p w14:paraId="3AB1AAE4">
      <w:pPr>
        <w:widowControl/>
        <w:rPr>
          <w:rFonts w:ascii="宋体" w:hAnsi="宋体" w:eastAsia="宋体" w:cs="Times New Roman"/>
          <w:b/>
          <w:bCs/>
          <w:color w:val="000000" w:themeColor="text1"/>
          <w:kern w:val="0"/>
          <w:sz w:val="24"/>
          <w:szCs w:val="24"/>
          <w14:textFill>
            <w14:solidFill>
              <w14:schemeClr w14:val="tx1"/>
            </w14:solidFill>
          </w14:textFill>
        </w:rPr>
      </w:pPr>
      <w:bookmarkStart w:id="11" w:name="_Toc171073210"/>
      <w:bookmarkEnd w:id="11"/>
      <w:bookmarkStart w:id="12" w:name="_Toc171073045"/>
      <w:bookmarkEnd w:id="12"/>
      <w:bookmarkStart w:id="13" w:name="_Toc169921410"/>
      <w:bookmarkEnd w:id="13"/>
      <w:bookmarkStart w:id="14" w:name="_Toc223432390"/>
      <w:bookmarkEnd w:id="14"/>
    </w:p>
    <w:p w14:paraId="4D0A7504">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br w:type="page"/>
      </w:r>
    </w:p>
    <w:p w14:paraId="413B48F8">
      <w:pPr>
        <w:widowControl/>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二、授权委托书</w:t>
      </w:r>
    </w:p>
    <w:p w14:paraId="3F03806F">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本授权委托书声明：我</w:t>
      </w:r>
      <w:r>
        <w:rPr>
          <w:rFonts w:hint="eastAsia" w:ascii="宋体" w:hAnsi="宋体" w:eastAsia="宋体" w:cs="Times New Roman"/>
          <w:color w:val="000000" w:themeColor="text1"/>
          <w:kern w:val="0"/>
          <w:sz w:val="24"/>
          <w:szCs w:val="24"/>
          <w:u w:val="single"/>
          <w14:textFill>
            <w14:solidFill>
              <w14:schemeClr w14:val="tx1"/>
            </w14:solidFill>
          </w14:textFill>
        </w:rPr>
        <w:t>（法定代表人）</w:t>
      </w:r>
      <w:r>
        <w:rPr>
          <w:rFonts w:hint="eastAsia" w:ascii="宋体" w:hAnsi="宋体" w:eastAsia="宋体" w:cs="Times New Roman"/>
          <w:color w:val="000000" w:themeColor="text1"/>
          <w:kern w:val="0"/>
          <w:sz w:val="24"/>
          <w:szCs w:val="24"/>
          <w14:textFill>
            <w14:solidFill>
              <w14:schemeClr w14:val="tx1"/>
            </w14:solidFill>
          </w14:textFill>
        </w:rPr>
        <w:t>（姓名）系</w:t>
      </w:r>
      <w:r>
        <w:rPr>
          <w:rFonts w:hint="eastAsia" w:ascii="宋体" w:hAnsi="宋体" w:eastAsia="宋体" w:cs="Times New Roman"/>
          <w:color w:val="000000" w:themeColor="text1"/>
          <w:kern w:val="0"/>
          <w:sz w:val="24"/>
          <w:szCs w:val="24"/>
          <w:u w:val="single"/>
          <w14:textFill>
            <w14:solidFill>
              <w14:schemeClr w14:val="tx1"/>
            </w14:solidFill>
          </w14:textFill>
        </w:rPr>
        <w:t>（投 标 人 名 称）</w:t>
      </w:r>
      <w:r>
        <w:rPr>
          <w:rFonts w:hint="eastAsia" w:ascii="宋体" w:hAnsi="宋体" w:eastAsia="宋体" w:cs="Times New Roman"/>
          <w:color w:val="000000" w:themeColor="text1"/>
          <w:kern w:val="0"/>
          <w:sz w:val="24"/>
          <w:szCs w:val="24"/>
          <w14:textFill>
            <w14:solidFill>
              <w14:schemeClr w14:val="tx1"/>
            </w14:solidFill>
          </w14:textFill>
        </w:rPr>
        <w:t>的法定代表人，现授权委托</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4"/>
          <w:szCs w:val="24"/>
          <w14:textFill>
            <w14:solidFill>
              <w14:schemeClr w14:val="tx1"/>
            </w14:solidFill>
          </w14:textFill>
        </w:rPr>
        <w:t>的</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（姓名） </w:t>
      </w:r>
      <w:r>
        <w:rPr>
          <w:rFonts w:hint="eastAsia" w:ascii="宋体" w:hAnsi="宋体" w:eastAsia="宋体" w:cs="Times New Roman"/>
          <w:color w:val="000000" w:themeColor="text1"/>
          <w:kern w:val="0"/>
          <w:sz w:val="24"/>
          <w:szCs w:val="24"/>
          <w14:textFill>
            <w14:solidFill>
              <w14:schemeClr w14:val="tx1"/>
            </w14:solidFill>
          </w14:textFill>
        </w:rPr>
        <w:t>为我公司签署本项目的电子投标文件的法定代表人授权委托代理人，我承认代理人全权代表我所签署的项目的电子投标文件的内容。同时授权委托该同志代表我公司参加本项目的投标、开标、合同谈判、处理有关事务等并有权签署有关文件。</w:t>
      </w:r>
    </w:p>
    <w:p w14:paraId="6C0104BC">
      <w:pPr>
        <w:widowControl/>
        <w:spacing w:line="480" w:lineRule="auto"/>
        <w:ind w:firstLine="610"/>
        <w:rPr>
          <w:rFonts w:ascii="宋体" w:hAnsi="宋体" w:eastAsia="宋体" w:cs="Times New Roman"/>
          <w:color w:val="000000" w:themeColor="text1"/>
          <w:kern w:val="0"/>
          <w:sz w:val="24"/>
          <w:szCs w:val="24"/>
          <w14:textFill>
            <w14:solidFill>
              <w14:schemeClr w14:val="tx1"/>
            </w14:solidFill>
          </w14:textFill>
        </w:rPr>
      </w:pPr>
    </w:p>
    <w:p w14:paraId="4E59937C">
      <w:pPr>
        <w:widowControl/>
        <w:spacing w:line="480" w:lineRule="auto"/>
        <w:ind w:firstLine="70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代理人无转委托权，特此委托。</w:t>
      </w:r>
    </w:p>
    <w:p w14:paraId="488C7CF2">
      <w:pPr>
        <w:spacing w:line="360" w:lineRule="auto"/>
        <w:ind w:firstLine="482" w:firstLineChars="200"/>
        <w:jc w:val="left"/>
        <w:rPr>
          <w:b/>
          <w:bCs/>
          <w:sz w:val="24"/>
        </w:rPr>
      </w:pPr>
      <w:r>
        <w:rPr>
          <w:rFonts w:hint="eastAsia"/>
          <w:b/>
          <w:bCs/>
          <w:sz w:val="24"/>
        </w:rPr>
        <w:t>附法定代表人身份证和委托代理人身份证</w:t>
      </w:r>
    </w:p>
    <w:p w14:paraId="780C6BDA">
      <w:pPr>
        <w:widowControl/>
        <w:spacing w:line="480" w:lineRule="auto"/>
        <w:rPr>
          <w:rFonts w:ascii="宋体" w:hAnsi="宋体" w:eastAsia="宋体" w:cs="Times New Roman"/>
          <w:color w:val="000000" w:themeColor="text1"/>
          <w:kern w:val="0"/>
          <w:sz w:val="24"/>
          <w:szCs w:val="24"/>
          <w14:textFill>
            <w14:solidFill>
              <w14:schemeClr w14:val="tx1"/>
            </w14:solidFill>
          </w14:textFill>
        </w:rPr>
      </w:pPr>
    </w:p>
    <w:p w14:paraId="4B4C00E5">
      <w:pPr>
        <w:widowControl/>
        <w:spacing w:line="480" w:lineRule="auto"/>
        <w:rPr>
          <w:rFonts w:ascii="宋体" w:hAnsi="宋体" w:eastAsia="宋体" w:cs="Times New Roman"/>
          <w:color w:val="000000" w:themeColor="text1"/>
          <w:kern w:val="0"/>
          <w:sz w:val="24"/>
          <w:szCs w:val="24"/>
          <w14:textFill>
            <w14:solidFill>
              <w14:schemeClr w14:val="tx1"/>
            </w14:solidFill>
          </w14:textFill>
        </w:rPr>
      </w:pPr>
    </w:p>
    <w:p w14:paraId="05EB3FFB">
      <w:pPr>
        <w:spacing w:line="360" w:lineRule="auto"/>
        <w:jc w:val="center"/>
        <w:rPr>
          <w:sz w:val="24"/>
        </w:rPr>
      </w:pPr>
      <w:bookmarkStart w:id="15" w:name="_Toc169921411"/>
      <w:bookmarkEnd w:id="15"/>
      <w:bookmarkStart w:id="16" w:name="_Toc223432391"/>
      <w:bookmarkEnd w:id="16"/>
      <w:bookmarkStart w:id="17" w:name="_Toc171073046"/>
      <w:bookmarkEnd w:id="17"/>
      <w:bookmarkStart w:id="18" w:name="_Toc171073211"/>
      <w:bookmarkEnd w:id="18"/>
      <w:r>
        <w:rPr>
          <w:rFonts w:hint="eastAsia"/>
          <w:sz w:val="24"/>
        </w:rPr>
        <w:t xml:space="preserve">                                    </w:t>
      </w:r>
      <w:r>
        <w:rPr>
          <w:rFonts w:hint="eastAsia" w:ascii="宋体" w:hAnsi="宋体" w:eastAsia="宋体" w:cs="Times New Roman"/>
          <w:color w:val="000000" w:themeColor="text1"/>
          <w:kern w:val="0"/>
          <w:sz w:val="24"/>
          <w:szCs w:val="24"/>
          <w14:textFill>
            <w14:solidFill>
              <w14:schemeClr w14:val="tx1"/>
            </w14:solidFill>
          </w14:textFill>
        </w:rPr>
        <w:t>投标供应商</w:t>
      </w:r>
      <w:r>
        <w:rPr>
          <w:rFonts w:hint="eastAsia"/>
          <w:sz w:val="24"/>
        </w:rPr>
        <w:t>：</w:t>
      </w:r>
      <w:r>
        <w:rPr>
          <w:rFonts w:hint="eastAsia"/>
          <w:sz w:val="24"/>
          <w:u w:val="single"/>
        </w:rPr>
        <w:t xml:space="preserve">             </w:t>
      </w:r>
      <w:r>
        <w:rPr>
          <w:rFonts w:hint="eastAsia"/>
          <w:sz w:val="24"/>
        </w:rPr>
        <w:t>(</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sz w:val="24"/>
        </w:rPr>
        <w:t>)</w:t>
      </w:r>
    </w:p>
    <w:p w14:paraId="0D7D928B">
      <w:pPr>
        <w:spacing w:line="360" w:lineRule="auto"/>
        <w:ind w:firstLine="4320" w:firstLineChars="1800"/>
        <w:jc w:val="left"/>
        <w:rPr>
          <w:sz w:val="24"/>
        </w:rPr>
      </w:pPr>
      <w:r>
        <w:rPr>
          <w:rFonts w:hint="eastAsia"/>
          <w:sz w:val="24"/>
        </w:rPr>
        <w:t>法定代表人：</w:t>
      </w:r>
      <w:r>
        <w:rPr>
          <w:rFonts w:hint="eastAsia"/>
          <w:sz w:val="24"/>
          <w:u w:val="single"/>
        </w:rPr>
        <w:t xml:space="preserve">            </w:t>
      </w:r>
      <w:r>
        <w:rPr>
          <w:sz w:val="24"/>
        </w:rPr>
        <w:t>（</w:t>
      </w:r>
      <w:r>
        <w:rPr>
          <w:rFonts w:hint="eastAsia" w:ascii="宋体" w:hAnsi="宋体" w:eastAsia="宋体" w:cs="Times New Roman"/>
          <w:color w:val="000000" w:themeColor="text1"/>
          <w:kern w:val="0"/>
          <w:sz w:val="24"/>
          <w:szCs w:val="24"/>
          <w14:textFill>
            <w14:solidFill>
              <w14:schemeClr w14:val="tx1"/>
            </w14:solidFill>
          </w14:textFill>
        </w:rPr>
        <w:t>电子签章</w:t>
      </w:r>
      <w:r>
        <w:rPr>
          <w:sz w:val="24"/>
        </w:rPr>
        <w:t>）</w:t>
      </w:r>
    </w:p>
    <w:p w14:paraId="0D2E9CA2">
      <w:pPr>
        <w:spacing w:line="360" w:lineRule="auto"/>
        <w:ind w:firstLine="4320" w:firstLineChars="1800"/>
        <w:jc w:val="left"/>
        <w:rPr>
          <w:sz w:val="24"/>
          <w:u w:val="single"/>
        </w:rPr>
      </w:pPr>
      <w:r>
        <w:rPr>
          <w:rFonts w:hint="eastAsia"/>
          <w:sz w:val="24"/>
        </w:rPr>
        <w:t>身份证号码：</w:t>
      </w:r>
      <w:r>
        <w:rPr>
          <w:rFonts w:hint="eastAsia"/>
          <w:sz w:val="24"/>
          <w:u w:val="single"/>
        </w:rPr>
        <w:t xml:space="preserve">            </w:t>
      </w:r>
    </w:p>
    <w:p w14:paraId="5464E51C">
      <w:pPr>
        <w:spacing w:line="360" w:lineRule="auto"/>
        <w:ind w:firstLine="4320" w:firstLineChars="1800"/>
        <w:jc w:val="left"/>
        <w:rPr>
          <w:sz w:val="24"/>
          <w:u w:val="single"/>
        </w:rPr>
      </w:pPr>
      <w:r>
        <w:rPr>
          <w:rFonts w:hint="eastAsia"/>
          <w:sz w:val="24"/>
        </w:rPr>
        <w:t>委托代理人：</w:t>
      </w:r>
      <w:r>
        <w:rPr>
          <w:rFonts w:hint="eastAsia"/>
          <w:sz w:val="24"/>
          <w:u w:val="single"/>
        </w:rPr>
        <w:t xml:space="preserve">            </w:t>
      </w:r>
    </w:p>
    <w:p w14:paraId="5290BE06">
      <w:pPr>
        <w:spacing w:line="360" w:lineRule="auto"/>
        <w:ind w:firstLine="4320" w:firstLineChars="1800"/>
        <w:jc w:val="left"/>
        <w:rPr>
          <w:sz w:val="24"/>
          <w:u w:val="single"/>
        </w:rPr>
      </w:pPr>
      <w:r>
        <w:rPr>
          <w:rFonts w:hint="eastAsia"/>
          <w:sz w:val="24"/>
        </w:rPr>
        <w:t>身份证号码：</w:t>
      </w:r>
      <w:r>
        <w:rPr>
          <w:rFonts w:hint="eastAsia"/>
          <w:sz w:val="24"/>
          <w:u w:val="single"/>
        </w:rPr>
        <w:t xml:space="preserve">            </w:t>
      </w:r>
    </w:p>
    <w:p w14:paraId="08FD4DB5">
      <w:pPr>
        <w:spacing w:line="360" w:lineRule="auto"/>
        <w:ind w:firstLine="4320" w:firstLineChars="1800"/>
        <w:jc w:val="left"/>
        <w:rPr>
          <w:sz w:val="24"/>
        </w:rPr>
      </w:pPr>
      <w:r>
        <w:rPr>
          <w:rFonts w:hint="eastAsia"/>
          <w:sz w:val="24"/>
        </w:rPr>
        <w:t>日 期：</w:t>
      </w:r>
      <w:bookmarkStart w:id="19" w:name="_Hlk36649224"/>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bookmarkEnd w:id="19"/>
    </w:p>
    <w:p w14:paraId="5DE2A415">
      <w:pPr>
        <w:spacing w:line="360" w:lineRule="auto"/>
        <w:ind w:firstLine="482" w:firstLineChars="200"/>
        <w:rPr>
          <w:b/>
          <w:bCs/>
          <w:sz w:val="24"/>
          <w:szCs w:val="21"/>
        </w:rPr>
      </w:pPr>
      <w:r>
        <w:rPr>
          <w:rFonts w:hint="eastAsia"/>
          <w:b/>
          <w:bCs/>
          <w:sz w:val="24"/>
          <w:szCs w:val="21"/>
        </w:rPr>
        <w:t>注：因投标文件中授权委托书授权代理人无法手写签字，可以以印刷体代替（印刷体为电脑打出的字体）或者法定代表人电子签章代替。</w:t>
      </w:r>
    </w:p>
    <w:p w14:paraId="2C074B0B">
      <w:pPr>
        <w:widowControl/>
        <w:rPr>
          <w:rFonts w:ascii="宋体" w:hAnsi="宋体" w:eastAsia="宋体" w:cs="Times New Roman"/>
          <w:b/>
          <w:bCs/>
          <w:color w:val="000000" w:themeColor="text1"/>
          <w:kern w:val="0"/>
          <w:sz w:val="24"/>
          <w:szCs w:val="24"/>
          <w14:textFill>
            <w14:solidFill>
              <w14:schemeClr w14:val="tx1"/>
            </w14:solidFill>
          </w14:textFill>
        </w:rPr>
      </w:pPr>
    </w:p>
    <w:p w14:paraId="784B6909">
      <w:pPr>
        <w:widowControl/>
        <w:rPr>
          <w:rFonts w:ascii="宋体" w:hAnsi="宋体" w:eastAsia="宋体" w:cs="Times New Roman"/>
          <w:b/>
          <w:bCs/>
          <w:color w:val="000000" w:themeColor="text1"/>
          <w:kern w:val="0"/>
          <w:sz w:val="24"/>
          <w:szCs w:val="24"/>
          <w14:textFill>
            <w14:solidFill>
              <w14:schemeClr w14:val="tx1"/>
            </w14:solidFill>
          </w14:textFill>
        </w:rPr>
      </w:pPr>
    </w:p>
    <w:p w14:paraId="42644CFD">
      <w:pPr>
        <w:widowControl/>
        <w:rPr>
          <w:rFonts w:ascii="宋体" w:hAnsi="宋体" w:eastAsia="宋体" w:cs="Times New Roman"/>
          <w:b/>
          <w:bCs/>
          <w:color w:val="000000" w:themeColor="text1"/>
          <w:kern w:val="0"/>
          <w:sz w:val="24"/>
          <w:szCs w:val="24"/>
          <w14:textFill>
            <w14:solidFill>
              <w14:schemeClr w14:val="tx1"/>
            </w14:solidFill>
          </w14:textFill>
        </w:rPr>
      </w:pPr>
    </w:p>
    <w:p w14:paraId="3F297FFD">
      <w:pPr>
        <w:widowControl/>
        <w:rPr>
          <w:rFonts w:ascii="宋体" w:hAnsi="宋体" w:eastAsia="宋体" w:cs="Times New Roman"/>
          <w:b/>
          <w:bCs/>
          <w:color w:val="000000" w:themeColor="text1"/>
          <w:kern w:val="0"/>
          <w:sz w:val="24"/>
          <w:szCs w:val="24"/>
          <w14:textFill>
            <w14:solidFill>
              <w14:schemeClr w14:val="tx1"/>
            </w14:solidFill>
          </w14:textFill>
        </w:rPr>
      </w:pPr>
    </w:p>
    <w:p w14:paraId="017189EA">
      <w:pPr>
        <w:widowControl/>
        <w:rPr>
          <w:rFonts w:ascii="宋体" w:hAnsi="宋体" w:eastAsia="宋体" w:cs="Times New Roman"/>
          <w:b/>
          <w:bCs/>
          <w:color w:val="000000" w:themeColor="text1"/>
          <w:kern w:val="0"/>
          <w:sz w:val="24"/>
          <w:szCs w:val="24"/>
          <w14:textFill>
            <w14:solidFill>
              <w14:schemeClr w14:val="tx1"/>
            </w14:solidFill>
          </w14:textFill>
        </w:rPr>
      </w:pPr>
    </w:p>
    <w:p w14:paraId="6B4F3ECE">
      <w:pPr>
        <w:widowControl/>
        <w:rPr>
          <w:rFonts w:ascii="宋体" w:hAnsi="宋体" w:eastAsia="宋体" w:cs="Times New Roman"/>
          <w:b/>
          <w:bCs/>
          <w:color w:val="000000" w:themeColor="text1"/>
          <w:kern w:val="0"/>
          <w:sz w:val="24"/>
          <w:szCs w:val="24"/>
          <w14:textFill>
            <w14:solidFill>
              <w14:schemeClr w14:val="tx1"/>
            </w14:solidFill>
          </w14:textFill>
        </w:rPr>
      </w:pPr>
    </w:p>
    <w:p w14:paraId="528E62B7">
      <w:pPr>
        <w:widowControl/>
        <w:rPr>
          <w:rFonts w:ascii="宋体" w:hAnsi="宋体" w:eastAsia="宋体" w:cs="Times New Roman"/>
          <w:b/>
          <w:bCs/>
          <w:color w:val="000000" w:themeColor="text1"/>
          <w:kern w:val="0"/>
          <w:sz w:val="24"/>
          <w:szCs w:val="24"/>
          <w14:textFill>
            <w14:solidFill>
              <w14:schemeClr w14:val="tx1"/>
            </w14:solidFill>
          </w14:textFill>
        </w:rPr>
      </w:pPr>
    </w:p>
    <w:p w14:paraId="34555FF7">
      <w:pPr>
        <w:widowControl/>
        <w:rPr>
          <w:rFonts w:ascii="宋体" w:hAnsi="宋体" w:eastAsia="宋体" w:cs="Times New Roman"/>
          <w:b/>
          <w:bCs/>
          <w:color w:val="000000" w:themeColor="text1"/>
          <w:kern w:val="0"/>
          <w:sz w:val="24"/>
          <w:szCs w:val="24"/>
          <w14:textFill>
            <w14:solidFill>
              <w14:schemeClr w14:val="tx1"/>
            </w14:solidFill>
          </w14:textFill>
        </w:rPr>
      </w:pPr>
    </w:p>
    <w:p w14:paraId="7C2BECF2">
      <w:pPr>
        <w:widowControl/>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24"/>
          <w:szCs w:val="24"/>
          <w14:textFill>
            <w14:solidFill>
              <w14:schemeClr w14:val="tx1"/>
            </w14:solidFill>
          </w14:textFill>
        </w:rPr>
        <w:br w:type="page"/>
      </w:r>
    </w:p>
    <w:p w14:paraId="1A3E72C9">
      <w:pPr>
        <w:widowControl/>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三、投 标 函</w:t>
      </w:r>
    </w:p>
    <w:p w14:paraId="524AF759">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致：</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（采购人）</w:t>
      </w:r>
    </w:p>
    <w:p w14:paraId="3849D0A6">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根据已收到贵方的 </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（项目名称、包号）</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（项目编号）的招标文件，遵照《中华人民共和国政府采购法》等有关规定，我单位经研究上述招标文件的投标须知、合同条款、服务要求及其它有关文件后，我方愿以大写：</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（小写：</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 xml:space="preserve"> ）；供货期：</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,质量要求：</w:t>
      </w:r>
      <w:r>
        <w:rPr>
          <w:rFonts w:hint="eastAsia" w:ascii="宋体" w:hAnsi="宋体" w:eastAsia="宋体" w:cs="Times New Roman"/>
          <w:color w:val="000000" w:themeColor="text1"/>
          <w:kern w:val="0"/>
          <w:sz w:val="24"/>
          <w:szCs w:val="24"/>
          <w:u w:val="single"/>
          <w14:textFill>
            <w14:solidFill>
              <w14:schemeClr w14:val="tx1"/>
            </w14:solidFill>
          </w14:textFill>
        </w:rPr>
        <w:t xml:space="preserve">            </w:t>
      </w:r>
      <w:r>
        <w:rPr>
          <w:rFonts w:hint="eastAsia" w:ascii="宋体" w:hAnsi="宋体" w:eastAsia="宋体" w:cs="Times New Roman"/>
          <w:color w:val="000000" w:themeColor="text1"/>
          <w:kern w:val="0"/>
          <w:sz w:val="24"/>
          <w:szCs w:val="24"/>
          <w14:textFill>
            <w14:solidFill>
              <w14:schemeClr w14:val="tx1"/>
            </w14:solidFill>
          </w14:textFill>
        </w:rPr>
        <w:t xml:space="preserve"> , 并按招标文件的要求为该项目提供相应的服务。</w:t>
      </w:r>
    </w:p>
    <w:p w14:paraId="5C984C4F">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我方已详细审核全部招标文件，包括修改文件（如有）及有关附件，已充分理解并掌握了本招标项目的全部有关情况，认为招标文件符合法律、法规的要求，充分体现了公开、公平、公正和诚实信用原则，我方对招标文件没有任何异议，同意接受招标文件的全部内容和条件，并承诺在项目评标结束后不会对招标文件提出任何异议。</w:t>
      </w:r>
    </w:p>
    <w:p w14:paraId="5782E249">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2.我方承认投标函附表是我方投标函的组成部分。</w:t>
      </w:r>
    </w:p>
    <w:p w14:paraId="27332F31">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3.如我方中标，我方承诺在收到中标通知书后，在中标通知书规定的期限内，根据招标文件、我方的响应文件及有关澄清承诺书的要求，与采购人订立书面合同，并按照合同约定承担完成合同的责任和义务。</w:t>
      </w:r>
    </w:p>
    <w:p w14:paraId="7F756919">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4.我方同意自本项目招标文件中规定的响应文件有效期内有效，并承诺在响应文件有效期内不修改、撤销响应文件。</w:t>
      </w:r>
    </w:p>
    <w:p w14:paraId="7F21FF01">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5.我方完全理解贵方不一定接受投标报价最低的供应商为中标供应商的行为。</w:t>
      </w:r>
    </w:p>
    <w:p w14:paraId="362527A5">
      <w:pPr>
        <w:widowControl/>
        <w:spacing w:line="360" w:lineRule="auto"/>
        <w:ind w:firstLine="61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6.我方在此声明，所递交的投标文件及有关资料内容完整、真实和准确。</w:t>
      </w:r>
    </w:p>
    <w:p w14:paraId="34516C4C">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p>
    <w:p w14:paraId="7342A7EB">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r>
        <w:rPr>
          <w:rFonts w:hint="eastAsia" w:ascii="宋体" w:hAnsi="宋体" w:eastAsia="宋体" w:cs="Times New Roman"/>
          <w:color w:val="000000" w:themeColor="text1"/>
          <w:spacing w:val="46"/>
          <w:kern w:val="0"/>
          <w:sz w:val="24"/>
          <w:szCs w:val="24"/>
          <w14:textFill>
            <w14:solidFill>
              <w14:schemeClr w14:val="tx1"/>
            </w14:solidFill>
          </w14:textFill>
        </w:rPr>
        <w:t>投标供应商：（</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themeColor="text1"/>
          <w:spacing w:val="46"/>
          <w:kern w:val="0"/>
          <w:sz w:val="24"/>
          <w:szCs w:val="24"/>
          <w14:textFill>
            <w14:solidFill>
              <w14:schemeClr w14:val="tx1"/>
            </w14:solidFill>
          </w14:textFill>
        </w:rPr>
        <w:t xml:space="preserve">）      </w:t>
      </w:r>
    </w:p>
    <w:p w14:paraId="572E7741">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r>
        <w:rPr>
          <w:rFonts w:hint="eastAsia" w:ascii="宋体" w:hAnsi="宋体" w:eastAsia="宋体" w:cs="Times New Roman"/>
          <w:color w:val="000000" w:themeColor="text1"/>
          <w:spacing w:val="46"/>
          <w:kern w:val="0"/>
          <w:sz w:val="24"/>
          <w:szCs w:val="24"/>
          <w14:textFill>
            <w14:solidFill>
              <w14:schemeClr w14:val="tx1"/>
            </w14:solidFill>
          </w14:textFill>
        </w:rPr>
        <w:t>法定代表人：（</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themeColor="text1"/>
          <w:spacing w:val="46"/>
          <w:kern w:val="0"/>
          <w:sz w:val="24"/>
          <w:szCs w:val="24"/>
          <w14:textFill>
            <w14:solidFill>
              <w14:schemeClr w14:val="tx1"/>
            </w14:solidFill>
          </w14:textFill>
        </w:rPr>
        <w:t>）</w:t>
      </w:r>
    </w:p>
    <w:p w14:paraId="4216B6D6">
      <w:pPr>
        <w:widowControl/>
        <w:spacing w:line="480" w:lineRule="auto"/>
        <w:jc w:val="left"/>
        <w:rPr>
          <w:rFonts w:ascii="宋体" w:hAnsi="宋体" w:eastAsia="宋体" w:cs="Times New Roman"/>
          <w:color w:val="000000" w:themeColor="text1"/>
          <w:spacing w:val="46"/>
          <w:kern w:val="0"/>
          <w:sz w:val="24"/>
          <w:szCs w:val="24"/>
          <w14:textFill>
            <w14:solidFill>
              <w14:schemeClr w14:val="tx1"/>
            </w14:solidFill>
          </w14:textFill>
        </w:rPr>
      </w:pPr>
      <w:r>
        <w:rPr>
          <w:rFonts w:hint="eastAsia" w:ascii="宋体" w:hAnsi="宋体" w:eastAsia="宋体" w:cs="Times New Roman"/>
          <w:color w:val="000000" w:themeColor="text1"/>
          <w:spacing w:val="46"/>
          <w:kern w:val="0"/>
          <w:sz w:val="24"/>
          <w:szCs w:val="24"/>
          <w14:textFill>
            <w14:solidFill>
              <w14:schemeClr w14:val="tx1"/>
            </w14:solidFill>
          </w14:textFill>
        </w:rPr>
        <w:t>联系电话：</w:t>
      </w:r>
    </w:p>
    <w:p w14:paraId="334D76BC">
      <w:pPr>
        <w:wordWrap w:val="0"/>
        <w:spacing w:line="480" w:lineRule="auto"/>
        <w:outlineLvl w:val="1"/>
        <w:rPr>
          <w:rFonts w:ascii="宋体" w:hAnsi="宋体" w:eastAsia="宋体" w:cs="Times New Roman"/>
          <w:color w:val="000000" w:themeColor="text1"/>
          <w:spacing w:val="46"/>
          <w:kern w:val="0"/>
          <w:sz w:val="24"/>
          <w:szCs w:val="24"/>
          <w14:textFill>
            <w14:solidFill>
              <w14:schemeClr w14:val="tx1"/>
            </w14:solidFill>
          </w14:textFill>
        </w:rPr>
      </w:pPr>
      <w:bookmarkStart w:id="20" w:name="_Toc174435894"/>
      <w:r>
        <w:rPr>
          <w:rFonts w:hint="eastAsia" w:ascii="宋体" w:hAnsi="宋体" w:eastAsia="宋体" w:cs="Times New Roman"/>
          <w:color w:val="000000" w:themeColor="text1"/>
          <w:spacing w:val="46"/>
          <w:kern w:val="0"/>
          <w:sz w:val="24"/>
          <w:szCs w:val="24"/>
          <w14:textFill>
            <w14:solidFill>
              <w14:schemeClr w14:val="tx1"/>
            </w14:solidFill>
          </w14:textFill>
        </w:rPr>
        <w:t>日 期： 年 月 日</w:t>
      </w:r>
    </w:p>
    <w:p w14:paraId="601FD9C1">
      <w:pPr>
        <w:wordWrap w:val="0"/>
        <w:spacing w:line="480" w:lineRule="auto"/>
        <w:outlineLvl w:val="1"/>
        <w:rPr>
          <w:rFonts w:ascii="宋体" w:hAnsi="宋体" w:eastAsia="宋体" w:cs="Times New Roman"/>
          <w:color w:val="000000" w:themeColor="text1"/>
          <w:spacing w:val="46"/>
          <w:kern w:val="0"/>
          <w:sz w:val="24"/>
          <w:szCs w:val="24"/>
          <w14:textFill>
            <w14:solidFill>
              <w14:schemeClr w14:val="tx1"/>
            </w14:solidFill>
          </w14:textFill>
        </w:rPr>
      </w:pPr>
    </w:p>
    <w:bookmarkEnd w:id="20"/>
    <w:p w14:paraId="51BFDD1A">
      <w:pPr>
        <w:widowControl/>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四、投标函附表</w:t>
      </w:r>
    </w:p>
    <w:p w14:paraId="1894CCA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投标供应商名称：</w:t>
      </w:r>
    </w:p>
    <w:p w14:paraId="2AEBAA3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项目编号：                                    货币单位：元</w:t>
      </w:r>
    </w:p>
    <w:tbl>
      <w:tblPr>
        <w:tblStyle w:val="89"/>
        <w:tblW w:w="8424" w:type="dxa"/>
        <w:tblInd w:w="0" w:type="dxa"/>
        <w:tblLayout w:type="fixed"/>
        <w:tblCellMar>
          <w:top w:w="0" w:type="dxa"/>
          <w:left w:w="108" w:type="dxa"/>
          <w:bottom w:w="0" w:type="dxa"/>
          <w:right w:w="108" w:type="dxa"/>
        </w:tblCellMar>
      </w:tblPr>
      <w:tblGrid>
        <w:gridCol w:w="609"/>
        <w:gridCol w:w="1200"/>
        <w:gridCol w:w="1750"/>
        <w:gridCol w:w="1100"/>
        <w:gridCol w:w="1129"/>
        <w:gridCol w:w="1050"/>
        <w:gridCol w:w="945"/>
        <w:gridCol w:w="641"/>
      </w:tblGrid>
      <w:tr w14:paraId="6F8B3EBB">
        <w:tblPrEx>
          <w:tblCellMar>
            <w:top w:w="0" w:type="dxa"/>
            <w:left w:w="108" w:type="dxa"/>
            <w:bottom w:w="0" w:type="dxa"/>
            <w:right w:w="108" w:type="dxa"/>
          </w:tblCellMar>
        </w:tblPrEx>
        <w:trPr>
          <w:trHeight w:val="899" w:hRule="atLeast"/>
        </w:trPr>
        <w:tc>
          <w:tcPr>
            <w:tcW w:w="609" w:type="dxa"/>
            <w:tcBorders>
              <w:top w:val="single" w:color="auto" w:sz="4" w:space="0"/>
              <w:left w:val="single" w:color="auto" w:sz="4" w:space="0"/>
              <w:bottom w:val="single" w:color="auto" w:sz="4" w:space="0"/>
              <w:right w:val="single" w:color="auto" w:sz="4" w:space="0"/>
            </w:tcBorders>
            <w:vAlign w:val="center"/>
          </w:tcPr>
          <w:p w14:paraId="09050AFB">
            <w:pPr>
              <w:widowControl/>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序号</w:t>
            </w:r>
          </w:p>
        </w:tc>
        <w:tc>
          <w:tcPr>
            <w:tcW w:w="1200" w:type="dxa"/>
            <w:tcBorders>
              <w:top w:val="single" w:color="auto" w:sz="4" w:space="0"/>
              <w:left w:val="nil"/>
              <w:bottom w:val="single" w:color="auto" w:sz="4" w:space="0"/>
              <w:right w:val="single" w:color="auto" w:sz="4" w:space="0"/>
            </w:tcBorders>
            <w:vAlign w:val="center"/>
          </w:tcPr>
          <w:p w14:paraId="1E4ABBC9">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货物名称</w:t>
            </w:r>
          </w:p>
        </w:tc>
        <w:tc>
          <w:tcPr>
            <w:tcW w:w="1750" w:type="dxa"/>
            <w:tcBorders>
              <w:top w:val="single" w:color="auto" w:sz="4" w:space="0"/>
              <w:left w:val="nil"/>
              <w:bottom w:val="single" w:color="auto" w:sz="4" w:space="0"/>
              <w:right w:val="single" w:color="auto" w:sz="4" w:space="0"/>
            </w:tcBorders>
            <w:vAlign w:val="center"/>
          </w:tcPr>
          <w:p w14:paraId="49553069">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cs="宋体"/>
                <w:kern w:val="0"/>
                <w:sz w:val="24"/>
                <w:szCs w:val="24"/>
              </w:rPr>
              <w:t>参数或者功能</w:t>
            </w:r>
          </w:p>
        </w:tc>
        <w:tc>
          <w:tcPr>
            <w:tcW w:w="1100" w:type="dxa"/>
            <w:tcBorders>
              <w:top w:val="single" w:color="auto" w:sz="4" w:space="0"/>
              <w:left w:val="nil"/>
              <w:bottom w:val="single" w:color="auto" w:sz="4" w:space="0"/>
              <w:right w:val="single" w:color="auto" w:sz="4" w:space="0"/>
            </w:tcBorders>
            <w:vAlign w:val="center"/>
          </w:tcPr>
          <w:p w14:paraId="019E3EFD">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数量</w:t>
            </w:r>
          </w:p>
        </w:tc>
        <w:tc>
          <w:tcPr>
            <w:tcW w:w="1129" w:type="dxa"/>
            <w:tcBorders>
              <w:top w:val="single" w:color="auto" w:sz="4" w:space="0"/>
              <w:left w:val="nil"/>
              <w:bottom w:val="single" w:color="auto" w:sz="4" w:space="0"/>
              <w:right w:val="single" w:color="auto" w:sz="4" w:space="0"/>
            </w:tcBorders>
            <w:vAlign w:val="center"/>
          </w:tcPr>
          <w:p w14:paraId="3FFA6404">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单位</w:t>
            </w:r>
          </w:p>
        </w:tc>
        <w:tc>
          <w:tcPr>
            <w:tcW w:w="1050" w:type="dxa"/>
            <w:tcBorders>
              <w:top w:val="single" w:color="auto" w:sz="4" w:space="0"/>
              <w:left w:val="nil"/>
              <w:bottom w:val="single" w:color="auto" w:sz="4" w:space="0"/>
              <w:right w:val="single" w:color="auto" w:sz="4" w:space="0"/>
            </w:tcBorders>
            <w:vAlign w:val="center"/>
          </w:tcPr>
          <w:p w14:paraId="3B7F06ED">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单价</w:t>
            </w:r>
          </w:p>
        </w:tc>
        <w:tc>
          <w:tcPr>
            <w:tcW w:w="945" w:type="dxa"/>
            <w:tcBorders>
              <w:top w:val="single" w:color="auto" w:sz="4" w:space="0"/>
              <w:left w:val="nil"/>
              <w:bottom w:val="single" w:color="auto" w:sz="4" w:space="0"/>
              <w:right w:val="single" w:color="auto" w:sz="4" w:space="0"/>
            </w:tcBorders>
            <w:vAlign w:val="center"/>
          </w:tcPr>
          <w:p w14:paraId="3E7EFF55">
            <w:pPr>
              <w:widowControl/>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小计</w:t>
            </w:r>
          </w:p>
        </w:tc>
        <w:tc>
          <w:tcPr>
            <w:tcW w:w="641" w:type="dxa"/>
            <w:tcBorders>
              <w:top w:val="single" w:color="auto" w:sz="4" w:space="0"/>
              <w:left w:val="nil"/>
              <w:bottom w:val="single" w:color="auto" w:sz="4" w:space="0"/>
              <w:right w:val="single" w:color="auto" w:sz="4" w:space="0"/>
            </w:tcBorders>
            <w:vAlign w:val="center"/>
          </w:tcPr>
          <w:p w14:paraId="4602151B">
            <w:pPr>
              <w:widowControl/>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备注</w:t>
            </w:r>
          </w:p>
        </w:tc>
      </w:tr>
      <w:tr w14:paraId="229F50D3">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392F60F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200" w:type="dxa"/>
            <w:tcBorders>
              <w:top w:val="single" w:color="auto" w:sz="4" w:space="0"/>
              <w:left w:val="nil"/>
              <w:bottom w:val="single" w:color="auto" w:sz="4" w:space="0"/>
              <w:right w:val="single" w:color="auto" w:sz="4" w:space="0"/>
            </w:tcBorders>
          </w:tcPr>
          <w:p w14:paraId="36B7EDF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750" w:type="dxa"/>
            <w:tcBorders>
              <w:top w:val="single" w:color="auto" w:sz="4" w:space="0"/>
              <w:left w:val="nil"/>
              <w:bottom w:val="single" w:color="auto" w:sz="4" w:space="0"/>
              <w:right w:val="single" w:color="auto" w:sz="4" w:space="0"/>
            </w:tcBorders>
          </w:tcPr>
          <w:p w14:paraId="788DED8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00" w:type="dxa"/>
            <w:tcBorders>
              <w:top w:val="single" w:color="auto" w:sz="4" w:space="0"/>
              <w:left w:val="nil"/>
              <w:bottom w:val="single" w:color="auto" w:sz="4" w:space="0"/>
              <w:right w:val="single" w:color="auto" w:sz="4" w:space="0"/>
            </w:tcBorders>
          </w:tcPr>
          <w:p w14:paraId="765DCFE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29" w:type="dxa"/>
            <w:tcBorders>
              <w:top w:val="single" w:color="auto" w:sz="4" w:space="0"/>
              <w:left w:val="nil"/>
              <w:bottom w:val="single" w:color="auto" w:sz="4" w:space="0"/>
              <w:right w:val="single" w:color="auto" w:sz="4" w:space="0"/>
            </w:tcBorders>
          </w:tcPr>
          <w:p w14:paraId="2EAD3EA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050" w:type="dxa"/>
            <w:tcBorders>
              <w:top w:val="single" w:color="auto" w:sz="4" w:space="0"/>
              <w:left w:val="nil"/>
              <w:bottom w:val="single" w:color="auto" w:sz="4" w:space="0"/>
              <w:right w:val="single" w:color="auto" w:sz="4" w:space="0"/>
            </w:tcBorders>
          </w:tcPr>
          <w:p w14:paraId="4FAFD30E">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945" w:type="dxa"/>
            <w:tcBorders>
              <w:top w:val="single" w:color="auto" w:sz="4" w:space="0"/>
              <w:left w:val="nil"/>
              <w:bottom w:val="single" w:color="auto" w:sz="4" w:space="0"/>
              <w:right w:val="single" w:color="auto" w:sz="4" w:space="0"/>
            </w:tcBorders>
          </w:tcPr>
          <w:p w14:paraId="36DA00DF">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153793C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3456648F">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3C69530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200" w:type="dxa"/>
            <w:tcBorders>
              <w:top w:val="single" w:color="auto" w:sz="4" w:space="0"/>
              <w:left w:val="nil"/>
              <w:bottom w:val="single" w:color="auto" w:sz="4" w:space="0"/>
              <w:right w:val="single" w:color="auto" w:sz="4" w:space="0"/>
            </w:tcBorders>
          </w:tcPr>
          <w:p w14:paraId="6D3C818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750" w:type="dxa"/>
            <w:tcBorders>
              <w:top w:val="single" w:color="auto" w:sz="4" w:space="0"/>
              <w:left w:val="nil"/>
              <w:bottom w:val="single" w:color="auto" w:sz="4" w:space="0"/>
              <w:right w:val="single" w:color="auto" w:sz="4" w:space="0"/>
            </w:tcBorders>
          </w:tcPr>
          <w:p w14:paraId="08D32C0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00" w:type="dxa"/>
            <w:tcBorders>
              <w:top w:val="single" w:color="auto" w:sz="4" w:space="0"/>
              <w:left w:val="nil"/>
              <w:bottom w:val="single" w:color="auto" w:sz="4" w:space="0"/>
              <w:right w:val="single" w:color="auto" w:sz="4" w:space="0"/>
            </w:tcBorders>
          </w:tcPr>
          <w:p w14:paraId="39A91E1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129" w:type="dxa"/>
            <w:tcBorders>
              <w:top w:val="single" w:color="auto" w:sz="4" w:space="0"/>
              <w:left w:val="nil"/>
              <w:bottom w:val="single" w:color="auto" w:sz="4" w:space="0"/>
              <w:right w:val="single" w:color="auto" w:sz="4" w:space="0"/>
            </w:tcBorders>
          </w:tcPr>
          <w:p w14:paraId="2448393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1050" w:type="dxa"/>
            <w:tcBorders>
              <w:top w:val="single" w:color="auto" w:sz="4" w:space="0"/>
              <w:left w:val="nil"/>
              <w:bottom w:val="single" w:color="auto" w:sz="4" w:space="0"/>
              <w:right w:val="single" w:color="auto" w:sz="4" w:space="0"/>
            </w:tcBorders>
          </w:tcPr>
          <w:p w14:paraId="12FCB1C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w:t>
            </w:r>
          </w:p>
        </w:tc>
        <w:tc>
          <w:tcPr>
            <w:tcW w:w="945" w:type="dxa"/>
            <w:tcBorders>
              <w:top w:val="single" w:color="auto" w:sz="4" w:space="0"/>
              <w:left w:val="nil"/>
              <w:bottom w:val="single" w:color="auto" w:sz="4" w:space="0"/>
              <w:right w:val="single" w:color="auto" w:sz="4" w:space="0"/>
            </w:tcBorders>
          </w:tcPr>
          <w:p w14:paraId="284DD7C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3BF34BA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3CAA777B">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690F906F">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5BF31E8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4BDB3F8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11EDE69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683BE73F">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7446247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2C09DFEE">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3B01222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00E36676">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72A2E1F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6DC39F6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517C40B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7E7E12E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0945EDF8">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263A0F2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1AD1684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4ABE53BE">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3208B28B">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5EB6426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4968D702">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3FE1FF5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4F1DD39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1CA8F94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0CFD01A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3059F60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0C74653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7D18D2E5">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3E4BA761">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448A30B9">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5183D5C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1FD3CF6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4C5D0E3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41BE5A14">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71672DBA">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5AAE4BA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72288C12">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3CEF555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21B7C3C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79A6E7E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449CE5B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25470CC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1B5C0F3C">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00369B87">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11273D6D">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1CE51C5A">
        <w:tblPrEx>
          <w:tblCellMar>
            <w:top w:w="0" w:type="dxa"/>
            <w:left w:w="108" w:type="dxa"/>
            <w:bottom w:w="0" w:type="dxa"/>
            <w:right w:w="108" w:type="dxa"/>
          </w:tblCellMar>
        </w:tblPrEx>
        <w:trPr>
          <w:trHeight w:val="475" w:hRule="atLeast"/>
        </w:trPr>
        <w:tc>
          <w:tcPr>
            <w:tcW w:w="609" w:type="dxa"/>
            <w:tcBorders>
              <w:top w:val="single" w:color="auto" w:sz="4" w:space="0"/>
              <w:left w:val="single" w:color="auto" w:sz="4" w:space="0"/>
              <w:bottom w:val="single" w:color="auto" w:sz="4" w:space="0"/>
              <w:right w:val="single" w:color="auto" w:sz="4" w:space="0"/>
            </w:tcBorders>
          </w:tcPr>
          <w:p w14:paraId="3560472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200" w:type="dxa"/>
            <w:tcBorders>
              <w:top w:val="single" w:color="auto" w:sz="4" w:space="0"/>
              <w:left w:val="nil"/>
              <w:bottom w:val="single" w:color="auto" w:sz="4" w:space="0"/>
              <w:right w:val="single" w:color="auto" w:sz="4" w:space="0"/>
            </w:tcBorders>
          </w:tcPr>
          <w:p w14:paraId="1F38353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750" w:type="dxa"/>
            <w:tcBorders>
              <w:top w:val="single" w:color="auto" w:sz="4" w:space="0"/>
              <w:left w:val="nil"/>
              <w:bottom w:val="single" w:color="auto" w:sz="4" w:space="0"/>
              <w:right w:val="single" w:color="auto" w:sz="4" w:space="0"/>
            </w:tcBorders>
          </w:tcPr>
          <w:p w14:paraId="33DBC33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00" w:type="dxa"/>
            <w:tcBorders>
              <w:top w:val="single" w:color="auto" w:sz="4" w:space="0"/>
              <w:left w:val="nil"/>
              <w:bottom w:val="single" w:color="auto" w:sz="4" w:space="0"/>
              <w:right w:val="single" w:color="auto" w:sz="4" w:space="0"/>
            </w:tcBorders>
          </w:tcPr>
          <w:p w14:paraId="4F53FA25">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129" w:type="dxa"/>
            <w:tcBorders>
              <w:top w:val="single" w:color="auto" w:sz="4" w:space="0"/>
              <w:left w:val="nil"/>
              <w:bottom w:val="single" w:color="auto" w:sz="4" w:space="0"/>
              <w:right w:val="single" w:color="auto" w:sz="4" w:space="0"/>
            </w:tcBorders>
          </w:tcPr>
          <w:p w14:paraId="18B17D2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1050" w:type="dxa"/>
            <w:tcBorders>
              <w:top w:val="single" w:color="auto" w:sz="4" w:space="0"/>
              <w:left w:val="nil"/>
              <w:bottom w:val="single" w:color="auto" w:sz="4" w:space="0"/>
              <w:right w:val="single" w:color="auto" w:sz="4" w:space="0"/>
            </w:tcBorders>
          </w:tcPr>
          <w:p w14:paraId="59EEBDFB">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945" w:type="dxa"/>
            <w:tcBorders>
              <w:top w:val="single" w:color="auto" w:sz="4" w:space="0"/>
              <w:left w:val="nil"/>
              <w:bottom w:val="single" w:color="auto" w:sz="4" w:space="0"/>
              <w:right w:val="single" w:color="auto" w:sz="4" w:space="0"/>
            </w:tcBorders>
          </w:tcPr>
          <w:p w14:paraId="6F998BF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c>
          <w:tcPr>
            <w:tcW w:w="641" w:type="dxa"/>
            <w:tcBorders>
              <w:top w:val="single" w:color="auto" w:sz="4" w:space="0"/>
              <w:left w:val="nil"/>
              <w:bottom w:val="single" w:color="auto" w:sz="4" w:space="0"/>
              <w:right w:val="single" w:color="auto" w:sz="4" w:space="0"/>
            </w:tcBorders>
          </w:tcPr>
          <w:p w14:paraId="72AC4094">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tc>
      </w:tr>
      <w:tr w14:paraId="49BB131E">
        <w:tblPrEx>
          <w:tblCellMar>
            <w:top w:w="0" w:type="dxa"/>
            <w:left w:w="108" w:type="dxa"/>
            <w:bottom w:w="0" w:type="dxa"/>
            <w:right w:w="108" w:type="dxa"/>
          </w:tblCellMar>
        </w:tblPrEx>
        <w:trPr>
          <w:trHeight w:val="539" w:hRule="atLeast"/>
        </w:trPr>
        <w:tc>
          <w:tcPr>
            <w:tcW w:w="8424" w:type="dxa"/>
            <w:gridSpan w:val="8"/>
            <w:tcBorders>
              <w:top w:val="single" w:color="auto" w:sz="4" w:space="0"/>
              <w:left w:val="single" w:color="auto" w:sz="4" w:space="0"/>
              <w:bottom w:val="single" w:color="auto" w:sz="4" w:space="0"/>
              <w:right w:val="single" w:color="auto" w:sz="4" w:space="0"/>
            </w:tcBorders>
          </w:tcPr>
          <w:p w14:paraId="52D4C23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投标总价(大写)：       ￥</w:t>
            </w:r>
          </w:p>
        </w:tc>
      </w:tr>
    </w:tbl>
    <w:p w14:paraId="289067EF">
      <w:pPr>
        <w:widowControl/>
        <w:spacing w:line="520" w:lineRule="atLeast"/>
        <w:ind w:firstLine="48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注: 投标费用包括项目实施所需的人工费、服务费、运输费、设备价、检验费、包装费、装卸费、税金（含关税、增值税）等各项费用其他一切费用。</w:t>
      </w:r>
    </w:p>
    <w:p w14:paraId="14CC7456">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p>
    <w:p w14:paraId="0E704F00">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法定代表人（电子签章）： </w:t>
      </w:r>
    </w:p>
    <w:p w14:paraId="5094ED23">
      <w:pPr>
        <w:widowControl/>
        <w:spacing w:line="520" w:lineRule="atLeas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投标供应商：（电子签章）   </w:t>
      </w:r>
    </w:p>
    <w:p w14:paraId="5AFE06E1">
      <w:pPr>
        <w:widowControl/>
        <w:spacing w:line="520" w:lineRule="atLeast"/>
        <w:ind w:firstLine="120" w:firstLineChars="50"/>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年  月  日</w:t>
      </w:r>
    </w:p>
    <w:p w14:paraId="71E6EA59">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ascii="宋体" w:hAnsi="宋体" w:eastAsia="宋体" w:cs="Times New Roman"/>
          <w:b/>
          <w:bCs/>
          <w:color w:val="000000" w:themeColor="text1"/>
          <w:kern w:val="0"/>
          <w:sz w:val="24"/>
          <w:szCs w:val="24"/>
          <w14:textFill>
            <w14:solidFill>
              <w14:schemeClr w14:val="tx1"/>
            </w14:solidFill>
          </w14:textFill>
        </w:rPr>
        <w:br w:type="page"/>
      </w:r>
    </w:p>
    <w:p w14:paraId="75AE7E9C">
      <w:pPr>
        <w:widowControl/>
        <w:spacing w:line="520" w:lineRule="atLeast"/>
        <w:jc w:val="center"/>
        <w:rPr>
          <w:rFonts w:ascii="Times New Roman" w:hAnsi="Times New Roman" w:eastAsia="宋体" w:cs="Times New Roman"/>
          <w:color w:val="000000"/>
          <w:kern w:val="0"/>
          <w:sz w:val="30"/>
          <w:szCs w:val="30"/>
        </w:rPr>
      </w:pPr>
      <w:r>
        <w:rPr>
          <w:rFonts w:hint="eastAsia" w:ascii="宋体" w:hAnsi="宋体" w:eastAsia="宋体" w:cs="Times New Roman"/>
          <w:b/>
          <w:bCs/>
          <w:color w:val="000000"/>
          <w:kern w:val="0"/>
          <w:sz w:val="30"/>
          <w:szCs w:val="30"/>
        </w:rPr>
        <w:t xml:space="preserve"> 五、商务响应表</w:t>
      </w:r>
    </w:p>
    <w:p w14:paraId="4188782A">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投标供应商名称：</w:t>
      </w:r>
    </w:p>
    <w:p w14:paraId="6D7CC6BE">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项目编号：</w:t>
      </w:r>
    </w:p>
    <w:tbl>
      <w:tblPr>
        <w:tblStyle w:val="89"/>
        <w:tblW w:w="9324" w:type="dxa"/>
        <w:tblInd w:w="0" w:type="dxa"/>
        <w:tblLayout w:type="fixed"/>
        <w:tblCellMar>
          <w:top w:w="0" w:type="dxa"/>
          <w:left w:w="108" w:type="dxa"/>
          <w:bottom w:w="0" w:type="dxa"/>
          <w:right w:w="108" w:type="dxa"/>
        </w:tblCellMar>
      </w:tblPr>
      <w:tblGrid>
        <w:gridCol w:w="2490"/>
        <w:gridCol w:w="2438"/>
        <w:gridCol w:w="1559"/>
        <w:gridCol w:w="2837"/>
      </w:tblGrid>
      <w:tr w14:paraId="1F0FD99D">
        <w:tblPrEx>
          <w:tblCellMar>
            <w:top w:w="0" w:type="dxa"/>
            <w:left w:w="108" w:type="dxa"/>
            <w:bottom w:w="0" w:type="dxa"/>
            <w:right w:w="108" w:type="dxa"/>
          </w:tblCellMar>
        </w:tblPrEx>
        <w:trPr>
          <w:trHeight w:val="816" w:hRule="atLeast"/>
        </w:trPr>
        <w:tc>
          <w:tcPr>
            <w:tcW w:w="2490" w:type="dxa"/>
            <w:tcBorders>
              <w:top w:val="single" w:color="auto" w:sz="4" w:space="0"/>
              <w:left w:val="single" w:color="auto" w:sz="4" w:space="0"/>
              <w:bottom w:val="single" w:color="auto" w:sz="4" w:space="0"/>
              <w:right w:val="single" w:color="auto" w:sz="4" w:space="0"/>
            </w:tcBorders>
          </w:tcPr>
          <w:p w14:paraId="63510E81">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项目</w:t>
            </w:r>
          </w:p>
        </w:tc>
        <w:tc>
          <w:tcPr>
            <w:tcW w:w="2438" w:type="dxa"/>
            <w:tcBorders>
              <w:top w:val="single" w:color="auto" w:sz="4" w:space="0"/>
              <w:left w:val="nil"/>
              <w:bottom w:val="single" w:color="auto" w:sz="4" w:space="0"/>
              <w:right w:val="single" w:color="auto" w:sz="4" w:space="0"/>
            </w:tcBorders>
          </w:tcPr>
          <w:p w14:paraId="777472A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招标文件要求</w:t>
            </w:r>
          </w:p>
        </w:tc>
        <w:tc>
          <w:tcPr>
            <w:tcW w:w="1559" w:type="dxa"/>
            <w:tcBorders>
              <w:top w:val="single" w:color="auto" w:sz="4" w:space="0"/>
              <w:left w:val="nil"/>
              <w:bottom w:val="single" w:color="auto" w:sz="4" w:space="0"/>
              <w:right w:val="single" w:color="auto" w:sz="4" w:space="0"/>
            </w:tcBorders>
          </w:tcPr>
          <w:p w14:paraId="2DC4CD12">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是否响应</w:t>
            </w:r>
          </w:p>
        </w:tc>
        <w:tc>
          <w:tcPr>
            <w:tcW w:w="2837" w:type="dxa"/>
            <w:tcBorders>
              <w:top w:val="single" w:color="auto" w:sz="4" w:space="0"/>
              <w:left w:val="nil"/>
              <w:bottom w:val="single" w:color="auto" w:sz="4" w:space="0"/>
              <w:right w:val="single" w:color="auto" w:sz="4" w:space="0"/>
            </w:tcBorders>
          </w:tcPr>
          <w:p w14:paraId="792F2A23">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投标供应商的承诺或说明</w:t>
            </w:r>
          </w:p>
        </w:tc>
      </w:tr>
      <w:tr w14:paraId="2FE1DC72">
        <w:tblPrEx>
          <w:tblCellMar>
            <w:top w:w="0" w:type="dxa"/>
            <w:left w:w="108" w:type="dxa"/>
            <w:bottom w:w="0" w:type="dxa"/>
            <w:right w:w="108" w:type="dxa"/>
          </w:tblCellMar>
        </w:tblPrEx>
        <w:trPr>
          <w:trHeight w:val="760" w:hRule="atLeast"/>
        </w:trPr>
        <w:tc>
          <w:tcPr>
            <w:tcW w:w="2490" w:type="dxa"/>
            <w:tcBorders>
              <w:top w:val="single" w:color="auto" w:sz="4" w:space="0"/>
              <w:left w:val="single" w:color="auto" w:sz="4" w:space="0"/>
              <w:bottom w:val="single" w:color="auto" w:sz="4" w:space="0"/>
              <w:right w:val="single" w:color="auto" w:sz="4" w:space="0"/>
            </w:tcBorders>
          </w:tcPr>
          <w:p w14:paraId="13C50B7F">
            <w:pPr>
              <w:widowControl/>
              <w:spacing w:line="480" w:lineRule="atLeast"/>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供货期</w:t>
            </w:r>
          </w:p>
        </w:tc>
        <w:tc>
          <w:tcPr>
            <w:tcW w:w="2438" w:type="dxa"/>
            <w:tcBorders>
              <w:top w:val="single" w:color="auto" w:sz="4" w:space="0"/>
              <w:left w:val="nil"/>
              <w:bottom w:val="single" w:color="auto" w:sz="4" w:space="0"/>
              <w:right w:val="single" w:color="auto" w:sz="4" w:space="0"/>
            </w:tcBorders>
          </w:tcPr>
          <w:p w14:paraId="4F5A4819">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405ADEA2">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13C20A64">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5E7EA4DD">
        <w:tblPrEx>
          <w:tblCellMar>
            <w:top w:w="0" w:type="dxa"/>
            <w:left w:w="108" w:type="dxa"/>
            <w:bottom w:w="0" w:type="dxa"/>
            <w:right w:w="108" w:type="dxa"/>
          </w:tblCellMar>
        </w:tblPrEx>
        <w:trPr>
          <w:trHeight w:val="720" w:hRule="atLeast"/>
        </w:trPr>
        <w:tc>
          <w:tcPr>
            <w:tcW w:w="2490" w:type="dxa"/>
            <w:tcBorders>
              <w:top w:val="single" w:color="auto" w:sz="4" w:space="0"/>
              <w:left w:val="single" w:color="auto" w:sz="4" w:space="0"/>
              <w:bottom w:val="single" w:color="auto" w:sz="4" w:space="0"/>
              <w:right w:val="single" w:color="auto" w:sz="4" w:space="0"/>
            </w:tcBorders>
          </w:tcPr>
          <w:p w14:paraId="6FC64674">
            <w:pPr>
              <w:widowControl/>
              <w:spacing w:line="480" w:lineRule="atLeast"/>
              <w:jc w:val="left"/>
              <w:rPr>
                <w:rFonts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质量要求</w:t>
            </w:r>
          </w:p>
        </w:tc>
        <w:tc>
          <w:tcPr>
            <w:tcW w:w="2438" w:type="dxa"/>
            <w:tcBorders>
              <w:top w:val="single" w:color="auto" w:sz="4" w:space="0"/>
              <w:left w:val="nil"/>
              <w:bottom w:val="single" w:color="auto" w:sz="4" w:space="0"/>
              <w:right w:val="single" w:color="auto" w:sz="4" w:space="0"/>
            </w:tcBorders>
          </w:tcPr>
          <w:p w14:paraId="59956A5A">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758F1231">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073D6216">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7443ABF0">
        <w:tblPrEx>
          <w:tblCellMar>
            <w:top w:w="0" w:type="dxa"/>
            <w:left w:w="108" w:type="dxa"/>
            <w:bottom w:w="0" w:type="dxa"/>
            <w:right w:w="108" w:type="dxa"/>
          </w:tblCellMar>
        </w:tblPrEx>
        <w:trPr>
          <w:trHeight w:val="669" w:hRule="atLeast"/>
        </w:trPr>
        <w:tc>
          <w:tcPr>
            <w:tcW w:w="2490" w:type="dxa"/>
            <w:tcBorders>
              <w:top w:val="single" w:color="auto" w:sz="4" w:space="0"/>
              <w:left w:val="single" w:color="auto" w:sz="4" w:space="0"/>
              <w:bottom w:val="single" w:color="auto" w:sz="4" w:space="0"/>
              <w:right w:val="single" w:color="auto" w:sz="4" w:space="0"/>
            </w:tcBorders>
          </w:tcPr>
          <w:p w14:paraId="16D0EAD1">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w:t>
            </w:r>
          </w:p>
        </w:tc>
        <w:tc>
          <w:tcPr>
            <w:tcW w:w="2438" w:type="dxa"/>
            <w:tcBorders>
              <w:top w:val="single" w:color="auto" w:sz="4" w:space="0"/>
              <w:left w:val="nil"/>
              <w:bottom w:val="single" w:color="auto" w:sz="4" w:space="0"/>
              <w:right w:val="single" w:color="auto" w:sz="4" w:space="0"/>
            </w:tcBorders>
          </w:tcPr>
          <w:p w14:paraId="7EC69CF0">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13A41B01">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4AC73F94">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129D11AE">
        <w:tblPrEx>
          <w:tblCellMar>
            <w:top w:w="0" w:type="dxa"/>
            <w:left w:w="108" w:type="dxa"/>
            <w:bottom w:w="0" w:type="dxa"/>
            <w:right w:w="108" w:type="dxa"/>
          </w:tblCellMar>
        </w:tblPrEx>
        <w:trPr>
          <w:trHeight w:val="694" w:hRule="atLeast"/>
        </w:trPr>
        <w:tc>
          <w:tcPr>
            <w:tcW w:w="2490" w:type="dxa"/>
            <w:tcBorders>
              <w:top w:val="single" w:color="auto" w:sz="4" w:space="0"/>
              <w:left w:val="single" w:color="auto" w:sz="4" w:space="0"/>
              <w:bottom w:val="single" w:color="auto" w:sz="4" w:space="0"/>
              <w:right w:val="single" w:color="auto" w:sz="4" w:space="0"/>
            </w:tcBorders>
          </w:tcPr>
          <w:p w14:paraId="0AEF9FE4">
            <w:pPr>
              <w:widowControl/>
              <w:spacing w:line="520" w:lineRule="atLeast"/>
              <w:rPr>
                <w:rFonts w:ascii="Times New Roman" w:hAnsi="Times New Roman" w:eastAsia="宋体" w:cs="Times New Roman"/>
                <w:color w:val="000000"/>
                <w:kern w:val="0"/>
                <w:sz w:val="24"/>
                <w:szCs w:val="24"/>
              </w:rPr>
            </w:pPr>
          </w:p>
        </w:tc>
        <w:tc>
          <w:tcPr>
            <w:tcW w:w="2438" w:type="dxa"/>
            <w:tcBorders>
              <w:top w:val="single" w:color="auto" w:sz="4" w:space="0"/>
              <w:left w:val="nil"/>
              <w:bottom w:val="single" w:color="auto" w:sz="4" w:space="0"/>
              <w:right w:val="single" w:color="auto" w:sz="4" w:space="0"/>
            </w:tcBorders>
          </w:tcPr>
          <w:p w14:paraId="76D8639A">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1225748B">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7DB7D396">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r w14:paraId="0148B6D1">
        <w:tblPrEx>
          <w:tblCellMar>
            <w:top w:w="0" w:type="dxa"/>
            <w:left w:w="108" w:type="dxa"/>
            <w:bottom w:w="0" w:type="dxa"/>
            <w:right w:w="108" w:type="dxa"/>
          </w:tblCellMar>
        </w:tblPrEx>
        <w:trPr>
          <w:trHeight w:val="706" w:hRule="atLeast"/>
        </w:trPr>
        <w:tc>
          <w:tcPr>
            <w:tcW w:w="2490" w:type="dxa"/>
            <w:tcBorders>
              <w:top w:val="single" w:color="auto" w:sz="4" w:space="0"/>
              <w:left w:val="single" w:color="auto" w:sz="4" w:space="0"/>
              <w:bottom w:val="single" w:color="auto" w:sz="4" w:space="0"/>
              <w:right w:val="single" w:color="auto" w:sz="4" w:space="0"/>
            </w:tcBorders>
          </w:tcPr>
          <w:p w14:paraId="1981F555">
            <w:pPr>
              <w:widowControl/>
              <w:spacing w:line="520" w:lineRule="atLeast"/>
              <w:rPr>
                <w:rFonts w:ascii="Times New Roman" w:hAnsi="Times New Roman" w:eastAsia="宋体" w:cs="Times New Roman"/>
                <w:color w:val="000000"/>
                <w:kern w:val="0"/>
                <w:sz w:val="24"/>
                <w:szCs w:val="24"/>
              </w:rPr>
            </w:pPr>
          </w:p>
        </w:tc>
        <w:tc>
          <w:tcPr>
            <w:tcW w:w="2438" w:type="dxa"/>
            <w:tcBorders>
              <w:top w:val="single" w:color="auto" w:sz="4" w:space="0"/>
              <w:left w:val="nil"/>
              <w:bottom w:val="single" w:color="auto" w:sz="4" w:space="0"/>
              <w:right w:val="single" w:color="auto" w:sz="4" w:space="0"/>
            </w:tcBorders>
          </w:tcPr>
          <w:p w14:paraId="2E72DEBC">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1559" w:type="dxa"/>
            <w:tcBorders>
              <w:top w:val="single" w:color="auto" w:sz="4" w:space="0"/>
              <w:left w:val="nil"/>
              <w:bottom w:val="single" w:color="auto" w:sz="4" w:space="0"/>
              <w:right w:val="single" w:color="auto" w:sz="4" w:space="0"/>
            </w:tcBorders>
          </w:tcPr>
          <w:p w14:paraId="5E0D7F99">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c>
          <w:tcPr>
            <w:tcW w:w="2837" w:type="dxa"/>
            <w:tcBorders>
              <w:top w:val="single" w:color="auto" w:sz="4" w:space="0"/>
              <w:left w:val="nil"/>
              <w:bottom w:val="single" w:color="auto" w:sz="4" w:space="0"/>
              <w:right w:val="single" w:color="auto" w:sz="4" w:space="0"/>
            </w:tcBorders>
          </w:tcPr>
          <w:p w14:paraId="6FC2015E">
            <w:pPr>
              <w:widowControl/>
              <w:spacing w:line="520" w:lineRule="atLeast"/>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w:t>
            </w:r>
          </w:p>
        </w:tc>
      </w:tr>
    </w:tbl>
    <w:p w14:paraId="5BC1C104">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（注：</w:t>
      </w:r>
      <w:r>
        <w:rPr>
          <w:rFonts w:hint="eastAsia" w:ascii="Calibri" w:hAnsi="Calibri" w:eastAsia="宋体" w:cs="Times New Roman"/>
          <w:kern w:val="0"/>
          <w:sz w:val="24"/>
          <w:szCs w:val="24"/>
        </w:rPr>
        <w:t>投标</w:t>
      </w:r>
      <w:r>
        <w:rPr>
          <w:rFonts w:ascii="Calibri" w:hAnsi="Calibri" w:eastAsia="宋体" w:cs="Times New Roman"/>
          <w:kern w:val="0"/>
          <w:sz w:val="24"/>
          <w:szCs w:val="24"/>
        </w:rPr>
        <w:t>供应商应根据投标设备的技术参数对照招标文件要求对比偏离情况）</w:t>
      </w:r>
    </w:p>
    <w:p w14:paraId="78DFE57B">
      <w:pPr>
        <w:widowControl/>
        <w:spacing w:line="480" w:lineRule="atLeast"/>
        <w:rPr>
          <w:rFonts w:ascii="Calibri" w:hAnsi="Calibri" w:eastAsia="宋体" w:cs="Times New Roman"/>
          <w:kern w:val="0"/>
          <w:sz w:val="24"/>
          <w:szCs w:val="24"/>
        </w:rPr>
      </w:pPr>
    </w:p>
    <w:p w14:paraId="4C448D8B">
      <w:pPr>
        <w:widowControl/>
        <w:spacing w:line="480" w:lineRule="atLeast"/>
        <w:ind w:firstLine="120"/>
        <w:rPr>
          <w:rFonts w:ascii="Calibri" w:hAnsi="Calibri" w:eastAsia="宋体" w:cs="Times New Roman"/>
          <w:kern w:val="0"/>
          <w:sz w:val="24"/>
          <w:szCs w:val="24"/>
        </w:rPr>
      </w:pPr>
      <w:r>
        <w:rPr>
          <w:rFonts w:ascii="Calibri" w:hAnsi="Calibri" w:eastAsia="宋体" w:cs="Times New Roman"/>
          <w:kern w:val="0"/>
          <w:sz w:val="24"/>
          <w:szCs w:val="24"/>
        </w:rPr>
        <w:t>注：此表格若不够用，可根据实际自行扩展表格。</w:t>
      </w:r>
    </w:p>
    <w:p w14:paraId="27F5E015">
      <w:pPr>
        <w:widowControl/>
        <w:spacing w:line="520" w:lineRule="atLeast"/>
        <w:ind w:firstLine="2400"/>
        <w:rPr>
          <w:rFonts w:ascii="Times New Roman" w:hAnsi="Times New Roman" w:eastAsia="宋体" w:cs="Times New Roman"/>
          <w:color w:val="000000"/>
          <w:kern w:val="0"/>
          <w:sz w:val="24"/>
          <w:szCs w:val="24"/>
        </w:rPr>
      </w:pPr>
    </w:p>
    <w:p w14:paraId="53CFB6BD">
      <w:pPr>
        <w:widowControl/>
        <w:spacing w:line="520" w:lineRule="atLeast"/>
        <w:ind w:firstLine="2400"/>
        <w:rPr>
          <w:rFonts w:ascii="Times New Roman" w:hAnsi="Times New Roman" w:eastAsia="宋体" w:cs="Times New Roman"/>
          <w:color w:val="000000"/>
          <w:kern w:val="0"/>
          <w:sz w:val="24"/>
          <w:szCs w:val="24"/>
        </w:rPr>
      </w:pPr>
    </w:p>
    <w:p w14:paraId="7F73F329">
      <w:pPr>
        <w:widowControl/>
        <w:spacing w:line="520" w:lineRule="atLeast"/>
        <w:ind w:firstLine="3736" w:firstLineChars="1557"/>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法定代表人：（</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kern w:val="0"/>
          <w:sz w:val="24"/>
          <w:szCs w:val="24"/>
        </w:rPr>
        <w:t xml:space="preserve">） </w:t>
      </w:r>
    </w:p>
    <w:p w14:paraId="4B40FDF8">
      <w:pPr>
        <w:widowControl/>
        <w:spacing w:line="520" w:lineRule="atLeast"/>
        <w:ind w:firstLine="480"/>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xml:space="preserve">                           投标供应商：（</w:t>
      </w:r>
      <w:r>
        <w:rPr>
          <w:rFonts w:hint="eastAsia" w:ascii="宋体" w:hAnsi="宋体" w:eastAsia="宋体" w:cs="Times New Roman"/>
          <w:color w:val="000000" w:themeColor="text1"/>
          <w:kern w:val="0"/>
          <w:sz w:val="24"/>
          <w:szCs w:val="24"/>
          <w14:textFill>
            <w14:solidFill>
              <w14:schemeClr w14:val="tx1"/>
            </w14:solidFill>
          </w14:textFill>
        </w:rPr>
        <w:t>电子签章</w:t>
      </w:r>
      <w:r>
        <w:rPr>
          <w:rFonts w:hint="eastAsia" w:ascii="宋体" w:hAnsi="宋体" w:eastAsia="宋体" w:cs="Times New Roman"/>
          <w:color w:val="000000"/>
          <w:kern w:val="0"/>
          <w:sz w:val="24"/>
          <w:szCs w:val="24"/>
        </w:rPr>
        <w:t>）</w:t>
      </w:r>
    </w:p>
    <w:p w14:paraId="626FA222">
      <w:pPr>
        <w:widowControl/>
        <w:spacing w:line="520" w:lineRule="atLeast"/>
        <w:ind w:firstLine="480"/>
        <w:rPr>
          <w:rFonts w:ascii="Times New Roman" w:hAnsi="Times New Roman" w:eastAsia="宋体" w:cs="Times New Roman"/>
          <w:color w:val="000000"/>
          <w:kern w:val="0"/>
          <w:sz w:val="24"/>
          <w:szCs w:val="24"/>
        </w:rPr>
      </w:pPr>
      <w:r>
        <w:rPr>
          <w:rFonts w:hint="eastAsia" w:ascii="宋体" w:hAnsi="宋体" w:eastAsia="宋体" w:cs="Times New Roman"/>
          <w:color w:val="000000"/>
          <w:kern w:val="0"/>
          <w:sz w:val="24"/>
          <w:szCs w:val="24"/>
        </w:rPr>
        <w:t xml:space="preserve">                                年   月   日</w:t>
      </w:r>
    </w:p>
    <w:p w14:paraId="4C7508EF">
      <w:pPr>
        <w:widowControl/>
        <w:spacing w:line="360" w:lineRule="auto"/>
        <w:rPr>
          <w:rFonts w:ascii="宋体" w:hAnsi="宋体" w:eastAsia="宋体" w:cs="Times New Roman"/>
          <w:b/>
          <w:bCs/>
          <w:color w:val="000000" w:themeColor="text1"/>
          <w:kern w:val="0"/>
          <w:sz w:val="28"/>
          <w:szCs w:val="28"/>
          <w14:textFill>
            <w14:solidFill>
              <w14:schemeClr w14:val="tx1"/>
            </w14:solidFill>
          </w14:textFill>
        </w:rPr>
      </w:pPr>
    </w:p>
    <w:p w14:paraId="4B499392">
      <w:pPr>
        <w:pStyle w:val="2"/>
      </w:pPr>
    </w:p>
    <w:p w14:paraId="50851910"/>
    <w:p w14:paraId="48D0724E">
      <w:pPr>
        <w:pStyle w:val="2"/>
      </w:pPr>
    </w:p>
    <w:p w14:paraId="015F5664">
      <w:pPr>
        <w:widowControl/>
        <w:spacing w:line="360" w:lineRule="auto"/>
        <w:rPr>
          <w:rFonts w:ascii="宋体" w:hAnsi="宋体" w:eastAsia="宋体" w:cs="Times New Roman"/>
          <w:b/>
          <w:bCs/>
          <w:color w:val="000000" w:themeColor="text1"/>
          <w:kern w:val="0"/>
          <w:sz w:val="24"/>
          <w:szCs w:val="24"/>
          <w14:textFill>
            <w14:solidFill>
              <w14:schemeClr w14:val="tx1"/>
            </w14:solidFill>
          </w14:textFill>
        </w:rPr>
      </w:pPr>
    </w:p>
    <w:p w14:paraId="77D29E98">
      <w:pPr>
        <w:widowControl/>
        <w:jc w:val="left"/>
        <w:rPr>
          <w:rFonts w:ascii="宋体" w:hAnsi="宋体" w:eastAsia="宋体" w:cs="Times New Roman"/>
          <w:b/>
          <w:bCs/>
          <w:color w:val="000000" w:themeColor="text1"/>
          <w:kern w:val="0"/>
          <w:sz w:val="24"/>
          <w:szCs w:val="24"/>
          <w14:textFill>
            <w14:solidFill>
              <w14:schemeClr w14:val="tx1"/>
            </w14:solidFill>
          </w14:textFill>
        </w:rPr>
      </w:pPr>
      <w:r>
        <w:rPr>
          <w:rFonts w:ascii="宋体" w:hAnsi="宋体" w:eastAsia="宋体" w:cs="Times New Roman"/>
          <w:b/>
          <w:bCs/>
          <w:color w:val="000000" w:themeColor="text1"/>
          <w:kern w:val="0"/>
          <w:sz w:val="24"/>
          <w:szCs w:val="24"/>
          <w14:textFill>
            <w14:solidFill>
              <w14:schemeClr w14:val="tx1"/>
            </w14:solidFill>
          </w14:textFill>
        </w:rPr>
        <w:br w:type="page"/>
      </w:r>
    </w:p>
    <w:p w14:paraId="5AA3369C">
      <w:pPr>
        <w:widowControl/>
        <w:spacing w:line="520" w:lineRule="atLeast"/>
        <w:jc w:val="center"/>
        <w:rPr>
          <w:rFonts w:ascii="宋体" w:hAnsi="宋体" w:eastAsia="宋体" w:cs="Times New Roman"/>
          <w:b/>
          <w:bCs/>
          <w:kern w:val="0"/>
          <w:sz w:val="32"/>
          <w:szCs w:val="28"/>
        </w:rPr>
      </w:pPr>
      <w:r>
        <w:rPr>
          <w:rFonts w:hint="eastAsia" w:ascii="宋体" w:hAnsi="宋体" w:eastAsia="宋体" w:cs="Times New Roman"/>
          <w:b/>
          <w:bCs/>
          <w:kern w:val="0"/>
          <w:sz w:val="32"/>
          <w:szCs w:val="28"/>
        </w:rPr>
        <w:t>六、技术参数偏离表</w:t>
      </w:r>
    </w:p>
    <w:p w14:paraId="5BFC4233">
      <w:pPr>
        <w:widowControl/>
        <w:spacing w:line="520" w:lineRule="atLeast"/>
        <w:rPr>
          <w:rFonts w:ascii="Calibri" w:hAnsi="Calibri" w:eastAsia="宋体" w:cs="Times New Roman"/>
          <w:kern w:val="0"/>
          <w:sz w:val="24"/>
          <w:szCs w:val="24"/>
        </w:rPr>
      </w:pPr>
      <w:r>
        <w:rPr>
          <w:rFonts w:hint="eastAsia" w:ascii="Calibri" w:hAnsi="Calibri" w:eastAsia="宋体" w:cs="Times New Roman"/>
          <w:kern w:val="0"/>
          <w:sz w:val="24"/>
          <w:szCs w:val="24"/>
        </w:rPr>
        <w:t>投标</w:t>
      </w:r>
      <w:r>
        <w:rPr>
          <w:rFonts w:ascii="Calibri" w:hAnsi="Calibri" w:eastAsia="宋体" w:cs="Times New Roman"/>
          <w:kern w:val="0"/>
          <w:sz w:val="24"/>
          <w:szCs w:val="24"/>
        </w:rPr>
        <w:t>供应商名称：</w:t>
      </w:r>
    </w:p>
    <w:p w14:paraId="56C241F6">
      <w:pPr>
        <w:widowControl/>
        <w:spacing w:line="520" w:lineRule="atLeast"/>
        <w:rPr>
          <w:rFonts w:ascii="Calibri" w:hAnsi="Calibri" w:eastAsia="宋体" w:cs="Times New Roman"/>
          <w:kern w:val="0"/>
          <w:sz w:val="24"/>
          <w:szCs w:val="24"/>
        </w:rPr>
      </w:pPr>
      <w:r>
        <w:rPr>
          <w:rFonts w:ascii="Calibri" w:hAnsi="Calibri" w:eastAsia="宋体" w:cs="Times New Roman"/>
          <w:kern w:val="0"/>
          <w:sz w:val="24"/>
          <w:szCs w:val="24"/>
        </w:rPr>
        <w:t>项目编号：</w:t>
      </w:r>
    </w:p>
    <w:tbl>
      <w:tblPr>
        <w:tblStyle w:val="89"/>
        <w:tblW w:w="9285" w:type="dxa"/>
        <w:tblInd w:w="0" w:type="dxa"/>
        <w:tblLayout w:type="fixed"/>
        <w:tblCellMar>
          <w:top w:w="0" w:type="dxa"/>
          <w:left w:w="108" w:type="dxa"/>
          <w:bottom w:w="0" w:type="dxa"/>
          <w:right w:w="108" w:type="dxa"/>
        </w:tblCellMar>
      </w:tblPr>
      <w:tblGrid>
        <w:gridCol w:w="810"/>
        <w:gridCol w:w="1275"/>
        <w:gridCol w:w="2085"/>
        <w:gridCol w:w="1890"/>
        <w:gridCol w:w="1980"/>
        <w:gridCol w:w="1245"/>
      </w:tblGrid>
      <w:tr w14:paraId="16E69A0D">
        <w:tblPrEx>
          <w:tblCellMar>
            <w:top w:w="0" w:type="dxa"/>
            <w:left w:w="108" w:type="dxa"/>
            <w:bottom w:w="0" w:type="dxa"/>
            <w:right w:w="108" w:type="dxa"/>
          </w:tblCellMar>
        </w:tblPrEx>
        <w:trPr>
          <w:trHeight w:val="975" w:hRule="atLeast"/>
        </w:trPr>
        <w:tc>
          <w:tcPr>
            <w:tcW w:w="810" w:type="dxa"/>
            <w:tcBorders>
              <w:top w:val="single" w:color="auto" w:sz="4" w:space="0"/>
              <w:left w:val="single" w:color="auto" w:sz="4" w:space="0"/>
              <w:bottom w:val="single" w:color="auto" w:sz="4" w:space="0"/>
              <w:right w:val="single" w:color="auto" w:sz="4" w:space="0"/>
            </w:tcBorders>
            <w:noWrap/>
          </w:tcPr>
          <w:p w14:paraId="45D3BD1A">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序号</w:t>
            </w:r>
          </w:p>
        </w:tc>
        <w:tc>
          <w:tcPr>
            <w:tcW w:w="1275" w:type="dxa"/>
            <w:tcBorders>
              <w:top w:val="single" w:color="auto" w:sz="4" w:space="0"/>
              <w:left w:val="nil"/>
              <w:bottom w:val="single" w:color="auto" w:sz="4" w:space="0"/>
              <w:right w:val="single" w:color="auto" w:sz="4" w:space="0"/>
            </w:tcBorders>
            <w:noWrap/>
          </w:tcPr>
          <w:p w14:paraId="788CAB1E">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名称</w:t>
            </w:r>
          </w:p>
        </w:tc>
        <w:tc>
          <w:tcPr>
            <w:tcW w:w="2085" w:type="dxa"/>
            <w:tcBorders>
              <w:top w:val="single" w:color="auto" w:sz="4" w:space="0"/>
              <w:left w:val="nil"/>
              <w:bottom w:val="single" w:color="auto" w:sz="4" w:space="0"/>
              <w:right w:val="single" w:color="auto" w:sz="4" w:space="0"/>
            </w:tcBorders>
            <w:noWrap/>
          </w:tcPr>
          <w:p w14:paraId="40015568">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招标技术参数</w:t>
            </w:r>
          </w:p>
          <w:p w14:paraId="3158C6A8">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要求</w:t>
            </w:r>
          </w:p>
        </w:tc>
        <w:tc>
          <w:tcPr>
            <w:tcW w:w="1890" w:type="dxa"/>
            <w:tcBorders>
              <w:top w:val="single" w:color="auto" w:sz="4" w:space="0"/>
              <w:left w:val="nil"/>
              <w:bottom w:val="single" w:color="auto" w:sz="4" w:space="0"/>
              <w:right w:val="single" w:color="auto" w:sz="4" w:space="0"/>
            </w:tcBorders>
            <w:noWrap/>
          </w:tcPr>
          <w:p w14:paraId="552BC2E9">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投标品牌</w:t>
            </w:r>
          </w:p>
          <w:p w14:paraId="7548A07B">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和型号</w:t>
            </w:r>
          </w:p>
        </w:tc>
        <w:tc>
          <w:tcPr>
            <w:tcW w:w="1980" w:type="dxa"/>
            <w:tcBorders>
              <w:top w:val="single" w:color="auto" w:sz="4" w:space="0"/>
              <w:left w:val="nil"/>
              <w:bottom w:val="single" w:color="auto" w:sz="4" w:space="0"/>
              <w:right w:val="single" w:color="auto" w:sz="4" w:space="0"/>
            </w:tcBorders>
            <w:noWrap/>
          </w:tcPr>
          <w:p w14:paraId="441F6A12">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投标技术</w:t>
            </w:r>
          </w:p>
          <w:p w14:paraId="1528AC89">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参数</w:t>
            </w:r>
          </w:p>
        </w:tc>
        <w:tc>
          <w:tcPr>
            <w:tcW w:w="1245" w:type="dxa"/>
            <w:tcBorders>
              <w:top w:val="single" w:color="auto" w:sz="4" w:space="0"/>
              <w:left w:val="nil"/>
              <w:bottom w:val="single" w:color="auto" w:sz="4" w:space="0"/>
              <w:right w:val="single" w:color="auto" w:sz="4" w:space="0"/>
            </w:tcBorders>
            <w:noWrap/>
          </w:tcPr>
          <w:p w14:paraId="6C5D9B6E">
            <w:pPr>
              <w:widowControl/>
              <w:spacing w:line="480" w:lineRule="atLeast"/>
              <w:jc w:val="center"/>
              <w:rPr>
                <w:rFonts w:ascii="Calibri" w:hAnsi="Calibri" w:eastAsia="宋体" w:cs="Times New Roman"/>
                <w:kern w:val="0"/>
                <w:sz w:val="24"/>
                <w:szCs w:val="24"/>
              </w:rPr>
            </w:pPr>
            <w:r>
              <w:rPr>
                <w:rFonts w:ascii="Calibri" w:hAnsi="Calibri" w:eastAsia="宋体" w:cs="Times New Roman"/>
                <w:kern w:val="0"/>
                <w:sz w:val="24"/>
                <w:szCs w:val="24"/>
              </w:rPr>
              <w:t>偏离说明</w:t>
            </w:r>
          </w:p>
        </w:tc>
      </w:tr>
      <w:tr w14:paraId="591C0513">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1B39626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4571A744">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32887EEB">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3401D1E0">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66DB3DE7">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002F2B3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08CD5787">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48DCB27F">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132B133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1D61E1B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65EFF59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4D56EF9F">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64E2A7E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65F9C140">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3754B53D">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2D1986ED">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1341F26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12786E8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43623686">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39F958B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08A08D9B">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226B95F0">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15A9A889">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09943F94">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466B0190">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6139BB5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64D03570">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398E8E66">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085527D1">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0C00CB3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11DA4E9C">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0A60D0AE">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443587DC">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7D8ED498">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r w14:paraId="4AE5612F">
        <w:tblPrEx>
          <w:tblCellMar>
            <w:top w:w="0" w:type="dxa"/>
            <w:left w:w="108" w:type="dxa"/>
            <w:bottom w:w="0" w:type="dxa"/>
            <w:right w:w="108" w:type="dxa"/>
          </w:tblCellMar>
        </w:tblPrEx>
        <w:trPr>
          <w:trHeight w:val="495" w:hRule="atLeast"/>
        </w:trPr>
        <w:tc>
          <w:tcPr>
            <w:tcW w:w="810" w:type="dxa"/>
            <w:tcBorders>
              <w:top w:val="single" w:color="auto" w:sz="4" w:space="0"/>
              <w:left w:val="single" w:color="auto" w:sz="4" w:space="0"/>
              <w:bottom w:val="single" w:color="auto" w:sz="4" w:space="0"/>
              <w:right w:val="single" w:color="auto" w:sz="4" w:space="0"/>
            </w:tcBorders>
            <w:noWrap/>
          </w:tcPr>
          <w:p w14:paraId="049C3412">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75" w:type="dxa"/>
            <w:tcBorders>
              <w:top w:val="single" w:color="auto" w:sz="4" w:space="0"/>
              <w:left w:val="nil"/>
              <w:bottom w:val="single" w:color="auto" w:sz="4" w:space="0"/>
              <w:right w:val="single" w:color="auto" w:sz="4" w:space="0"/>
            </w:tcBorders>
            <w:noWrap/>
          </w:tcPr>
          <w:p w14:paraId="2D74D2DF">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2085" w:type="dxa"/>
            <w:tcBorders>
              <w:top w:val="single" w:color="auto" w:sz="4" w:space="0"/>
              <w:left w:val="nil"/>
              <w:bottom w:val="single" w:color="auto" w:sz="4" w:space="0"/>
              <w:right w:val="single" w:color="auto" w:sz="4" w:space="0"/>
            </w:tcBorders>
            <w:noWrap/>
          </w:tcPr>
          <w:p w14:paraId="090ABA59">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890" w:type="dxa"/>
            <w:tcBorders>
              <w:top w:val="single" w:color="auto" w:sz="4" w:space="0"/>
              <w:left w:val="nil"/>
              <w:bottom w:val="single" w:color="auto" w:sz="4" w:space="0"/>
              <w:right w:val="single" w:color="auto" w:sz="4" w:space="0"/>
            </w:tcBorders>
            <w:noWrap/>
          </w:tcPr>
          <w:p w14:paraId="2F598685">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980" w:type="dxa"/>
            <w:tcBorders>
              <w:top w:val="single" w:color="auto" w:sz="4" w:space="0"/>
              <w:left w:val="nil"/>
              <w:bottom w:val="single" w:color="auto" w:sz="4" w:space="0"/>
              <w:right w:val="single" w:color="auto" w:sz="4" w:space="0"/>
            </w:tcBorders>
            <w:noWrap/>
          </w:tcPr>
          <w:p w14:paraId="671E7446">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c>
          <w:tcPr>
            <w:tcW w:w="1245" w:type="dxa"/>
            <w:tcBorders>
              <w:top w:val="single" w:color="auto" w:sz="4" w:space="0"/>
              <w:left w:val="nil"/>
              <w:bottom w:val="single" w:color="auto" w:sz="4" w:space="0"/>
              <w:right w:val="single" w:color="auto" w:sz="4" w:space="0"/>
            </w:tcBorders>
            <w:noWrap/>
          </w:tcPr>
          <w:p w14:paraId="65A84F4A">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 </w:t>
            </w:r>
          </w:p>
        </w:tc>
      </w:tr>
    </w:tbl>
    <w:p w14:paraId="06AD0433">
      <w:pPr>
        <w:widowControl/>
        <w:spacing w:line="480" w:lineRule="atLeast"/>
        <w:rPr>
          <w:rFonts w:ascii="Calibri" w:hAnsi="Calibri" w:eastAsia="宋体" w:cs="Times New Roman"/>
          <w:kern w:val="0"/>
          <w:sz w:val="24"/>
          <w:szCs w:val="24"/>
        </w:rPr>
      </w:pPr>
      <w:r>
        <w:rPr>
          <w:rFonts w:ascii="Calibri" w:hAnsi="Calibri" w:eastAsia="宋体" w:cs="Times New Roman"/>
          <w:kern w:val="0"/>
          <w:sz w:val="24"/>
          <w:szCs w:val="24"/>
        </w:rPr>
        <w:t>（注：</w:t>
      </w:r>
      <w:r>
        <w:rPr>
          <w:rFonts w:hint="eastAsia" w:ascii="Calibri" w:hAnsi="Calibri" w:eastAsia="宋体" w:cs="Times New Roman"/>
          <w:kern w:val="0"/>
          <w:sz w:val="24"/>
          <w:szCs w:val="24"/>
        </w:rPr>
        <w:t>投标</w:t>
      </w:r>
      <w:r>
        <w:rPr>
          <w:rFonts w:ascii="Calibri" w:hAnsi="Calibri" w:eastAsia="宋体" w:cs="Times New Roman"/>
          <w:kern w:val="0"/>
          <w:sz w:val="24"/>
          <w:szCs w:val="24"/>
        </w:rPr>
        <w:t>供应商应根据投标设备的技术参数对照招标文件要求对比偏离情况）</w:t>
      </w:r>
    </w:p>
    <w:p w14:paraId="6F6BBA74">
      <w:pPr>
        <w:widowControl/>
        <w:spacing w:line="480" w:lineRule="atLeast"/>
        <w:rPr>
          <w:rFonts w:ascii="Calibri" w:hAnsi="Calibri" w:eastAsia="宋体" w:cs="Times New Roman"/>
          <w:kern w:val="0"/>
          <w:sz w:val="24"/>
          <w:szCs w:val="24"/>
        </w:rPr>
      </w:pPr>
    </w:p>
    <w:p w14:paraId="38CFA663">
      <w:pPr>
        <w:widowControl/>
        <w:spacing w:line="480" w:lineRule="atLeast"/>
        <w:ind w:firstLine="120"/>
        <w:rPr>
          <w:rFonts w:ascii="Calibri" w:hAnsi="Calibri" w:eastAsia="宋体" w:cs="Times New Roman"/>
          <w:kern w:val="0"/>
          <w:sz w:val="24"/>
          <w:szCs w:val="24"/>
        </w:rPr>
      </w:pPr>
      <w:r>
        <w:rPr>
          <w:rFonts w:ascii="Calibri" w:hAnsi="Calibri" w:eastAsia="宋体" w:cs="Times New Roman"/>
          <w:kern w:val="0"/>
          <w:sz w:val="24"/>
          <w:szCs w:val="24"/>
        </w:rPr>
        <w:t>注：此表格若不够用，可根据实际自行扩展表格。</w:t>
      </w:r>
    </w:p>
    <w:p w14:paraId="6F573420">
      <w:pPr>
        <w:widowControl/>
        <w:spacing w:line="480" w:lineRule="atLeast"/>
        <w:rPr>
          <w:rFonts w:ascii="Calibri" w:hAnsi="Calibri" w:eastAsia="宋体" w:cs="Times New Roman"/>
          <w:kern w:val="0"/>
          <w:sz w:val="24"/>
          <w:szCs w:val="24"/>
        </w:rPr>
      </w:pPr>
    </w:p>
    <w:p w14:paraId="3E23F35B">
      <w:pPr>
        <w:spacing w:line="520" w:lineRule="exact"/>
        <w:rPr>
          <w:rFonts w:ascii="Calibri" w:hAnsi="Calibri" w:eastAsia="宋体" w:cs="Times New Roman"/>
          <w:kern w:val="0"/>
          <w:sz w:val="24"/>
          <w:szCs w:val="24"/>
        </w:rPr>
      </w:pPr>
    </w:p>
    <w:p w14:paraId="531979B8">
      <w:pPr>
        <w:spacing w:line="480" w:lineRule="auto"/>
        <w:rPr>
          <w:rFonts w:ascii="Times New Roman" w:hAnsi="Calibri" w:eastAsia="宋体" w:cs="Times New Roman"/>
        </w:rPr>
      </w:pPr>
    </w:p>
    <w:p w14:paraId="51852968">
      <w:pPr>
        <w:spacing w:line="480" w:lineRule="exact"/>
        <w:ind w:firstLine="140" w:firstLineChars="50"/>
        <w:rPr>
          <w:rFonts w:ascii="宋体" w:hAnsi="宋体" w:eastAsia="宋体" w:cs="Times New Roman"/>
          <w:bCs/>
          <w:sz w:val="28"/>
          <w:szCs w:val="28"/>
        </w:rPr>
      </w:pPr>
      <w:r>
        <w:rPr>
          <w:rFonts w:hint="eastAsia" w:ascii="宋体" w:hAnsi="宋体" w:eastAsia="宋体" w:cs="Times New Roman"/>
          <w:bCs/>
          <w:sz w:val="28"/>
          <w:szCs w:val="28"/>
        </w:rPr>
        <w:t>。</w:t>
      </w:r>
    </w:p>
    <w:p w14:paraId="2A590EAF">
      <w:pPr>
        <w:rPr>
          <w:rFonts w:ascii="宋体" w:hAnsi="宋体" w:eastAsia="宋体" w:cs="Times New Roman"/>
          <w:sz w:val="28"/>
          <w:szCs w:val="28"/>
        </w:rPr>
      </w:pPr>
    </w:p>
    <w:p w14:paraId="4B9DAD48">
      <w:pPr>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sz w:val="28"/>
          <w:szCs w:val="28"/>
        </w:rPr>
        <w:t xml:space="preserve">                   </w:t>
      </w:r>
      <w:r>
        <w:rPr>
          <w:rFonts w:hint="eastAsia" w:ascii="宋体" w:hAnsi="宋体" w:eastAsia="宋体" w:cs="Times New Roman"/>
          <w:color w:val="000000" w:themeColor="text1"/>
          <w:kern w:val="0"/>
          <w:sz w:val="24"/>
          <w:szCs w:val="24"/>
          <w14:textFill>
            <w14:solidFill>
              <w14:schemeClr w14:val="tx1"/>
            </w14:solidFill>
          </w14:textFill>
        </w:rPr>
        <w:t>投标供应商：(电子签章)</w:t>
      </w:r>
    </w:p>
    <w:p w14:paraId="49885376">
      <w:pPr>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法定代表人：（电子签章）</w:t>
      </w:r>
    </w:p>
    <w:p w14:paraId="6495AAE6">
      <w:pPr>
        <w:spacing w:line="480" w:lineRule="auto"/>
        <w:jc w:val="center"/>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                         日   期：  年  月  日</w:t>
      </w:r>
    </w:p>
    <w:p w14:paraId="4099466D">
      <w:pPr>
        <w:pStyle w:val="2"/>
      </w:pPr>
    </w:p>
    <w:p w14:paraId="0081D1A5"/>
    <w:p w14:paraId="0D64DD08">
      <w:pPr>
        <w:pStyle w:val="2"/>
      </w:pPr>
    </w:p>
    <w:p w14:paraId="2E331ED5"/>
    <w:p w14:paraId="1215AFAB">
      <w:pPr>
        <w:widowControl/>
        <w:spacing w:line="520" w:lineRule="atLeast"/>
        <w:rPr>
          <w:rFonts w:ascii="宋体" w:hAnsi="宋体" w:eastAsia="宋体" w:cs="Times New Roman"/>
          <w:b/>
          <w:bCs/>
          <w:color w:val="000000" w:themeColor="text1"/>
          <w:kern w:val="0"/>
          <w:sz w:val="30"/>
          <w:szCs w:val="30"/>
          <w14:textFill>
            <w14:solidFill>
              <w14:schemeClr w14:val="tx1"/>
            </w14:solidFill>
          </w14:textFill>
        </w:rPr>
      </w:pPr>
    </w:p>
    <w:p w14:paraId="78761982">
      <w:pPr>
        <w:widowControl/>
        <w:spacing w:line="520" w:lineRule="atLeast"/>
        <w:jc w:val="center"/>
        <w:rPr>
          <w:rFonts w:ascii="宋体" w:hAnsi="宋体" w:eastAsia="宋体" w:cs="Times New Roman"/>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七、资格证明文件</w:t>
      </w:r>
    </w:p>
    <w:p w14:paraId="4F244A42">
      <w:pPr>
        <w:widowControl/>
        <w:jc w:val="left"/>
        <w:rPr>
          <w:rFonts w:ascii="宋体" w:hAnsi="宋体" w:eastAsia="宋体" w:cs="Times New Roman"/>
          <w:color w:val="000000" w:themeColor="text1"/>
          <w:kern w:val="0"/>
          <w:sz w:val="24"/>
          <w:szCs w:val="24"/>
          <w14:textFill>
            <w14:solidFill>
              <w14:schemeClr w14:val="tx1"/>
            </w14:solidFill>
          </w14:textFill>
        </w:rPr>
      </w:pPr>
    </w:p>
    <w:p w14:paraId="391F33EC">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1、满足《中华人民共和国政府采购法》第二十二条规定；</w:t>
      </w:r>
    </w:p>
    <w:p w14:paraId="0E131DFC">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2、落实政府采购政策满足的资格要求：</w:t>
      </w:r>
    </w:p>
    <w:p w14:paraId="29EBBACF">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本项目执行优先采购节能环保、环境标志性产品，促进中小企业（监狱企业、残疾人福利性企业）发展等政策。</w:t>
      </w:r>
    </w:p>
    <w:p w14:paraId="5A258B34">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3、本项目的特定资格要求</w:t>
      </w:r>
    </w:p>
    <w:p w14:paraId="3AD9C34E">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（1）供应商须具有独立承担民事责任能力的法人或其他组织，同时具有有效的营业执照、税务登记证、组织机构代码证或三证合一的营业执照；</w:t>
      </w:r>
    </w:p>
    <w:p w14:paraId="19B66292">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（2）供应商出具企业及法人代表无商业贿赂及无不正当竞争行为的承诺书；</w:t>
      </w:r>
    </w:p>
    <w:p w14:paraId="15EF7040">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（3）提供供应商企业、法定代表人无行贿犯罪记录，在中国裁判文书网查询（提供网页查询截图）或供应商自行承诺；</w:t>
      </w:r>
    </w:p>
    <w:p w14:paraId="6945C9B6">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（4）供应商出具企业三年内未受到主管部门行政处罚或通报批评承诺书。</w:t>
      </w:r>
    </w:p>
    <w:p w14:paraId="2D55745B">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5）根据《关于在政府采购活动中查询及使用信用记录有关问题的通知》(财库[2016]125号)和豫财购【2016】15号的规定，企业没有被列入“信用中国”网站的“失信被执行人”、“重大税收违法失信主体”及“中国政府采购网站”的“政府采购严重违法失信行为记录名单”的响应人。【查询渠道：“信用中国”网站（www.creditchina.gov.cn）、中国政府采购网（www.ccgp.gov.cn）】（提供“信用中国”和“中国政府采购网”网站的查询信息截图，查询时间自公告发布之日起）；查询时间：招标公告发布日之后。</w:t>
      </w:r>
    </w:p>
    <w:p w14:paraId="231CE0E5">
      <w:pPr>
        <w:widowControl/>
        <w:spacing w:line="560" w:lineRule="atLeast"/>
        <w:jc w:val="left"/>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（6）本项目不接受联合体投标。</w:t>
      </w:r>
    </w:p>
    <w:p w14:paraId="147D956C">
      <w:pPr>
        <w:pStyle w:val="2"/>
      </w:pPr>
    </w:p>
    <w:p w14:paraId="03A75E25"/>
    <w:p w14:paraId="197FE4E5">
      <w:pPr>
        <w:pStyle w:val="2"/>
      </w:pPr>
    </w:p>
    <w:p w14:paraId="6A6632EB"/>
    <w:p w14:paraId="750DC672">
      <w:pPr>
        <w:pStyle w:val="2"/>
      </w:pPr>
    </w:p>
    <w:p w14:paraId="3D68562D"/>
    <w:p w14:paraId="2690682A">
      <w:pPr>
        <w:pStyle w:val="6"/>
        <w:ind w:left="0" w:firstLine="0"/>
        <w:jc w:val="center"/>
        <w:rPr>
          <w:sz w:val="24"/>
        </w:rPr>
      </w:pPr>
      <w:r>
        <w:rPr>
          <w:rFonts w:hint="eastAsia" w:ascii="宋体" w:hAnsi="宋体"/>
          <w:color w:val="000000" w:themeColor="text1"/>
          <w:sz w:val="24"/>
          <w:szCs w:val="24"/>
          <w14:textFill>
            <w14:solidFill>
              <w14:schemeClr w14:val="tx1"/>
            </w14:solidFill>
          </w14:textFill>
        </w:rPr>
        <w:t>符合《中华人民共和国政府采购法》第二十二条规定的资格声明承诺函</w:t>
      </w:r>
    </w:p>
    <w:p w14:paraId="139F8650">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p>
    <w:p w14:paraId="49E2ED0F">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我方符合《中华人民共和国政府采购法》二十二条规定的资格条件：</w:t>
      </w:r>
    </w:p>
    <w:p w14:paraId="57C7CF4A">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1.具有独立承担民事责任的能力； </w:t>
      </w:r>
    </w:p>
    <w:p w14:paraId="78ED708E">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2.具有良好的商业信誉和健全的财务会计制度； </w:t>
      </w:r>
    </w:p>
    <w:p w14:paraId="1404C105">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3.具有履行合同所必需的设备和专业技术能力； </w:t>
      </w:r>
    </w:p>
    <w:p w14:paraId="479FD46F">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4.有依法缴纳税收和社会保障资金的良好记录； </w:t>
      </w:r>
    </w:p>
    <w:p w14:paraId="1697A5B4">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 xml:space="preserve">5.参加政府采购活动前三年内，在经营活动中没有重大违法记录； </w:t>
      </w:r>
    </w:p>
    <w:p w14:paraId="2EAFFDD2">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6.法律、行政法规规定的其他条件。</w:t>
      </w:r>
    </w:p>
    <w:p w14:paraId="0F792BD6">
      <w:pPr>
        <w:spacing w:line="560" w:lineRule="atLeast"/>
        <w:ind w:firstLine="566" w:firstLineChars="236"/>
        <w:rPr>
          <w:rFonts w:ascii="宋体" w:hAnsi="宋体" w:eastAsia="宋体" w:cs="Times New Roman"/>
          <w:color w:val="000000" w:themeColor="text1"/>
          <w:kern w:val="0"/>
          <w:sz w:val="24"/>
          <w:szCs w:val="24"/>
          <w14:textFill>
            <w14:solidFill>
              <w14:schemeClr w14:val="tx1"/>
            </w14:solidFill>
          </w14:textFill>
        </w:rPr>
      </w:pPr>
      <w:r>
        <w:rPr>
          <w:rFonts w:hint="eastAsia" w:ascii="宋体" w:hAnsi="宋体" w:eastAsia="宋体" w:cs="Times New Roman"/>
          <w:color w:val="000000" w:themeColor="text1"/>
          <w:kern w:val="0"/>
          <w:sz w:val="24"/>
          <w:szCs w:val="24"/>
          <w14:textFill>
            <w14:solidFill>
              <w14:schemeClr w14:val="tx1"/>
            </w14:solidFill>
          </w14:textFill>
        </w:rPr>
        <w:t>特此承诺！</w:t>
      </w:r>
    </w:p>
    <w:p w14:paraId="5CD988B1">
      <w:pPr>
        <w:spacing w:line="560" w:lineRule="atLeast"/>
        <w:ind w:firstLine="3400" w:firstLineChars="1417"/>
        <w:rPr>
          <w:rFonts w:ascii="宋体" w:hAnsi="宋体" w:eastAsia="宋体" w:cs="Times New Roman"/>
          <w:color w:val="000000" w:themeColor="text1"/>
          <w:kern w:val="0"/>
          <w:sz w:val="24"/>
          <w:szCs w:val="24"/>
          <w14:textFill>
            <w14:solidFill>
              <w14:schemeClr w14:val="tx1"/>
            </w14:solidFill>
          </w14:textFill>
        </w:rPr>
      </w:pPr>
    </w:p>
    <w:p w14:paraId="12067722">
      <w:pPr>
        <w:spacing w:line="560" w:lineRule="atLeast"/>
        <w:ind w:firstLine="3400" w:firstLineChars="1417"/>
        <w:rPr>
          <w:rFonts w:ascii="宋体" w:hAnsi="宋体" w:eastAsia="宋体" w:cs="Times New Roman"/>
          <w:color w:val="000000" w:themeColor="text1"/>
          <w:kern w:val="0"/>
          <w:sz w:val="24"/>
          <w:szCs w:val="24"/>
          <w14:textFill>
            <w14:solidFill>
              <w14:schemeClr w14:val="tx1"/>
            </w14:solidFill>
          </w14:textFill>
        </w:rPr>
      </w:pPr>
    </w:p>
    <w:p w14:paraId="5C05D203">
      <w:pPr>
        <w:spacing w:line="360" w:lineRule="auto"/>
        <w:ind w:firstLine="3960" w:firstLineChars="1650"/>
        <w:rPr>
          <w:rFonts w:ascii="宋体" w:hAnsi="宋体" w:eastAsia="宋体" w:cs="Times New Roman"/>
          <w:color w:val="000000"/>
          <w:sz w:val="24"/>
          <w:szCs w:val="24"/>
        </w:rPr>
      </w:pPr>
    </w:p>
    <w:p w14:paraId="08E310A8">
      <w:pPr>
        <w:spacing w:line="360" w:lineRule="auto"/>
        <w:ind w:firstLine="3960" w:firstLineChars="1650"/>
        <w:rPr>
          <w:rFonts w:ascii="宋体" w:hAnsi="宋体" w:eastAsia="宋体" w:cs="Times New Roman"/>
          <w:color w:val="000000"/>
          <w:sz w:val="24"/>
          <w:szCs w:val="24"/>
        </w:rPr>
      </w:pPr>
    </w:p>
    <w:p w14:paraId="7015EFA7">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法定代表人（电子签章）：</w:t>
      </w:r>
    </w:p>
    <w:p w14:paraId="55A75644">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投标供应商（电子签章）：</w:t>
      </w:r>
    </w:p>
    <w:p w14:paraId="57EA69D9">
      <w:pPr>
        <w:spacing w:line="360" w:lineRule="auto"/>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76916DA1">
      <w:pPr>
        <w:pStyle w:val="2"/>
        <w:rPr>
          <w:sz w:val="24"/>
        </w:rPr>
      </w:pPr>
    </w:p>
    <w:p w14:paraId="7BFC13FF">
      <w:pPr>
        <w:widowControl/>
        <w:spacing w:line="560" w:lineRule="atLeast"/>
        <w:jc w:val="center"/>
        <w:rPr>
          <w:rFonts w:ascii="宋体" w:hAnsi="宋体" w:eastAsia="宋体" w:cs="Times New Roman"/>
          <w:color w:val="000000" w:themeColor="text1"/>
          <w:kern w:val="0"/>
          <w:sz w:val="28"/>
          <w:szCs w:val="28"/>
          <w14:textFill>
            <w14:solidFill>
              <w14:schemeClr w14:val="tx1"/>
            </w14:solidFill>
          </w14:textFill>
        </w:rPr>
      </w:pPr>
    </w:p>
    <w:p w14:paraId="0458E1AB">
      <w:pPr>
        <w:widowControl/>
        <w:jc w:val="left"/>
        <w:rPr>
          <w:rFonts w:ascii="宋体" w:hAnsi="宋体" w:eastAsia="宋体" w:cs="Times New Roman"/>
          <w:b/>
          <w:bCs/>
          <w:color w:val="000000"/>
          <w:kern w:val="0"/>
          <w:sz w:val="30"/>
          <w:szCs w:val="30"/>
        </w:rPr>
      </w:pPr>
    </w:p>
    <w:p w14:paraId="5B9689D8">
      <w:pPr>
        <w:pStyle w:val="2"/>
      </w:pPr>
    </w:p>
    <w:p w14:paraId="006D96B5"/>
    <w:p w14:paraId="50E1BADD">
      <w:pPr>
        <w:pStyle w:val="2"/>
      </w:pPr>
    </w:p>
    <w:p w14:paraId="186E3C89"/>
    <w:p w14:paraId="7BC0BEDC">
      <w:pPr>
        <w:pStyle w:val="2"/>
      </w:pPr>
    </w:p>
    <w:p w14:paraId="3D7F74A6"/>
    <w:p w14:paraId="339149F6">
      <w:pPr>
        <w:pStyle w:val="2"/>
      </w:pPr>
    </w:p>
    <w:p w14:paraId="4C1F7B10"/>
    <w:p w14:paraId="07D19605"/>
    <w:p w14:paraId="0AC78C18">
      <w:pPr>
        <w:widowControl/>
        <w:spacing w:line="360" w:lineRule="auto"/>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八、投标供应商资格声明函</w:t>
      </w:r>
    </w:p>
    <w:p w14:paraId="36A696AC">
      <w:pPr>
        <w:spacing w:line="360" w:lineRule="auto"/>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u w:val="single"/>
        </w:rPr>
        <w:t>致（采购人或采购代理机构名称）</w:t>
      </w:r>
      <w:r>
        <w:rPr>
          <w:rFonts w:hint="eastAsia" w:ascii="Times New Roman" w:hAnsi="Times New Roman" w:eastAsia="宋体" w:cs="Times New Roman"/>
          <w:color w:val="000000"/>
          <w:sz w:val="24"/>
          <w:szCs w:val="24"/>
        </w:rPr>
        <w:t>：</w:t>
      </w:r>
    </w:p>
    <w:p w14:paraId="53A0BAB7">
      <w:pPr>
        <w:spacing w:line="360" w:lineRule="auto"/>
        <w:ind w:firstLine="450"/>
        <w:rPr>
          <w:rFonts w:ascii="宋体" w:hAnsi="宋体" w:eastAsia="宋体" w:cs="宋体"/>
          <w:color w:val="000000"/>
          <w:sz w:val="24"/>
          <w:szCs w:val="24"/>
        </w:rPr>
      </w:pPr>
      <w:r>
        <w:rPr>
          <w:rFonts w:hint="eastAsia" w:ascii="宋体" w:hAnsi="宋体" w:eastAsia="宋体" w:cs="宋体"/>
          <w:color w:val="000000"/>
          <w:sz w:val="24"/>
          <w:szCs w:val="24"/>
        </w:rPr>
        <w:t>关于贵方项目编号为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 xml:space="preserve">      （项目名称、包号）     </w:t>
      </w:r>
      <w:r>
        <w:rPr>
          <w:rFonts w:hint="eastAsia" w:ascii="宋体" w:hAnsi="宋体" w:eastAsia="宋体" w:cs="宋体"/>
          <w:color w:val="000000"/>
          <w:sz w:val="24"/>
          <w:szCs w:val="24"/>
        </w:rPr>
        <w:t>投标，本公司愿意参加投标，提供招标内容中规定的货物，并声明提交的下列文件是准确的和真实的。</w:t>
      </w:r>
    </w:p>
    <w:p w14:paraId="29D030E8">
      <w:pPr>
        <w:spacing w:line="360" w:lineRule="auto"/>
        <w:ind w:firstLine="480" w:firstLineChars="200"/>
        <w:rPr>
          <w:rFonts w:ascii="宋体" w:hAnsi="宋体" w:eastAsia="宋体" w:cs="宋体"/>
          <w:color w:val="000000"/>
          <w:sz w:val="24"/>
          <w:szCs w:val="24"/>
        </w:rPr>
      </w:pPr>
      <w:r>
        <w:rPr>
          <w:rFonts w:hint="eastAsia" w:ascii="宋体" w:hAnsi="宋体" w:eastAsia="宋体" w:cs="宋体"/>
          <w:bCs/>
          <w:color w:val="000000"/>
          <w:sz w:val="24"/>
          <w:szCs w:val="24"/>
        </w:rPr>
        <w:t>1.</w:t>
      </w:r>
      <w:r>
        <w:rPr>
          <w:rFonts w:hint="eastAsia" w:ascii="宋体" w:hAnsi="宋体" w:eastAsia="宋体" w:cs="宋体"/>
          <w:color w:val="000000"/>
          <w:sz w:val="24"/>
          <w:szCs w:val="24"/>
        </w:rPr>
        <w:t>投标供应商基本情况</w:t>
      </w:r>
    </w:p>
    <w:p w14:paraId="70006FB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2.投标供应商资格证明文件</w:t>
      </w:r>
    </w:p>
    <w:p w14:paraId="64E6EAC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我方在此声明，我方具备并满足《中华人民共和国政府采购法》二十二条及实施条例第十七条所规定的投标供应商的条件：</w:t>
      </w:r>
    </w:p>
    <w:p w14:paraId="5A5EB2F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（1）具有独立承担民事责任的能力；</w:t>
      </w:r>
    </w:p>
    <w:p w14:paraId="29098A24">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（2）具有良好的商业信誉和健全的财务会计制度；</w:t>
      </w:r>
    </w:p>
    <w:p w14:paraId="271A2125">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（3）具有履行合同所必需的设备和专业技术能力；</w:t>
      </w:r>
    </w:p>
    <w:p w14:paraId="5DBC0903">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（4）有依法缴纳税收和社会保障资金的良好记录；</w:t>
      </w:r>
    </w:p>
    <w:p w14:paraId="148D536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（5）参加本次政府采购活动前三年内，在经营活动中没有重大违法记录。</w:t>
      </w:r>
    </w:p>
    <w:p w14:paraId="72152E83">
      <w:pPr>
        <w:spacing w:line="360" w:lineRule="auto"/>
        <w:rPr>
          <w:rFonts w:ascii="宋体" w:hAnsi="宋体" w:eastAsia="宋体" w:cs="宋体"/>
          <w:color w:val="000000"/>
          <w:sz w:val="24"/>
          <w:szCs w:val="24"/>
        </w:rPr>
      </w:pPr>
    </w:p>
    <w:p w14:paraId="08CB2AF3">
      <w:pPr>
        <w:spacing w:line="360" w:lineRule="auto"/>
        <w:rPr>
          <w:rFonts w:ascii="宋体" w:hAnsi="宋体" w:eastAsia="宋体" w:cs="宋体"/>
          <w:color w:val="000000"/>
          <w:sz w:val="24"/>
          <w:szCs w:val="24"/>
        </w:rPr>
      </w:pPr>
    </w:p>
    <w:p w14:paraId="1238183E">
      <w:pPr>
        <w:spacing w:line="360" w:lineRule="auto"/>
        <w:rPr>
          <w:rFonts w:ascii="宋体" w:hAnsi="宋体" w:eastAsia="宋体" w:cs="Times New Roman"/>
          <w:color w:val="000000"/>
          <w:sz w:val="24"/>
          <w:szCs w:val="24"/>
        </w:rPr>
      </w:pPr>
    </w:p>
    <w:p w14:paraId="337FE2AD">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法定代表人（电子签章）：</w:t>
      </w:r>
    </w:p>
    <w:p w14:paraId="142043CC">
      <w:pPr>
        <w:spacing w:line="360" w:lineRule="auto"/>
        <w:ind w:firstLine="3960" w:firstLineChars="1650"/>
        <w:rPr>
          <w:rFonts w:ascii="宋体" w:hAnsi="宋体" w:eastAsia="宋体" w:cs="Times New Roman"/>
          <w:color w:val="000000"/>
          <w:sz w:val="24"/>
          <w:szCs w:val="24"/>
        </w:rPr>
      </w:pPr>
      <w:r>
        <w:rPr>
          <w:rFonts w:hint="eastAsia" w:ascii="宋体" w:hAnsi="宋体" w:eastAsia="宋体" w:cs="Times New Roman"/>
          <w:color w:val="000000"/>
          <w:sz w:val="24"/>
          <w:szCs w:val="24"/>
        </w:rPr>
        <w:t>投标供应商（电子签章）：</w:t>
      </w:r>
    </w:p>
    <w:p w14:paraId="357C3072">
      <w:pPr>
        <w:spacing w:line="360" w:lineRule="auto"/>
        <w:ind w:firstLine="4080" w:firstLineChars="1700"/>
        <w:rPr>
          <w:rFonts w:ascii="宋体" w:hAnsi="宋体" w:eastAsia="宋体" w:cs="Times New Roman"/>
          <w:color w:val="000000"/>
          <w:sz w:val="24"/>
          <w:szCs w:val="24"/>
        </w:rPr>
      </w:pPr>
      <w:r>
        <w:rPr>
          <w:rFonts w:hint="eastAsia" w:ascii="宋体" w:hAnsi="宋体" w:eastAsia="宋体" w:cs="Times New Roman"/>
          <w:color w:val="000000"/>
          <w:sz w:val="24"/>
          <w:szCs w:val="24"/>
        </w:rPr>
        <w:t>年  月  日</w:t>
      </w:r>
    </w:p>
    <w:p w14:paraId="4D958CBB">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7F2FE4B6">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6F39CB43">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34701E82">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437B6CE3">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42951E2C">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767CC29D">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p>
    <w:p w14:paraId="7DA7E85F">
      <w:pPr>
        <w:widowControl/>
        <w:spacing w:line="520" w:lineRule="atLeast"/>
        <w:jc w:val="center"/>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九、技术部分</w:t>
      </w:r>
    </w:p>
    <w:p w14:paraId="1E4BC826">
      <w:pPr>
        <w:widowControl/>
        <w:spacing w:line="480" w:lineRule="atLeast"/>
        <w:jc w:val="center"/>
        <w:rPr>
          <w:rFonts w:ascii="Calibri" w:hAnsi="Calibri" w:eastAsia="宋体" w:cs="Times New Roman"/>
          <w:kern w:val="0"/>
          <w:sz w:val="24"/>
          <w:szCs w:val="28"/>
        </w:rPr>
      </w:pPr>
      <w:r>
        <w:rPr>
          <w:rFonts w:hint="eastAsia" w:ascii="Calibri" w:hAnsi="Calibri" w:eastAsia="宋体" w:cs="Times New Roman"/>
          <w:kern w:val="0"/>
          <w:sz w:val="24"/>
          <w:szCs w:val="28"/>
        </w:rPr>
        <w:t>（投标供应商根据招标文件评审细则，自行编拟。）</w:t>
      </w:r>
    </w:p>
    <w:p w14:paraId="4BD13FFB">
      <w:pPr>
        <w:widowControl/>
        <w:jc w:val="left"/>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28"/>
          <w:szCs w:val="28"/>
        </w:rPr>
        <w:br w:type="page"/>
      </w:r>
    </w:p>
    <w:p w14:paraId="0DB9A16C">
      <w:pPr>
        <w:widowControl/>
        <w:spacing w:line="360" w:lineRule="auto"/>
        <w:ind w:firstLine="602" w:firstLineChars="200"/>
        <w:jc w:val="center"/>
        <w:rPr>
          <w:rFonts w:ascii="宋体" w:hAnsi="宋体" w:eastAsia="宋体" w:cs="Times New Roman"/>
          <w:b/>
          <w:bCs/>
          <w:color w:val="000000"/>
          <w:kern w:val="0"/>
          <w:sz w:val="30"/>
          <w:szCs w:val="30"/>
        </w:rPr>
      </w:pPr>
      <w:bookmarkStart w:id="21" w:name="_Toc27377"/>
      <w:r>
        <w:rPr>
          <w:rFonts w:hint="eastAsia" w:ascii="宋体" w:hAnsi="宋体" w:eastAsia="宋体" w:cs="Times New Roman"/>
          <w:b/>
          <w:bCs/>
          <w:color w:val="000000"/>
          <w:kern w:val="0"/>
          <w:sz w:val="30"/>
          <w:szCs w:val="30"/>
        </w:rPr>
        <w:t>十、商务部分</w:t>
      </w:r>
    </w:p>
    <w:p w14:paraId="44BD62A4">
      <w:pPr>
        <w:widowControl/>
        <w:spacing w:line="360" w:lineRule="auto"/>
        <w:ind w:firstLine="480" w:firstLineChars="200"/>
        <w:jc w:val="center"/>
        <w:rPr>
          <w:rFonts w:ascii="宋体" w:hAnsi="宋体" w:eastAsia="宋体" w:cs="Times New Roman"/>
          <w:b/>
          <w:bCs/>
          <w:color w:val="000000"/>
          <w:kern w:val="0"/>
          <w:sz w:val="30"/>
          <w:szCs w:val="30"/>
        </w:rPr>
      </w:pPr>
      <w:r>
        <w:rPr>
          <w:rFonts w:hint="eastAsia" w:ascii="Calibri" w:hAnsi="Calibri" w:eastAsia="宋体" w:cs="Times New Roman"/>
          <w:kern w:val="0"/>
          <w:sz w:val="24"/>
          <w:szCs w:val="28"/>
        </w:rPr>
        <w:t>（投标供应商根据招标文件评审细则，自行编拟。）</w:t>
      </w:r>
    </w:p>
    <w:p w14:paraId="29A44B1F">
      <w:pPr>
        <w:widowControl/>
        <w:spacing w:line="360" w:lineRule="auto"/>
        <w:ind w:firstLine="602" w:firstLineChars="200"/>
        <w:jc w:val="center"/>
        <w:rPr>
          <w:rFonts w:ascii="宋体" w:hAnsi="宋体" w:eastAsia="宋体" w:cs="Times New Roman"/>
          <w:b/>
          <w:bCs/>
          <w:color w:val="000000"/>
          <w:kern w:val="0"/>
          <w:sz w:val="30"/>
          <w:szCs w:val="30"/>
        </w:rPr>
      </w:pPr>
    </w:p>
    <w:p w14:paraId="7B500927">
      <w:pPr>
        <w:widowControl/>
        <w:spacing w:line="360" w:lineRule="auto"/>
        <w:ind w:firstLine="602" w:firstLineChars="200"/>
        <w:jc w:val="center"/>
        <w:rPr>
          <w:rFonts w:ascii="宋体" w:hAnsi="宋体" w:eastAsia="宋体" w:cs="Times New Roman"/>
          <w:b/>
          <w:bCs/>
          <w:color w:val="000000"/>
          <w:kern w:val="0"/>
          <w:sz w:val="30"/>
          <w:szCs w:val="30"/>
        </w:rPr>
      </w:pPr>
    </w:p>
    <w:p w14:paraId="099CE61C">
      <w:pPr>
        <w:widowControl/>
        <w:spacing w:line="360" w:lineRule="auto"/>
        <w:ind w:firstLine="602" w:firstLineChars="200"/>
        <w:jc w:val="center"/>
        <w:rPr>
          <w:rFonts w:ascii="宋体" w:hAnsi="宋体" w:eastAsia="宋体" w:cs="Times New Roman"/>
          <w:b/>
          <w:bCs/>
          <w:color w:val="000000"/>
          <w:kern w:val="0"/>
          <w:sz w:val="30"/>
          <w:szCs w:val="30"/>
        </w:rPr>
      </w:pPr>
    </w:p>
    <w:p w14:paraId="0D856082">
      <w:pPr>
        <w:widowControl/>
        <w:spacing w:line="360" w:lineRule="auto"/>
        <w:ind w:firstLine="602" w:firstLineChars="200"/>
        <w:jc w:val="center"/>
        <w:rPr>
          <w:rFonts w:ascii="宋体" w:hAnsi="宋体" w:eastAsia="宋体" w:cs="Times New Roman"/>
          <w:b/>
          <w:bCs/>
          <w:color w:val="000000"/>
          <w:kern w:val="0"/>
          <w:sz w:val="30"/>
          <w:szCs w:val="30"/>
        </w:rPr>
      </w:pPr>
    </w:p>
    <w:p w14:paraId="45E85778">
      <w:pPr>
        <w:widowControl/>
        <w:spacing w:line="360" w:lineRule="auto"/>
        <w:ind w:firstLine="602" w:firstLineChars="200"/>
        <w:jc w:val="center"/>
        <w:rPr>
          <w:rFonts w:ascii="宋体" w:hAnsi="宋体" w:eastAsia="宋体" w:cs="Times New Roman"/>
          <w:b/>
          <w:bCs/>
          <w:color w:val="000000"/>
          <w:kern w:val="0"/>
          <w:sz w:val="30"/>
          <w:szCs w:val="30"/>
        </w:rPr>
      </w:pPr>
    </w:p>
    <w:p w14:paraId="1EF61241">
      <w:pPr>
        <w:widowControl/>
        <w:spacing w:line="360" w:lineRule="auto"/>
        <w:ind w:firstLine="602" w:firstLineChars="200"/>
        <w:jc w:val="center"/>
        <w:rPr>
          <w:rFonts w:ascii="宋体" w:hAnsi="宋体" w:eastAsia="宋体" w:cs="Times New Roman"/>
          <w:b/>
          <w:bCs/>
          <w:color w:val="000000"/>
          <w:kern w:val="0"/>
          <w:sz w:val="30"/>
          <w:szCs w:val="30"/>
        </w:rPr>
      </w:pPr>
    </w:p>
    <w:p w14:paraId="06921A39">
      <w:pPr>
        <w:widowControl/>
        <w:spacing w:line="360" w:lineRule="auto"/>
        <w:ind w:firstLine="602" w:firstLineChars="200"/>
        <w:jc w:val="center"/>
        <w:rPr>
          <w:rFonts w:ascii="宋体" w:hAnsi="宋体" w:eastAsia="宋体" w:cs="Times New Roman"/>
          <w:b/>
          <w:bCs/>
          <w:color w:val="000000"/>
          <w:kern w:val="0"/>
          <w:sz w:val="30"/>
          <w:szCs w:val="30"/>
        </w:rPr>
      </w:pPr>
    </w:p>
    <w:p w14:paraId="5284E188">
      <w:pPr>
        <w:widowControl/>
        <w:spacing w:line="360" w:lineRule="auto"/>
        <w:ind w:firstLine="602" w:firstLineChars="200"/>
        <w:jc w:val="center"/>
        <w:rPr>
          <w:rFonts w:ascii="宋体" w:hAnsi="宋体" w:eastAsia="宋体" w:cs="Times New Roman"/>
          <w:b/>
          <w:bCs/>
          <w:color w:val="000000"/>
          <w:kern w:val="0"/>
          <w:sz w:val="30"/>
          <w:szCs w:val="30"/>
        </w:rPr>
      </w:pPr>
    </w:p>
    <w:p w14:paraId="3DBFAF68">
      <w:pPr>
        <w:widowControl/>
        <w:spacing w:line="360" w:lineRule="auto"/>
        <w:ind w:firstLine="602" w:firstLineChars="200"/>
        <w:jc w:val="center"/>
        <w:rPr>
          <w:rFonts w:ascii="宋体" w:hAnsi="宋体" w:eastAsia="宋体" w:cs="Times New Roman"/>
          <w:b/>
          <w:bCs/>
          <w:color w:val="000000"/>
          <w:kern w:val="0"/>
          <w:sz w:val="30"/>
          <w:szCs w:val="30"/>
        </w:rPr>
      </w:pPr>
    </w:p>
    <w:p w14:paraId="42C5FFD5">
      <w:pPr>
        <w:widowControl/>
        <w:spacing w:line="360" w:lineRule="auto"/>
        <w:ind w:firstLine="602" w:firstLineChars="200"/>
        <w:jc w:val="center"/>
        <w:rPr>
          <w:rFonts w:ascii="宋体" w:hAnsi="宋体" w:eastAsia="宋体" w:cs="Times New Roman"/>
          <w:b/>
          <w:bCs/>
          <w:color w:val="000000"/>
          <w:kern w:val="0"/>
          <w:sz w:val="30"/>
          <w:szCs w:val="30"/>
        </w:rPr>
      </w:pPr>
    </w:p>
    <w:p w14:paraId="4CC14494">
      <w:pPr>
        <w:widowControl/>
        <w:spacing w:line="360" w:lineRule="auto"/>
        <w:ind w:firstLine="602" w:firstLineChars="200"/>
        <w:jc w:val="center"/>
        <w:rPr>
          <w:rFonts w:ascii="宋体" w:hAnsi="宋体" w:eastAsia="宋体" w:cs="Times New Roman"/>
          <w:b/>
          <w:bCs/>
          <w:color w:val="000000"/>
          <w:kern w:val="0"/>
          <w:sz w:val="30"/>
          <w:szCs w:val="30"/>
        </w:rPr>
      </w:pPr>
    </w:p>
    <w:p w14:paraId="3ED3C389">
      <w:pPr>
        <w:widowControl/>
        <w:spacing w:line="360" w:lineRule="auto"/>
        <w:ind w:firstLine="602" w:firstLineChars="200"/>
        <w:jc w:val="center"/>
        <w:rPr>
          <w:rFonts w:ascii="宋体" w:hAnsi="宋体" w:eastAsia="宋体" w:cs="Times New Roman"/>
          <w:b/>
          <w:bCs/>
          <w:color w:val="000000"/>
          <w:kern w:val="0"/>
          <w:sz w:val="30"/>
          <w:szCs w:val="30"/>
        </w:rPr>
      </w:pPr>
    </w:p>
    <w:p w14:paraId="66F84332">
      <w:pPr>
        <w:widowControl/>
        <w:spacing w:line="360" w:lineRule="auto"/>
        <w:ind w:firstLine="602" w:firstLineChars="200"/>
        <w:jc w:val="center"/>
        <w:rPr>
          <w:rFonts w:ascii="宋体" w:hAnsi="宋体" w:eastAsia="宋体" w:cs="Times New Roman"/>
          <w:b/>
          <w:bCs/>
          <w:color w:val="000000"/>
          <w:kern w:val="0"/>
          <w:sz w:val="30"/>
          <w:szCs w:val="30"/>
        </w:rPr>
      </w:pPr>
    </w:p>
    <w:p w14:paraId="7AAB513D">
      <w:pPr>
        <w:widowControl/>
        <w:spacing w:line="360" w:lineRule="auto"/>
        <w:ind w:firstLine="602" w:firstLineChars="200"/>
        <w:jc w:val="center"/>
        <w:rPr>
          <w:rFonts w:ascii="宋体" w:hAnsi="宋体" w:eastAsia="宋体" w:cs="Times New Roman"/>
          <w:b/>
          <w:bCs/>
          <w:color w:val="000000"/>
          <w:kern w:val="0"/>
          <w:sz w:val="30"/>
          <w:szCs w:val="30"/>
        </w:rPr>
      </w:pPr>
    </w:p>
    <w:p w14:paraId="4C18D547">
      <w:pPr>
        <w:widowControl/>
        <w:spacing w:line="360" w:lineRule="auto"/>
        <w:ind w:firstLine="602" w:firstLineChars="200"/>
        <w:jc w:val="center"/>
        <w:rPr>
          <w:rFonts w:ascii="宋体" w:hAnsi="宋体" w:eastAsia="宋体" w:cs="Times New Roman"/>
          <w:b/>
          <w:bCs/>
          <w:color w:val="000000"/>
          <w:kern w:val="0"/>
          <w:sz w:val="30"/>
          <w:szCs w:val="30"/>
        </w:rPr>
      </w:pPr>
    </w:p>
    <w:p w14:paraId="18E45E96">
      <w:pPr>
        <w:widowControl/>
        <w:spacing w:line="360" w:lineRule="auto"/>
        <w:ind w:firstLine="602" w:firstLineChars="200"/>
        <w:jc w:val="center"/>
        <w:rPr>
          <w:rFonts w:ascii="宋体" w:hAnsi="宋体" w:eastAsia="宋体" w:cs="Times New Roman"/>
          <w:b/>
          <w:bCs/>
          <w:color w:val="000000"/>
          <w:kern w:val="0"/>
          <w:sz w:val="30"/>
          <w:szCs w:val="30"/>
        </w:rPr>
      </w:pPr>
    </w:p>
    <w:p w14:paraId="612FC3D1">
      <w:pPr>
        <w:widowControl/>
        <w:spacing w:line="360" w:lineRule="auto"/>
        <w:ind w:firstLine="602" w:firstLineChars="200"/>
        <w:jc w:val="center"/>
        <w:rPr>
          <w:rFonts w:ascii="宋体" w:hAnsi="宋体" w:eastAsia="宋体" w:cs="Times New Roman"/>
          <w:b/>
          <w:bCs/>
          <w:color w:val="000000"/>
          <w:kern w:val="0"/>
          <w:sz w:val="30"/>
          <w:szCs w:val="30"/>
        </w:rPr>
      </w:pPr>
    </w:p>
    <w:p w14:paraId="48DE5807">
      <w:pPr>
        <w:widowControl/>
        <w:spacing w:line="360" w:lineRule="auto"/>
        <w:ind w:firstLine="602" w:firstLineChars="200"/>
        <w:jc w:val="center"/>
        <w:rPr>
          <w:rFonts w:ascii="宋体" w:hAnsi="宋体" w:eastAsia="宋体" w:cs="Times New Roman"/>
          <w:b/>
          <w:bCs/>
          <w:color w:val="000000"/>
          <w:kern w:val="0"/>
          <w:sz w:val="30"/>
          <w:szCs w:val="30"/>
        </w:rPr>
      </w:pPr>
    </w:p>
    <w:p w14:paraId="7F024882">
      <w:pPr>
        <w:widowControl/>
        <w:spacing w:line="360" w:lineRule="auto"/>
        <w:ind w:firstLine="602" w:firstLineChars="200"/>
        <w:jc w:val="center"/>
        <w:rPr>
          <w:rFonts w:ascii="宋体" w:hAnsi="宋体" w:eastAsia="宋体" w:cs="Times New Roman"/>
          <w:b/>
          <w:bCs/>
          <w:color w:val="000000"/>
          <w:kern w:val="0"/>
          <w:sz w:val="30"/>
          <w:szCs w:val="30"/>
        </w:rPr>
      </w:pPr>
    </w:p>
    <w:p w14:paraId="7FC35F86">
      <w:pPr>
        <w:widowControl/>
        <w:spacing w:line="360" w:lineRule="auto"/>
        <w:ind w:firstLine="602" w:firstLineChars="200"/>
        <w:jc w:val="center"/>
        <w:rPr>
          <w:rFonts w:ascii="宋体" w:hAnsi="宋体" w:eastAsia="宋体" w:cs="Times New Roman"/>
          <w:b/>
          <w:bCs/>
          <w:color w:val="000000"/>
          <w:kern w:val="0"/>
          <w:sz w:val="30"/>
          <w:szCs w:val="30"/>
        </w:rPr>
      </w:pPr>
    </w:p>
    <w:p w14:paraId="0700AC7C">
      <w:pPr>
        <w:widowControl/>
        <w:spacing w:line="360" w:lineRule="auto"/>
        <w:ind w:firstLine="602" w:firstLineChars="200"/>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十一、政府采购政策</w:t>
      </w:r>
    </w:p>
    <w:p w14:paraId="4F229AFE">
      <w:pPr>
        <w:widowControl/>
        <w:spacing w:line="360" w:lineRule="auto"/>
        <w:ind w:left="420" w:leftChars="200"/>
        <w:jc w:val="center"/>
        <w:rPr>
          <w:rFonts w:ascii="宋体" w:hAnsi="宋体" w:eastAsia="宋体" w:cs="Times New Roman"/>
          <w:b/>
          <w:bCs/>
          <w:color w:val="000000"/>
          <w:kern w:val="0"/>
          <w:sz w:val="30"/>
          <w:szCs w:val="30"/>
        </w:rPr>
      </w:pPr>
      <w:r>
        <w:rPr>
          <w:rFonts w:hint="eastAsia" w:ascii="宋体" w:hAnsi="宋体" w:eastAsia="宋体" w:cs="Times New Roman"/>
          <w:b/>
          <w:bCs/>
          <w:color w:val="000000"/>
          <w:kern w:val="0"/>
          <w:sz w:val="30"/>
          <w:szCs w:val="30"/>
        </w:rPr>
        <w:t>（1）中小企业声明函（如有）</w:t>
      </w:r>
      <w:bookmarkEnd w:id="21"/>
    </w:p>
    <w:p w14:paraId="04D9FF14">
      <w:pPr>
        <w:widowControl/>
        <w:spacing w:line="360" w:lineRule="auto"/>
        <w:rPr>
          <w:rFonts w:ascii="宋体" w:hAnsi="宋体" w:eastAsia="宋体" w:cs="宋体"/>
          <w:b/>
          <w:color w:val="000000"/>
          <w:kern w:val="0"/>
          <w:sz w:val="28"/>
          <w:szCs w:val="28"/>
          <w:lang w:bidi="ar"/>
        </w:rPr>
      </w:pPr>
    </w:p>
    <w:p w14:paraId="5BCF0AC5">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本公司（联合体）郑重声明，根据《政府采购促进中小企业发展管理办法》（财库﹝2020﹞46 号）的规定，本公司 （联合体）参加</w:t>
      </w:r>
      <w:r>
        <w:rPr>
          <w:rFonts w:hint="eastAsia" w:ascii="宋体" w:hAnsi="宋体" w:eastAsia="宋体" w:cs="宋体"/>
          <w:color w:val="000000"/>
          <w:kern w:val="0"/>
          <w:szCs w:val="21"/>
          <w:u w:val="single"/>
          <w:lang w:bidi="ar"/>
        </w:rPr>
        <w:t>（单位名称）</w:t>
      </w:r>
      <w:r>
        <w:rPr>
          <w:rFonts w:hint="eastAsia" w:ascii="宋体" w:hAnsi="宋体" w:eastAsia="宋体" w:cs="宋体"/>
          <w:color w:val="000000"/>
          <w:kern w:val="0"/>
          <w:szCs w:val="21"/>
          <w:lang w:bidi="ar"/>
        </w:rPr>
        <w:t>的</w:t>
      </w:r>
      <w:r>
        <w:rPr>
          <w:rFonts w:hint="eastAsia" w:ascii="宋体" w:hAnsi="宋体" w:eastAsia="宋体" w:cs="宋体"/>
          <w:color w:val="000000"/>
          <w:kern w:val="0"/>
          <w:szCs w:val="21"/>
          <w:u w:val="single"/>
          <w:lang w:bidi="ar"/>
        </w:rPr>
        <w:t>（项目名称）</w:t>
      </w:r>
      <w:r>
        <w:rPr>
          <w:rFonts w:hint="eastAsia" w:ascii="宋体" w:hAnsi="宋体" w:eastAsia="宋体" w:cs="宋体"/>
          <w:color w:val="000000"/>
          <w:kern w:val="0"/>
          <w:szCs w:val="21"/>
          <w:lang w:bidi="ar"/>
        </w:rPr>
        <w:t xml:space="preserve">采购活动，提供的货物全部由符合政策要求的中小企业制造。相关企业（含联合体中的中小企业、签订分包意向协议的中小企业） </w:t>
      </w:r>
    </w:p>
    <w:p w14:paraId="247BE64D">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的具体情况如下： </w:t>
      </w:r>
    </w:p>
    <w:p w14:paraId="43D7387C">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1. </w:t>
      </w:r>
      <w:r>
        <w:rPr>
          <w:rFonts w:hint="eastAsia" w:ascii="宋体" w:hAnsi="宋体" w:eastAsia="宋体" w:cs="宋体"/>
          <w:color w:val="000000"/>
          <w:kern w:val="0"/>
          <w:szCs w:val="21"/>
          <w:u w:val="single"/>
          <w:lang w:bidi="ar"/>
        </w:rPr>
        <w:t xml:space="preserve">（标的名称） </w:t>
      </w:r>
      <w:r>
        <w:rPr>
          <w:rFonts w:hint="eastAsia" w:ascii="宋体" w:hAnsi="宋体" w:eastAsia="宋体" w:cs="宋体"/>
          <w:color w:val="000000"/>
          <w:kern w:val="0"/>
          <w:szCs w:val="21"/>
          <w:lang w:bidi="ar"/>
        </w:rPr>
        <w:t>，属于</w:t>
      </w:r>
      <w:r>
        <w:rPr>
          <w:rFonts w:hint="eastAsia" w:ascii="宋体" w:hAnsi="宋体" w:eastAsia="宋体" w:cs="宋体"/>
          <w:color w:val="000000"/>
          <w:kern w:val="0"/>
          <w:szCs w:val="21"/>
          <w:u w:val="single"/>
          <w:lang w:bidi="ar"/>
        </w:rPr>
        <w:t xml:space="preserve">（采购文件中明确的所属行业） </w:t>
      </w:r>
      <w:r>
        <w:rPr>
          <w:rFonts w:hint="eastAsia" w:ascii="宋体" w:hAnsi="宋体" w:eastAsia="宋体" w:cs="宋体"/>
          <w:color w:val="000000"/>
          <w:kern w:val="0"/>
          <w:szCs w:val="21"/>
          <w:lang w:bidi="ar"/>
        </w:rPr>
        <w:t>行业；制造商为</w:t>
      </w:r>
      <w:r>
        <w:rPr>
          <w:rFonts w:hint="eastAsia" w:ascii="宋体" w:hAnsi="宋体" w:eastAsia="宋体" w:cs="宋体"/>
          <w:color w:val="000000"/>
          <w:kern w:val="0"/>
          <w:szCs w:val="21"/>
          <w:u w:val="single"/>
          <w:lang w:bidi="ar"/>
        </w:rPr>
        <w:t>（企业名称）</w:t>
      </w:r>
      <w:r>
        <w:rPr>
          <w:rFonts w:hint="eastAsia" w:ascii="宋体" w:hAnsi="宋体" w:eastAsia="宋体" w:cs="宋体"/>
          <w:color w:val="000000"/>
          <w:kern w:val="0"/>
          <w:szCs w:val="21"/>
          <w:lang w:bidi="ar"/>
        </w:rPr>
        <w:t>，从业人员</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人，营业收入为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万元，资产总额为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万元①，属于</w:t>
      </w:r>
      <w:r>
        <w:rPr>
          <w:rFonts w:hint="eastAsia" w:ascii="宋体" w:hAnsi="宋体" w:eastAsia="宋体" w:cs="宋体"/>
          <w:color w:val="000000"/>
          <w:kern w:val="0"/>
          <w:szCs w:val="21"/>
          <w:u w:val="single"/>
          <w:lang w:bidi="ar"/>
        </w:rPr>
        <w:t>（中型企业、小 型企业、微型企业）</w:t>
      </w:r>
      <w:r>
        <w:rPr>
          <w:rFonts w:hint="eastAsia" w:ascii="宋体" w:hAnsi="宋体" w:eastAsia="宋体" w:cs="宋体"/>
          <w:color w:val="000000"/>
          <w:kern w:val="0"/>
          <w:szCs w:val="21"/>
          <w:lang w:bidi="ar"/>
        </w:rPr>
        <w:t xml:space="preserve">； </w:t>
      </w:r>
    </w:p>
    <w:p w14:paraId="5320B6B8">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2. </w:t>
      </w:r>
      <w:r>
        <w:rPr>
          <w:rFonts w:hint="eastAsia" w:ascii="宋体" w:hAnsi="宋体" w:eastAsia="宋体" w:cs="宋体"/>
          <w:color w:val="000000"/>
          <w:kern w:val="0"/>
          <w:szCs w:val="21"/>
          <w:u w:val="single"/>
          <w:lang w:bidi="ar"/>
        </w:rPr>
        <w:t xml:space="preserve">（标的名称） </w:t>
      </w:r>
      <w:r>
        <w:rPr>
          <w:rFonts w:hint="eastAsia" w:ascii="宋体" w:hAnsi="宋体" w:eastAsia="宋体" w:cs="宋体"/>
          <w:color w:val="000000"/>
          <w:kern w:val="0"/>
          <w:szCs w:val="21"/>
          <w:lang w:bidi="ar"/>
        </w:rPr>
        <w:t>，属于</w:t>
      </w:r>
      <w:r>
        <w:rPr>
          <w:rFonts w:hint="eastAsia" w:ascii="宋体" w:hAnsi="宋体" w:eastAsia="宋体" w:cs="宋体"/>
          <w:color w:val="000000"/>
          <w:kern w:val="0"/>
          <w:szCs w:val="21"/>
          <w:u w:val="single"/>
          <w:lang w:bidi="ar"/>
        </w:rPr>
        <w:t>（采购文件中明确的所属行业）</w:t>
      </w:r>
      <w:r>
        <w:rPr>
          <w:rFonts w:hint="eastAsia" w:ascii="宋体" w:hAnsi="宋体" w:eastAsia="宋体" w:cs="宋体"/>
          <w:color w:val="000000"/>
          <w:kern w:val="0"/>
          <w:szCs w:val="21"/>
          <w:lang w:bidi="ar"/>
        </w:rPr>
        <w:t>行业；制造商为</w:t>
      </w:r>
      <w:r>
        <w:rPr>
          <w:rFonts w:hint="eastAsia" w:ascii="宋体" w:hAnsi="宋体" w:eastAsia="宋体" w:cs="宋体"/>
          <w:color w:val="000000"/>
          <w:kern w:val="0"/>
          <w:szCs w:val="21"/>
          <w:u w:val="single"/>
          <w:lang w:bidi="ar"/>
        </w:rPr>
        <w:t>（企业名称），</w:t>
      </w:r>
      <w:r>
        <w:rPr>
          <w:rFonts w:hint="eastAsia" w:ascii="宋体" w:hAnsi="宋体" w:eastAsia="宋体" w:cs="宋体"/>
          <w:color w:val="000000"/>
          <w:kern w:val="0"/>
          <w:szCs w:val="21"/>
          <w:lang w:bidi="ar"/>
        </w:rPr>
        <w:t>从业人员</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人，营业收入为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万元，资产总额为</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lang w:bidi="ar"/>
        </w:rPr>
        <w:t>万元，属于</w:t>
      </w:r>
      <w:r>
        <w:rPr>
          <w:rFonts w:hint="eastAsia" w:ascii="宋体" w:hAnsi="宋体" w:eastAsia="宋体" w:cs="宋体"/>
          <w:color w:val="000000"/>
          <w:kern w:val="0"/>
          <w:szCs w:val="21"/>
          <w:u w:val="single"/>
          <w:lang w:bidi="ar"/>
        </w:rPr>
        <w:t>（中型企业、小型企业、微型企业）</w:t>
      </w:r>
      <w:r>
        <w:rPr>
          <w:rFonts w:hint="eastAsia" w:ascii="宋体" w:hAnsi="宋体" w:eastAsia="宋体" w:cs="宋体"/>
          <w:color w:val="000000"/>
          <w:kern w:val="0"/>
          <w:szCs w:val="21"/>
          <w:lang w:bidi="ar"/>
        </w:rPr>
        <w:t xml:space="preserve">； </w:t>
      </w:r>
    </w:p>
    <w:p w14:paraId="08D766EF">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w:t>
      </w:r>
    </w:p>
    <w:p w14:paraId="100399CD">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以上企业，不属于大企业的分支机构，不存在控股股东为大企业的情形，也不存在与大企业的负责人为同一人的情形。</w:t>
      </w:r>
    </w:p>
    <w:p w14:paraId="5532E4AF">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本企业对上述声明内容的真实性负责。如有虚假，将依法承担相应责任。 </w:t>
      </w:r>
    </w:p>
    <w:p w14:paraId="58DB64D9">
      <w:pPr>
        <w:widowControl/>
        <w:spacing w:line="360" w:lineRule="auto"/>
        <w:jc w:val="left"/>
        <w:rPr>
          <w:rFonts w:ascii="宋体" w:hAnsi="宋体" w:eastAsia="宋体" w:cs="宋体"/>
          <w:color w:val="000000"/>
          <w:kern w:val="0"/>
          <w:szCs w:val="21"/>
          <w:lang w:bidi="ar"/>
        </w:rPr>
      </w:pPr>
    </w:p>
    <w:p w14:paraId="61EC74C8">
      <w:pPr>
        <w:widowControl/>
        <w:spacing w:line="360" w:lineRule="auto"/>
        <w:jc w:val="left"/>
        <w:rPr>
          <w:rFonts w:ascii="宋体" w:hAnsi="宋体" w:eastAsia="宋体" w:cs="宋体"/>
          <w:color w:val="000000"/>
          <w:kern w:val="0"/>
          <w:szCs w:val="21"/>
          <w:lang w:bidi="ar"/>
        </w:rPr>
      </w:pPr>
    </w:p>
    <w:p w14:paraId="368724E2">
      <w:pPr>
        <w:widowControl/>
        <w:spacing w:line="360" w:lineRule="auto"/>
        <w:ind w:firstLine="5460" w:firstLineChars="26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企业名称（盖章）： </w:t>
      </w:r>
    </w:p>
    <w:p w14:paraId="1A058DD2">
      <w:pPr>
        <w:widowControl/>
        <w:spacing w:line="360" w:lineRule="auto"/>
        <w:ind w:firstLine="5460" w:firstLineChars="26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 xml:space="preserve">日 期： </w:t>
      </w:r>
    </w:p>
    <w:p w14:paraId="443C432D">
      <w:pPr>
        <w:widowControl/>
        <w:spacing w:line="360" w:lineRule="auto"/>
        <w:jc w:val="left"/>
        <w:rPr>
          <w:rFonts w:ascii="宋体" w:hAnsi="宋体" w:eastAsia="宋体" w:cs="宋体"/>
          <w:b/>
          <w:bCs/>
          <w:color w:val="000000"/>
          <w:kern w:val="0"/>
          <w:szCs w:val="21"/>
          <w:lang w:bidi="ar"/>
        </w:rPr>
      </w:pPr>
      <w:r>
        <w:rPr>
          <w:rFonts w:hint="eastAsia" w:ascii="宋体" w:hAnsi="宋体" w:eastAsia="宋体" w:cs="宋体"/>
          <w:b/>
          <w:bCs/>
          <w:color w:val="000000"/>
          <w:kern w:val="0"/>
          <w:szCs w:val="21"/>
          <w:lang w:bidi="ar"/>
        </w:rPr>
        <w:t>（属于中小微企业的填写，不属于的无需填写此项内容）</w:t>
      </w:r>
    </w:p>
    <w:p w14:paraId="582959F8">
      <w:pPr>
        <w:widowControl/>
        <w:spacing w:line="360" w:lineRule="auto"/>
        <w:jc w:val="left"/>
        <w:rPr>
          <w:rFonts w:ascii="宋体" w:hAnsi="宋体" w:eastAsia="宋体" w:cs="宋体"/>
          <w:color w:val="000000"/>
          <w:kern w:val="0"/>
          <w:szCs w:val="21"/>
          <w:lang w:bidi="ar"/>
        </w:rPr>
      </w:pPr>
      <w:r>
        <w:rPr>
          <w:rFonts w:hint="eastAsia" w:ascii="宋体" w:hAnsi="宋体" w:eastAsia="宋体" w:cs="宋体"/>
          <w:b/>
          <w:bCs/>
          <w:color w:val="000000"/>
          <w:kern w:val="0"/>
          <w:szCs w:val="21"/>
          <w:lang w:bidi="ar"/>
        </w:rPr>
        <w:t>注：</w:t>
      </w:r>
      <w:r>
        <w:rPr>
          <w:rFonts w:hint="eastAsia" w:ascii="宋体" w:hAnsi="宋体" w:eastAsia="宋体" w:cs="宋体"/>
          <w:color w:val="000000"/>
          <w:kern w:val="0"/>
          <w:szCs w:val="21"/>
          <w:lang w:bidi="ar"/>
        </w:rPr>
        <w:t>①从业人员、营业收入、资产总额填报上一年度数据，无上一年度数据的新成立企业可不填报。</w:t>
      </w:r>
    </w:p>
    <w:p w14:paraId="1A90D009">
      <w:pPr>
        <w:widowControl/>
        <w:spacing w:line="360" w:lineRule="auto"/>
        <w:ind w:firstLine="420" w:firstLineChars="200"/>
        <w:jc w:val="left"/>
        <w:rPr>
          <w:rFonts w:ascii="宋体" w:hAnsi="宋体" w:eastAsia="宋体" w:cs="宋体"/>
          <w:color w:val="000000"/>
          <w:kern w:val="0"/>
          <w:szCs w:val="21"/>
          <w:lang w:bidi="ar"/>
        </w:rPr>
      </w:pPr>
      <w:r>
        <w:rPr>
          <w:rFonts w:hint="eastAsia" w:ascii="Times New Roman" w:hAnsi="Times New Roman" w:eastAsia="宋体" w:cs="Times New Roman"/>
          <w:color w:val="000000"/>
          <w:szCs w:val="21"/>
        </w:rPr>
        <w:t>②</w:t>
      </w:r>
      <w:r>
        <w:rPr>
          <w:rFonts w:hint="eastAsia" w:ascii="宋体" w:hAnsi="宋体" w:eastAsia="宋体" w:cs="宋体"/>
          <w:color w:val="000000"/>
          <w:kern w:val="0"/>
          <w:szCs w:val="21"/>
          <w:lang w:bidi="ar"/>
        </w:rPr>
        <w:t>供应商提供的货物既有中小企业制造货物，也有大型企业制造货物的，不享受《政府采购促进中小企业发展管理办法》规定的中小企业扶持政策。</w:t>
      </w:r>
    </w:p>
    <w:p w14:paraId="2113011F">
      <w:pPr>
        <w:widowControl/>
        <w:spacing w:line="360" w:lineRule="auto"/>
        <w:ind w:firstLine="420" w:firstLineChars="200"/>
        <w:jc w:val="left"/>
        <w:rPr>
          <w:rFonts w:ascii="宋体" w:hAnsi="宋体" w:eastAsia="宋体" w:cs="宋体"/>
          <w:color w:val="000000"/>
          <w:kern w:val="0"/>
          <w:szCs w:val="21"/>
          <w:lang w:bidi="ar"/>
        </w:rPr>
      </w:pPr>
      <w:r>
        <w:rPr>
          <w:rFonts w:hint="eastAsia" w:ascii="Times New Roman" w:hAnsi="Times New Roman" w:eastAsia="宋体" w:cs="Times New Roman"/>
          <w:color w:val="000000"/>
          <w:szCs w:val="21"/>
        </w:rPr>
        <w:t>③</w:t>
      </w:r>
      <w:r>
        <w:rPr>
          <w:rFonts w:hint="eastAsia" w:ascii="宋体" w:hAnsi="宋体" w:eastAsia="宋体" w:cs="宋体"/>
          <w:color w:val="000000"/>
          <w:kern w:val="0"/>
          <w:szCs w:val="21"/>
          <w:lang w:bidi="ar"/>
        </w:rPr>
        <w:t xml:space="preserve">以联合体形式参加政府采购活动，联合体各方均为中小企业的，联合体视同中小企业。其中，联合体各方均为小微企业的，联合体视同小微企业。 </w:t>
      </w:r>
    </w:p>
    <w:p w14:paraId="0DB960A6">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④在政府采购活动中，供应商提供的所有货物由小微企业制造，即货物由小微企业生产且使用该小微企业商号或者注册商标的，才能享受《政府采购促进中小企业发展管理办法》规定的价格扣减。</w:t>
      </w:r>
    </w:p>
    <w:p w14:paraId="090ABEBB">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⑤中小企业声明函格式应严格按照招标文件提供的格式填写。非单一产品采购的，设备制造商不止一家时，中小企业声明函中须列出所有的设备及制造商，罗列不全的中小企业声明函不予认可。</w:t>
      </w:r>
    </w:p>
    <w:p w14:paraId="522D890D">
      <w:pPr>
        <w:widowControl/>
        <w:spacing w:line="360" w:lineRule="auto"/>
        <w:ind w:firstLine="420" w:firstLineChars="200"/>
        <w:jc w:val="left"/>
        <w:rPr>
          <w:rFonts w:ascii="宋体" w:hAnsi="宋体" w:eastAsia="宋体" w:cs="宋体"/>
          <w:color w:val="000000"/>
          <w:kern w:val="0"/>
          <w:szCs w:val="21"/>
          <w:lang w:bidi="ar"/>
        </w:rPr>
      </w:pPr>
      <w:r>
        <w:rPr>
          <w:rFonts w:hint="eastAsia" w:ascii="宋体" w:hAnsi="宋体" w:eastAsia="宋体" w:cs="宋体"/>
          <w:color w:val="000000"/>
          <w:kern w:val="0"/>
          <w:szCs w:val="21"/>
          <w:lang w:bidi="ar"/>
        </w:rPr>
        <w:t>⑥在货物采购项目中，货物应当由中小企业制造，不对其中涉及的服务的承接商作出要求。</w:t>
      </w:r>
    </w:p>
    <w:p w14:paraId="4B71B596">
      <w:pPr>
        <w:widowControl/>
        <w:spacing w:line="360" w:lineRule="auto"/>
        <w:ind w:firstLine="420" w:firstLineChars="200"/>
        <w:jc w:val="left"/>
        <w:rPr>
          <w:rFonts w:ascii="宋体" w:hAnsi="宋体" w:eastAsia="宋体" w:cs="宋体"/>
          <w:color w:val="000000"/>
          <w:kern w:val="0"/>
          <w:szCs w:val="21"/>
          <w:lang w:bidi="ar"/>
        </w:rPr>
      </w:pPr>
    </w:p>
    <w:p w14:paraId="2496DD51">
      <w:pPr>
        <w:pStyle w:val="2"/>
        <w:rPr>
          <w:lang w:bidi="ar"/>
        </w:rPr>
      </w:pPr>
    </w:p>
    <w:p w14:paraId="64668E0C">
      <w:pPr>
        <w:rPr>
          <w:lang w:bidi="ar"/>
        </w:rPr>
      </w:pPr>
    </w:p>
    <w:p w14:paraId="2119E16C">
      <w:pPr>
        <w:pStyle w:val="2"/>
        <w:rPr>
          <w:lang w:bidi="ar"/>
        </w:rPr>
      </w:pPr>
    </w:p>
    <w:p w14:paraId="212D4B7C">
      <w:pPr>
        <w:rPr>
          <w:lang w:bidi="ar"/>
        </w:rPr>
      </w:pPr>
    </w:p>
    <w:p w14:paraId="6AD793B4">
      <w:pPr>
        <w:pStyle w:val="2"/>
        <w:rPr>
          <w:lang w:bidi="ar"/>
        </w:rPr>
      </w:pPr>
    </w:p>
    <w:p w14:paraId="3A33D31B">
      <w:pPr>
        <w:rPr>
          <w:lang w:bidi="ar"/>
        </w:rPr>
      </w:pPr>
    </w:p>
    <w:p w14:paraId="7F83BBE4">
      <w:pPr>
        <w:pStyle w:val="2"/>
        <w:rPr>
          <w:lang w:bidi="ar"/>
        </w:rPr>
      </w:pPr>
    </w:p>
    <w:p w14:paraId="09808429">
      <w:pPr>
        <w:rPr>
          <w:lang w:bidi="ar"/>
        </w:rPr>
      </w:pPr>
    </w:p>
    <w:p w14:paraId="5D0E4ADC">
      <w:pPr>
        <w:pStyle w:val="2"/>
        <w:rPr>
          <w:lang w:bidi="ar"/>
        </w:rPr>
      </w:pPr>
    </w:p>
    <w:p w14:paraId="67EB0FE2">
      <w:pPr>
        <w:rPr>
          <w:lang w:bidi="ar"/>
        </w:rPr>
      </w:pPr>
    </w:p>
    <w:p w14:paraId="74A93E04">
      <w:pPr>
        <w:pStyle w:val="2"/>
        <w:rPr>
          <w:lang w:bidi="ar"/>
        </w:rPr>
      </w:pPr>
    </w:p>
    <w:p w14:paraId="77B3F527">
      <w:pPr>
        <w:rPr>
          <w:lang w:bidi="ar"/>
        </w:rPr>
      </w:pPr>
    </w:p>
    <w:p w14:paraId="1E1A527F">
      <w:pPr>
        <w:pStyle w:val="2"/>
        <w:rPr>
          <w:lang w:bidi="ar"/>
        </w:rPr>
      </w:pPr>
    </w:p>
    <w:p w14:paraId="46A58FDC">
      <w:pPr>
        <w:rPr>
          <w:lang w:bidi="ar"/>
        </w:rPr>
      </w:pPr>
    </w:p>
    <w:p w14:paraId="0F74977B">
      <w:pPr>
        <w:pStyle w:val="2"/>
        <w:rPr>
          <w:lang w:bidi="ar"/>
        </w:rPr>
      </w:pPr>
    </w:p>
    <w:p w14:paraId="748B6FFA">
      <w:pPr>
        <w:rPr>
          <w:lang w:bidi="ar"/>
        </w:rPr>
      </w:pPr>
    </w:p>
    <w:p w14:paraId="5D22820A">
      <w:pPr>
        <w:pStyle w:val="2"/>
        <w:rPr>
          <w:lang w:bidi="ar"/>
        </w:rPr>
      </w:pPr>
    </w:p>
    <w:p w14:paraId="189B9CC6">
      <w:pPr>
        <w:rPr>
          <w:lang w:bidi="ar"/>
        </w:rPr>
      </w:pPr>
    </w:p>
    <w:p w14:paraId="3D446D45">
      <w:pPr>
        <w:pStyle w:val="2"/>
        <w:rPr>
          <w:lang w:bidi="ar"/>
        </w:rPr>
      </w:pPr>
    </w:p>
    <w:p w14:paraId="1FA9CE98">
      <w:pPr>
        <w:rPr>
          <w:lang w:bidi="ar"/>
        </w:rPr>
      </w:pPr>
    </w:p>
    <w:p w14:paraId="73B87091">
      <w:pPr>
        <w:pStyle w:val="2"/>
        <w:rPr>
          <w:lang w:bidi="ar"/>
        </w:rPr>
      </w:pPr>
    </w:p>
    <w:p w14:paraId="23145A8F">
      <w:pPr>
        <w:rPr>
          <w:lang w:bidi="ar"/>
        </w:rPr>
      </w:pPr>
    </w:p>
    <w:p w14:paraId="56C35E48">
      <w:pPr>
        <w:pStyle w:val="2"/>
        <w:rPr>
          <w:lang w:bidi="ar"/>
        </w:rPr>
      </w:pPr>
    </w:p>
    <w:p w14:paraId="75B2242E">
      <w:pPr>
        <w:rPr>
          <w:lang w:bidi="ar"/>
        </w:rPr>
      </w:pPr>
    </w:p>
    <w:p w14:paraId="67C64846">
      <w:pPr>
        <w:pStyle w:val="2"/>
        <w:rPr>
          <w:lang w:bidi="ar"/>
        </w:rPr>
      </w:pPr>
    </w:p>
    <w:p w14:paraId="0F8E211F">
      <w:pPr>
        <w:pStyle w:val="2"/>
        <w:rPr>
          <w:lang w:bidi="ar"/>
        </w:rPr>
      </w:pPr>
    </w:p>
    <w:p w14:paraId="2DFF07A7">
      <w:pPr>
        <w:keepNext/>
        <w:keepLines/>
        <w:tabs>
          <w:tab w:val="left" w:pos="840"/>
        </w:tabs>
        <w:spacing w:before="260" w:after="260" w:line="412" w:lineRule="auto"/>
        <w:ind w:left="420"/>
        <w:jc w:val="center"/>
        <w:outlineLvl w:val="1"/>
        <w:rPr>
          <w:rFonts w:ascii="宋体" w:hAnsi="宋体" w:eastAsia="宋体" w:cs="宋体"/>
          <w:b/>
          <w:color w:val="000000"/>
          <w:spacing w:val="6"/>
          <w:szCs w:val="21"/>
        </w:rPr>
      </w:pPr>
      <w:bookmarkStart w:id="22" w:name="_Toc23336"/>
      <w:r>
        <w:rPr>
          <w:rFonts w:hint="eastAsia" w:ascii="宋体" w:hAnsi="宋体" w:eastAsia="宋体" w:cs="Times New Roman"/>
          <w:b/>
          <w:color w:val="000000"/>
          <w:kern w:val="0"/>
          <w:sz w:val="30"/>
          <w:szCs w:val="30"/>
        </w:rPr>
        <w:t>（2）残疾人福利性单位声明函</w:t>
      </w:r>
      <w:r>
        <w:rPr>
          <w:rFonts w:hint="eastAsia" w:ascii="宋体" w:hAnsi="宋体" w:eastAsia="宋体" w:cs="微软雅黑"/>
          <w:b/>
          <w:color w:val="000000"/>
          <w:kern w:val="0"/>
          <w:sz w:val="30"/>
          <w:szCs w:val="30"/>
        </w:rPr>
        <w:t>（如有）</w:t>
      </w:r>
      <w:bookmarkEnd w:id="22"/>
    </w:p>
    <w:p w14:paraId="54ABE297">
      <w:pPr>
        <w:spacing w:line="360" w:lineRule="auto"/>
        <w:ind w:firstLine="444" w:firstLineChars="200"/>
        <w:rPr>
          <w:rFonts w:ascii="宋体" w:hAnsi="宋体" w:eastAsia="宋体" w:cs="宋体"/>
          <w:color w:val="000000"/>
          <w:spacing w:val="6"/>
          <w:szCs w:val="21"/>
        </w:rPr>
      </w:pPr>
      <w:r>
        <w:rPr>
          <w:rFonts w:hint="eastAsia" w:ascii="宋体" w:hAnsi="宋体" w:eastAsia="宋体" w:cs="宋体"/>
          <w:color w:val="000000"/>
          <w:spacing w:val="6"/>
          <w:szCs w:val="21"/>
        </w:rPr>
        <w:t>本单位郑重声明，根据《财政部 民政部 中国残疾人联合会关于促进残疾人就业政府采购政策的通知》（财库</w:t>
      </w:r>
      <w:r>
        <w:rPr>
          <w:rFonts w:hint="eastAsia" w:ascii="宋体" w:hAnsi="宋体" w:eastAsia="宋体" w:cs="宋体"/>
          <w:color w:val="000000"/>
          <w:szCs w:val="21"/>
        </w:rPr>
        <w:t>〔2017〕 141</w:t>
      </w:r>
      <w:r>
        <w:rPr>
          <w:rFonts w:hint="eastAsia" w:ascii="宋体" w:hAnsi="宋体" w:eastAsia="宋体" w:cs="宋体"/>
          <w:color w:val="000000"/>
          <w:spacing w:val="6"/>
          <w:szCs w:val="21"/>
        </w:rPr>
        <w:t>号）的规定，本单位为符合条件的残疾人福利性单位，且本单位参加</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单位的</w:t>
      </w:r>
      <w:r>
        <w:rPr>
          <w:rFonts w:hint="eastAsia" w:ascii="宋体" w:hAnsi="宋体" w:eastAsia="宋体" w:cs="宋体"/>
          <w:color w:val="000000"/>
          <w:spacing w:val="6"/>
          <w:szCs w:val="21"/>
          <w:u w:val="single"/>
        </w:rPr>
        <w:t xml:space="preserve">      </w:t>
      </w:r>
      <w:r>
        <w:rPr>
          <w:rFonts w:hint="eastAsia" w:ascii="宋体" w:hAnsi="宋体" w:eastAsia="宋体" w:cs="宋体"/>
          <w:color w:val="000000"/>
          <w:spacing w:val="6"/>
          <w:szCs w:val="21"/>
        </w:rPr>
        <w:t>项目采购活动提供本单位制造的货物（由本单位承担工程/提供服务），或者提供其他残疾人福利性单位制造的货物（不包括使用非残疾人福利性单位注册商标的货物）。</w:t>
      </w:r>
    </w:p>
    <w:p w14:paraId="35A81987">
      <w:pPr>
        <w:spacing w:line="360" w:lineRule="auto"/>
        <w:ind w:firstLine="444" w:firstLineChars="200"/>
        <w:rPr>
          <w:rFonts w:ascii="宋体" w:hAnsi="宋体" w:eastAsia="宋体" w:cs="宋体"/>
          <w:color w:val="000000"/>
          <w:spacing w:val="6"/>
          <w:szCs w:val="21"/>
        </w:rPr>
      </w:pPr>
      <w:r>
        <w:rPr>
          <w:rFonts w:hint="eastAsia" w:ascii="宋体" w:hAnsi="宋体" w:eastAsia="宋体" w:cs="宋体"/>
          <w:color w:val="000000"/>
          <w:spacing w:val="6"/>
          <w:szCs w:val="21"/>
        </w:rPr>
        <w:t>本单位对上述声明的真实性负责。如有虚假，将依法承担相应责任。</w:t>
      </w:r>
    </w:p>
    <w:p w14:paraId="172C2F3B">
      <w:pPr>
        <w:spacing w:line="360" w:lineRule="auto"/>
        <w:ind w:firstLine="444" w:firstLineChars="200"/>
        <w:rPr>
          <w:rFonts w:ascii="宋体" w:hAnsi="宋体" w:eastAsia="宋体" w:cs="宋体"/>
          <w:color w:val="000000"/>
          <w:spacing w:val="6"/>
          <w:szCs w:val="21"/>
        </w:rPr>
      </w:pPr>
    </w:p>
    <w:p w14:paraId="1BFA7099">
      <w:pPr>
        <w:spacing w:line="360" w:lineRule="auto"/>
        <w:ind w:firstLine="444" w:firstLineChars="200"/>
        <w:rPr>
          <w:rFonts w:ascii="宋体" w:hAnsi="宋体" w:eastAsia="宋体" w:cs="宋体"/>
          <w:color w:val="000000"/>
          <w:spacing w:val="6"/>
          <w:szCs w:val="21"/>
        </w:rPr>
      </w:pPr>
    </w:p>
    <w:p w14:paraId="2196A107">
      <w:pPr>
        <w:tabs>
          <w:tab w:val="left" w:pos="4860"/>
        </w:tabs>
        <w:spacing w:line="360" w:lineRule="auto"/>
        <w:ind w:right="1560" w:firstLine="444" w:firstLineChars="200"/>
        <w:jc w:val="center"/>
        <w:rPr>
          <w:rFonts w:ascii="宋体" w:hAnsi="宋体" w:eastAsia="宋体" w:cs="宋体"/>
          <w:color w:val="000000"/>
          <w:spacing w:val="6"/>
          <w:szCs w:val="21"/>
        </w:rPr>
      </w:pPr>
      <w:r>
        <w:rPr>
          <w:rFonts w:hint="eastAsia" w:ascii="宋体" w:hAnsi="宋体" w:eastAsia="宋体" w:cs="宋体"/>
          <w:color w:val="000000"/>
          <w:spacing w:val="6"/>
          <w:szCs w:val="21"/>
        </w:rPr>
        <w:t xml:space="preserve">               单位名称（盖章）：</w:t>
      </w:r>
    </w:p>
    <w:p w14:paraId="273E8962">
      <w:pPr>
        <w:tabs>
          <w:tab w:val="left" w:pos="4860"/>
        </w:tabs>
        <w:spacing w:line="360" w:lineRule="auto"/>
        <w:ind w:right="1560" w:firstLine="444" w:firstLineChars="200"/>
        <w:jc w:val="center"/>
        <w:rPr>
          <w:rFonts w:ascii="宋体" w:hAnsi="宋体" w:eastAsia="宋体" w:cs="宋体"/>
          <w:color w:val="000000"/>
          <w:spacing w:val="6"/>
          <w:szCs w:val="21"/>
        </w:rPr>
      </w:pPr>
      <w:r>
        <w:rPr>
          <w:rFonts w:hint="eastAsia" w:ascii="宋体" w:hAnsi="宋体" w:eastAsia="宋体" w:cs="宋体"/>
          <w:color w:val="000000"/>
          <w:spacing w:val="6"/>
          <w:szCs w:val="21"/>
        </w:rPr>
        <w:t xml:space="preserve">       日  期：</w:t>
      </w:r>
    </w:p>
    <w:p w14:paraId="398EE782">
      <w:pPr>
        <w:widowControl/>
        <w:spacing w:line="360" w:lineRule="auto"/>
        <w:rPr>
          <w:rFonts w:ascii="宋体" w:hAnsi="宋体" w:eastAsia="宋体" w:cs="宋体"/>
          <w:b/>
          <w:color w:val="000000"/>
          <w:szCs w:val="21"/>
        </w:rPr>
      </w:pPr>
    </w:p>
    <w:p w14:paraId="7511096C">
      <w:pPr>
        <w:widowControl/>
        <w:spacing w:line="360" w:lineRule="auto"/>
        <w:rPr>
          <w:rFonts w:ascii="宋体" w:hAnsi="宋体" w:eastAsia="宋体" w:cs="宋体"/>
          <w:b/>
          <w:color w:val="000000"/>
          <w:szCs w:val="21"/>
        </w:rPr>
      </w:pPr>
      <w:r>
        <w:rPr>
          <w:rFonts w:hint="eastAsia" w:ascii="宋体" w:hAnsi="宋体" w:eastAsia="宋体" w:cs="宋体"/>
          <w:b/>
          <w:color w:val="000000"/>
          <w:szCs w:val="21"/>
        </w:rPr>
        <w:t>（提醒：如果投标人</w:t>
      </w:r>
      <w:r>
        <w:rPr>
          <w:rFonts w:hint="eastAsia" w:ascii="宋体" w:hAnsi="宋体" w:eastAsia="宋体" w:cs="宋体"/>
          <w:b/>
          <w:color w:val="000000"/>
          <w:spacing w:val="10"/>
          <w:kern w:val="0"/>
          <w:szCs w:val="21"/>
        </w:rPr>
        <w:t>不是残疾人福利性单位</w:t>
      </w:r>
      <w:r>
        <w:rPr>
          <w:rFonts w:hint="eastAsia" w:ascii="宋体" w:hAnsi="宋体" w:eastAsia="宋体" w:cs="宋体"/>
          <w:b/>
          <w:color w:val="000000"/>
          <w:szCs w:val="21"/>
        </w:rPr>
        <w:t>，则不需要提供《残疾人福利性单位声明函</w:t>
      </w:r>
    </w:p>
    <w:p w14:paraId="0D5DB007">
      <w:pPr>
        <w:widowControl/>
        <w:tabs>
          <w:tab w:val="center" w:pos="4153"/>
        </w:tabs>
        <w:spacing w:line="360" w:lineRule="auto"/>
        <w:rPr>
          <w:rFonts w:ascii="宋体" w:hAnsi="宋体" w:eastAsia="宋体" w:cs="宋体"/>
          <w:b/>
          <w:color w:val="000000"/>
          <w:szCs w:val="21"/>
        </w:rPr>
      </w:pPr>
      <w:r>
        <w:rPr>
          <w:rFonts w:hint="eastAsia" w:ascii="宋体" w:hAnsi="宋体" w:eastAsia="宋体" w:cs="宋体"/>
          <w:b/>
          <w:color w:val="000000"/>
          <w:szCs w:val="21"/>
        </w:rPr>
        <w:t>》。）</w:t>
      </w:r>
      <w:r>
        <w:rPr>
          <w:rFonts w:ascii="宋体" w:hAnsi="宋体" w:eastAsia="宋体" w:cs="宋体"/>
          <w:b/>
          <w:color w:val="000000"/>
          <w:szCs w:val="21"/>
        </w:rPr>
        <w:tab/>
      </w:r>
    </w:p>
    <w:p w14:paraId="64F10286">
      <w:pPr>
        <w:tabs>
          <w:tab w:val="left" w:pos="840"/>
        </w:tabs>
        <w:autoSpaceDE w:val="0"/>
        <w:autoSpaceDN w:val="0"/>
        <w:adjustRightInd w:val="0"/>
        <w:spacing w:line="360" w:lineRule="auto"/>
        <w:rPr>
          <w:rFonts w:ascii="宋体" w:hAnsi="宋体" w:eastAsia="宋体" w:cs="Times New Roman"/>
          <w:b/>
          <w:color w:val="000000"/>
          <w:sz w:val="24"/>
        </w:rPr>
      </w:pPr>
    </w:p>
    <w:p w14:paraId="0169B98D">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《财政部民政部中国残疾人联合会关于促进残疾人就业政府采购政策的通知》（财库（2017〔141〕号）的规定：</w:t>
      </w:r>
    </w:p>
    <w:p w14:paraId="6BE06F2D">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享受政府采购支持政策的残疾人福利性单位应当同时满足以下条件：</w:t>
      </w:r>
    </w:p>
    <w:p w14:paraId="275545EA">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（1）安置的残疾人占本单位在职职工人数的比例不低于25%（含25%），并且安置的残疾人人数不少于10人（含10人）；</w:t>
      </w:r>
    </w:p>
    <w:p w14:paraId="403065B9">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（2）依法与安置的每位残疾人签订了一年以上（含一年）的劳动合同或服务协议；</w:t>
      </w:r>
    </w:p>
    <w:p w14:paraId="51A68F7F">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（3）为安置的每位残疾人按月足额缴纳了基本养老保险、基本医疗保险、失业保险、工伤保险和生育保险等社会保险费；</w:t>
      </w:r>
    </w:p>
    <w:p w14:paraId="35045FF3">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（4）通过银行等金融机构向安置的每位残疾人，按月支付了不低于单位所在区县适用的经省级人民政府批准的月最低工资标准的工资；</w:t>
      </w:r>
    </w:p>
    <w:p w14:paraId="4F227259">
      <w:pPr>
        <w:spacing w:line="360" w:lineRule="auto"/>
        <w:rPr>
          <w:rFonts w:ascii="Times New Roman" w:hAnsi="Times New Roman" w:eastAsia="宋体" w:cs="Times New Roman"/>
          <w:color w:val="000000"/>
        </w:rPr>
      </w:pPr>
      <w:r>
        <w:rPr>
          <w:rFonts w:hint="eastAsia" w:ascii="Times New Roman" w:hAnsi="Times New Roman" w:eastAsia="宋体" w:cs="Times New Roman"/>
          <w:color w:val="000000"/>
        </w:rPr>
        <w:t>（5）提供本单位制造的货物、承担的工程或者服务（以下简称产品），或者提供其他残疾人福利性单位制造的货物（不包括使用非残疾人福利性单位注册商标的货物）。</w:t>
      </w:r>
    </w:p>
    <w:p w14:paraId="75355CE9">
      <w:pPr>
        <w:spacing w:line="360" w:lineRule="auto"/>
        <w:ind w:firstLine="420" w:firstLineChars="200"/>
      </w:pPr>
      <w:r>
        <w:rPr>
          <w:rFonts w:hint="eastAsia" w:ascii="宋体" w:hAnsi="宋体" w:eastAsia="宋体" w:cs="宋体"/>
          <w:color w:val="000000"/>
          <w:szCs w:val="21"/>
        </w:rPr>
        <w:t>2. 中标人为残疾人福利性单位的，采购人或者其委托的采购代理机构应当随中标、成交结果同时公告其《残疾人福利性单位声明函》，接受社会监督。</w:t>
      </w:r>
    </w:p>
    <w:p w14:paraId="280E3229">
      <w:pPr>
        <w:keepNext/>
        <w:keepLines/>
        <w:tabs>
          <w:tab w:val="left" w:pos="840"/>
        </w:tabs>
        <w:spacing w:before="260" w:after="260" w:line="412" w:lineRule="auto"/>
        <w:ind w:left="420"/>
        <w:jc w:val="center"/>
        <w:outlineLvl w:val="1"/>
        <w:rPr>
          <w:rFonts w:ascii="宋体" w:hAnsi="宋体" w:eastAsia="宋体" w:cs="Times New Roman"/>
          <w:b/>
          <w:color w:val="000000"/>
          <w:kern w:val="0"/>
          <w:sz w:val="30"/>
          <w:szCs w:val="30"/>
          <w:lang w:val="en-GB"/>
        </w:rPr>
      </w:pPr>
      <w:r>
        <w:rPr>
          <w:rFonts w:hint="eastAsia" w:ascii="宋体" w:hAnsi="宋体" w:eastAsia="宋体" w:cs="Times New Roman"/>
          <w:b/>
          <w:color w:val="000000"/>
          <w:kern w:val="0"/>
          <w:sz w:val="30"/>
          <w:szCs w:val="30"/>
          <w:lang w:val="en-GB"/>
        </w:rPr>
        <w:t>（</w:t>
      </w:r>
      <w:r>
        <w:rPr>
          <w:rFonts w:hint="eastAsia" w:ascii="宋体" w:hAnsi="宋体" w:eastAsia="宋体" w:cs="Times New Roman"/>
          <w:b/>
          <w:color w:val="000000"/>
          <w:kern w:val="0"/>
          <w:sz w:val="30"/>
          <w:szCs w:val="30"/>
        </w:rPr>
        <w:t>3</w:t>
      </w:r>
      <w:r>
        <w:rPr>
          <w:rFonts w:hint="eastAsia" w:ascii="宋体" w:hAnsi="宋体" w:eastAsia="宋体" w:cs="Times New Roman"/>
          <w:b/>
          <w:color w:val="000000"/>
          <w:kern w:val="0"/>
          <w:sz w:val="30"/>
          <w:szCs w:val="30"/>
          <w:lang w:val="en-GB"/>
        </w:rPr>
        <w:t>）监狱企业证明材料</w:t>
      </w:r>
      <w:r>
        <w:rPr>
          <w:rFonts w:hint="eastAsia" w:ascii="宋体" w:hAnsi="宋体" w:eastAsia="宋体" w:cs="微软雅黑"/>
          <w:b/>
          <w:color w:val="000000"/>
          <w:kern w:val="0"/>
          <w:sz w:val="30"/>
          <w:szCs w:val="30"/>
        </w:rPr>
        <w:t>（如有）</w:t>
      </w:r>
    </w:p>
    <w:p w14:paraId="6E678C19">
      <w:pPr>
        <w:rPr>
          <w:rFonts w:ascii="Times New Roman" w:hAnsi="Times New Roman" w:eastAsia="宋体" w:cs="Times New Roman"/>
          <w:color w:val="000000"/>
          <w:lang w:val="en-GB"/>
        </w:rPr>
      </w:pPr>
    </w:p>
    <w:p w14:paraId="64836E24">
      <w:pPr>
        <w:spacing w:line="360" w:lineRule="auto"/>
        <w:ind w:firstLine="420" w:firstLineChars="200"/>
        <w:rPr>
          <w:rFonts w:ascii="Times New Roman" w:hAnsi="Times New Roman" w:eastAsia="宋体" w:cs="Times New Roman"/>
          <w:color w:val="000000"/>
          <w:lang w:val="en-GB"/>
        </w:rPr>
      </w:pPr>
      <w:r>
        <w:rPr>
          <w:rFonts w:hint="eastAsia" w:ascii="Times New Roman" w:hAnsi="Times New Roman" w:eastAsia="宋体" w:cs="Times New Roman"/>
          <w:color w:val="000000"/>
          <w:lang w:val="en-GB"/>
        </w:rPr>
        <w:t>监狱企业参加政府采购活动时，应当提供由省级以上监狱管理局、戒毒管理局（含新疆生产建设兵团）出具的属于监狱企业的证明文件。</w:t>
      </w:r>
    </w:p>
    <w:p w14:paraId="6F5F658F">
      <w:pPr>
        <w:spacing w:line="360" w:lineRule="auto"/>
        <w:rPr>
          <w:rFonts w:ascii="Times New Roman" w:hAnsi="Times New Roman" w:eastAsia="宋体" w:cs="Times New Roman"/>
          <w:color w:val="000000"/>
          <w:lang w:val="en-GB"/>
        </w:rPr>
      </w:pPr>
    </w:p>
    <w:p w14:paraId="414122FE">
      <w:pPr>
        <w:spacing w:line="360" w:lineRule="auto"/>
        <w:rPr>
          <w:rFonts w:ascii="Times New Roman" w:hAnsi="Times New Roman" w:eastAsia="宋体" w:cs="Times New Roman"/>
          <w:color w:val="000000"/>
          <w:lang w:val="en-GB"/>
        </w:rPr>
      </w:pPr>
    </w:p>
    <w:p w14:paraId="33B0702C">
      <w:pPr>
        <w:widowControl/>
        <w:spacing w:line="360" w:lineRule="auto"/>
        <w:rPr>
          <w:rFonts w:ascii="宋体" w:hAnsi="宋体" w:eastAsia="宋体" w:cs="宋体"/>
          <w:b/>
          <w:color w:val="000000"/>
          <w:szCs w:val="21"/>
        </w:rPr>
      </w:pPr>
      <w:r>
        <w:rPr>
          <w:rFonts w:hint="eastAsia" w:ascii="宋体" w:hAnsi="宋体" w:eastAsia="宋体" w:cs="宋体"/>
          <w:b/>
          <w:color w:val="000000"/>
          <w:szCs w:val="21"/>
        </w:rPr>
        <w:t>（提醒：如果投标人</w:t>
      </w:r>
      <w:r>
        <w:rPr>
          <w:rFonts w:hint="eastAsia" w:ascii="宋体" w:hAnsi="宋体" w:eastAsia="宋体" w:cs="宋体"/>
          <w:b/>
          <w:color w:val="000000"/>
          <w:spacing w:val="10"/>
          <w:kern w:val="0"/>
          <w:szCs w:val="21"/>
        </w:rPr>
        <w:t>不是</w:t>
      </w:r>
      <w:r>
        <w:rPr>
          <w:rFonts w:hint="eastAsia" w:ascii="宋体" w:hAnsi="宋体" w:eastAsia="宋体" w:cs="Times New Roman"/>
          <w:b/>
          <w:bCs/>
          <w:color w:val="000000"/>
          <w:szCs w:val="21"/>
          <w:lang w:val="en-GB"/>
        </w:rPr>
        <w:t>监狱企业</w:t>
      </w:r>
      <w:r>
        <w:rPr>
          <w:rFonts w:hint="eastAsia" w:ascii="宋体" w:hAnsi="宋体" w:eastAsia="宋体" w:cs="宋体"/>
          <w:b/>
          <w:color w:val="000000"/>
          <w:szCs w:val="21"/>
        </w:rPr>
        <w:t>，则不需要提供</w:t>
      </w:r>
      <w:r>
        <w:rPr>
          <w:rFonts w:hint="eastAsia" w:ascii="宋体" w:hAnsi="宋体" w:eastAsia="宋体" w:cs="宋体"/>
          <w:b/>
          <w:color w:val="000000"/>
          <w:szCs w:val="21"/>
          <w:lang w:val="en-GB"/>
        </w:rPr>
        <w:t>监狱企业证明材料</w:t>
      </w:r>
      <w:r>
        <w:rPr>
          <w:rFonts w:hint="eastAsia" w:ascii="宋体" w:hAnsi="宋体" w:eastAsia="宋体" w:cs="宋体"/>
          <w:b/>
          <w:color w:val="000000"/>
          <w:szCs w:val="21"/>
        </w:rPr>
        <w:t>）</w:t>
      </w:r>
    </w:p>
    <w:p w14:paraId="7FC58176">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0BB94ED">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54072ADD">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0DDFE51B">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753CC3B">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68B52306">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EA7FCC7">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B570572">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3D1FAEB8">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7733CCAE">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79A8FDB9">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0AA22B9C">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1DB25A2">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12AEE117">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23C015AF">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56137DB0">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41D04BF7">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1E7EDD67">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7E964699">
      <w:pPr>
        <w:widowControl/>
        <w:spacing w:line="360" w:lineRule="auto"/>
        <w:jc w:val="left"/>
        <w:rPr>
          <w:rFonts w:ascii="宋体" w:hAnsi="宋体" w:eastAsia="宋体" w:cs="Times New Roman"/>
          <w:b/>
          <w:bCs/>
          <w:color w:val="000000" w:themeColor="text1"/>
          <w:kern w:val="0"/>
          <w:sz w:val="24"/>
          <w:szCs w:val="24"/>
          <w14:textFill>
            <w14:solidFill>
              <w14:schemeClr w14:val="tx1"/>
            </w14:solidFill>
          </w14:textFill>
        </w:rPr>
      </w:pPr>
    </w:p>
    <w:p w14:paraId="3C01DBC5">
      <w:pPr>
        <w:widowControl/>
        <w:jc w:val="center"/>
        <w:rPr>
          <w:rFonts w:ascii="宋体" w:hAnsi="宋体" w:eastAsia="宋体" w:cs="Times New Roman"/>
          <w:b/>
          <w:bCs/>
          <w:color w:val="000000" w:themeColor="text1"/>
          <w:kern w:val="0"/>
          <w:sz w:val="30"/>
          <w:szCs w:val="30"/>
          <w14:textFill>
            <w14:solidFill>
              <w14:schemeClr w14:val="tx1"/>
            </w14:solidFill>
          </w14:textFill>
        </w:rPr>
      </w:pPr>
    </w:p>
    <w:p w14:paraId="41129E90">
      <w:pPr>
        <w:widowControl/>
        <w:jc w:val="center"/>
        <w:rPr>
          <w:rFonts w:ascii="宋体" w:hAnsi="宋体" w:eastAsia="宋体" w:cs="Times New Roman"/>
          <w:b/>
          <w:bCs/>
          <w:color w:val="000000" w:themeColor="text1"/>
          <w:kern w:val="0"/>
          <w:sz w:val="30"/>
          <w:szCs w:val="30"/>
          <w14:textFill>
            <w14:solidFill>
              <w14:schemeClr w14:val="tx1"/>
            </w14:solidFill>
          </w14:textFill>
        </w:rPr>
      </w:pPr>
    </w:p>
    <w:p w14:paraId="5C5B7D5D">
      <w:pPr>
        <w:jc w:val="center"/>
        <w:rPr>
          <w:rFonts w:ascii="宋体" w:hAnsi="宋体" w:eastAsia="宋体" w:cs="Times New Roman"/>
          <w:color w:val="000000" w:themeColor="text1"/>
          <w:szCs w:val="24"/>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十二、供应商可提交的其他资料</w:t>
      </w:r>
    </w:p>
    <w:p w14:paraId="6F9F2EEB">
      <w:pPr>
        <w:spacing w:line="360" w:lineRule="auto"/>
        <w:jc w:val="left"/>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（一）投标供应商近年来财务状况</w:t>
      </w:r>
    </w:p>
    <w:p w14:paraId="6175CA9C">
      <w:pPr>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提供2023年度经审计的财务状况报告（成立时间不足一年的，可提供成立时间至当前时间节点的财务状况报告）</w:t>
      </w:r>
    </w:p>
    <w:p w14:paraId="202F6601">
      <w:pPr>
        <w:pStyle w:val="2"/>
        <w:spacing w:after="0" w:line="360" w:lineRule="auto"/>
        <w:jc w:val="left"/>
        <w:rPr>
          <w:sz w:val="28"/>
        </w:rPr>
      </w:pPr>
    </w:p>
    <w:p w14:paraId="107C5E5B">
      <w:pPr>
        <w:pStyle w:val="2"/>
        <w:spacing w:after="0" w:line="360" w:lineRule="auto"/>
        <w:jc w:val="left"/>
        <w:rPr>
          <w:sz w:val="28"/>
        </w:rPr>
      </w:pPr>
    </w:p>
    <w:p w14:paraId="3A8110FF">
      <w:pPr>
        <w:pStyle w:val="2"/>
        <w:spacing w:after="0" w:line="360" w:lineRule="auto"/>
        <w:jc w:val="left"/>
        <w:rPr>
          <w:sz w:val="28"/>
        </w:rPr>
      </w:pPr>
    </w:p>
    <w:p w14:paraId="7F3A3CA7">
      <w:pPr>
        <w:pStyle w:val="2"/>
        <w:spacing w:after="0" w:line="360" w:lineRule="auto"/>
        <w:jc w:val="left"/>
        <w:rPr>
          <w:sz w:val="28"/>
        </w:rPr>
      </w:pPr>
    </w:p>
    <w:p w14:paraId="6C2B70A8">
      <w:pPr>
        <w:pStyle w:val="2"/>
        <w:spacing w:after="0" w:line="360" w:lineRule="auto"/>
        <w:jc w:val="left"/>
        <w:rPr>
          <w:sz w:val="28"/>
        </w:rPr>
      </w:pPr>
    </w:p>
    <w:p w14:paraId="7D4302F9">
      <w:pPr>
        <w:pStyle w:val="2"/>
        <w:spacing w:after="0" w:line="360" w:lineRule="auto"/>
        <w:jc w:val="left"/>
        <w:rPr>
          <w:sz w:val="28"/>
        </w:rPr>
      </w:pPr>
    </w:p>
    <w:p w14:paraId="621A815B">
      <w:pPr>
        <w:pStyle w:val="2"/>
        <w:spacing w:after="0" w:line="360" w:lineRule="auto"/>
        <w:jc w:val="left"/>
        <w:rPr>
          <w:sz w:val="28"/>
        </w:rPr>
      </w:pPr>
    </w:p>
    <w:p w14:paraId="6E87DA8B">
      <w:pPr>
        <w:pStyle w:val="2"/>
        <w:spacing w:after="0" w:line="360" w:lineRule="auto"/>
        <w:jc w:val="left"/>
        <w:rPr>
          <w:sz w:val="28"/>
        </w:rPr>
      </w:pPr>
    </w:p>
    <w:p w14:paraId="13C9750C">
      <w:pPr>
        <w:pStyle w:val="2"/>
        <w:spacing w:after="0" w:line="360" w:lineRule="auto"/>
        <w:jc w:val="left"/>
        <w:rPr>
          <w:sz w:val="28"/>
        </w:rPr>
      </w:pPr>
    </w:p>
    <w:p w14:paraId="1B82C591">
      <w:pPr>
        <w:pStyle w:val="2"/>
        <w:spacing w:after="0" w:line="360" w:lineRule="auto"/>
        <w:jc w:val="left"/>
        <w:rPr>
          <w:sz w:val="28"/>
        </w:rPr>
      </w:pPr>
    </w:p>
    <w:p w14:paraId="2A42933F">
      <w:pPr>
        <w:pStyle w:val="2"/>
        <w:spacing w:after="0" w:line="360" w:lineRule="auto"/>
        <w:jc w:val="left"/>
        <w:rPr>
          <w:sz w:val="28"/>
        </w:rPr>
      </w:pPr>
    </w:p>
    <w:p w14:paraId="4B8E80C0">
      <w:pPr>
        <w:pStyle w:val="2"/>
        <w:spacing w:after="0" w:line="360" w:lineRule="auto"/>
        <w:jc w:val="left"/>
        <w:rPr>
          <w:sz w:val="28"/>
        </w:rPr>
      </w:pPr>
    </w:p>
    <w:p w14:paraId="101CF882">
      <w:pPr>
        <w:pStyle w:val="2"/>
        <w:spacing w:after="0" w:line="360" w:lineRule="auto"/>
        <w:jc w:val="left"/>
        <w:rPr>
          <w:sz w:val="28"/>
        </w:rPr>
      </w:pPr>
    </w:p>
    <w:p w14:paraId="14EE9D6D">
      <w:pPr>
        <w:pStyle w:val="2"/>
        <w:spacing w:after="0" w:line="360" w:lineRule="auto"/>
        <w:jc w:val="left"/>
        <w:rPr>
          <w:sz w:val="28"/>
        </w:rPr>
      </w:pPr>
    </w:p>
    <w:p w14:paraId="26822C5D">
      <w:pPr>
        <w:pStyle w:val="2"/>
        <w:spacing w:after="0" w:line="360" w:lineRule="auto"/>
        <w:jc w:val="left"/>
        <w:rPr>
          <w:sz w:val="28"/>
        </w:rPr>
      </w:pPr>
    </w:p>
    <w:p w14:paraId="3F5799A9">
      <w:pPr>
        <w:pStyle w:val="2"/>
        <w:spacing w:after="0" w:line="360" w:lineRule="auto"/>
        <w:jc w:val="left"/>
        <w:rPr>
          <w:sz w:val="28"/>
        </w:rPr>
      </w:pPr>
    </w:p>
    <w:p w14:paraId="2E750CD9">
      <w:pPr>
        <w:pStyle w:val="2"/>
        <w:spacing w:after="0" w:line="360" w:lineRule="auto"/>
        <w:jc w:val="left"/>
        <w:rPr>
          <w:sz w:val="28"/>
        </w:rPr>
      </w:pPr>
    </w:p>
    <w:p w14:paraId="09AF581A">
      <w:pPr>
        <w:pStyle w:val="2"/>
        <w:spacing w:after="0" w:line="360" w:lineRule="auto"/>
        <w:jc w:val="left"/>
        <w:rPr>
          <w:sz w:val="28"/>
        </w:rPr>
      </w:pPr>
    </w:p>
    <w:p w14:paraId="5DB4872E">
      <w:pPr>
        <w:pStyle w:val="2"/>
        <w:spacing w:after="0" w:line="360" w:lineRule="auto"/>
        <w:jc w:val="left"/>
        <w:rPr>
          <w:sz w:val="28"/>
        </w:rPr>
      </w:pPr>
    </w:p>
    <w:p w14:paraId="5C27D7E7">
      <w:pPr>
        <w:pStyle w:val="2"/>
        <w:spacing w:after="0" w:line="360" w:lineRule="auto"/>
        <w:jc w:val="left"/>
        <w:rPr>
          <w:sz w:val="28"/>
        </w:rPr>
      </w:pPr>
      <w:r>
        <w:rPr>
          <w:rFonts w:hint="eastAsia"/>
          <w:sz w:val="28"/>
        </w:rPr>
        <w:t>（二）</w:t>
      </w:r>
      <w:r>
        <w:rPr>
          <w:rFonts w:hint="eastAsia" w:ascii="宋体" w:hAnsi="宋体"/>
          <w:color w:val="000000" w:themeColor="text1"/>
          <w:sz w:val="28"/>
          <w:szCs w:val="28"/>
          <w14:textFill>
            <w14:solidFill>
              <w14:schemeClr w14:val="tx1"/>
            </w14:solidFill>
          </w14:textFill>
        </w:rPr>
        <w:t>投标供应商</w:t>
      </w:r>
      <w:r>
        <w:rPr>
          <w:rFonts w:hint="eastAsia"/>
          <w:sz w:val="28"/>
        </w:rPr>
        <w:t>近年来发生的诉讼及仲裁情况</w:t>
      </w:r>
    </w:p>
    <w:p w14:paraId="7DEC24B2">
      <w:pPr>
        <w:ind w:firstLine="720" w:firstLineChars="300"/>
        <w:rPr>
          <w:sz w:val="24"/>
          <w:szCs w:val="24"/>
        </w:rPr>
      </w:pPr>
      <w:r>
        <w:rPr>
          <w:rFonts w:hint="eastAsia"/>
          <w:sz w:val="24"/>
          <w:szCs w:val="24"/>
        </w:rPr>
        <w:t>2021年1月1日以来至今</w:t>
      </w:r>
    </w:p>
    <w:p w14:paraId="640527BD">
      <w:pPr>
        <w:pStyle w:val="2"/>
        <w:spacing w:after="0" w:line="360" w:lineRule="auto"/>
        <w:jc w:val="left"/>
        <w:rPr>
          <w:sz w:val="28"/>
        </w:rPr>
      </w:pPr>
    </w:p>
    <w:p w14:paraId="7C4F1992">
      <w:pPr>
        <w:pStyle w:val="2"/>
        <w:spacing w:after="0" w:line="360" w:lineRule="auto"/>
        <w:jc w:val="left"/>
        <w:rPr>
          <w:sz w:val="28"/>
        </w:rPr>
      </w:pPr>
    </w:p>
    <w:p w14:paraId="55F3D30E">
      <w:pPr>
        <w:pStyle w:val="2"/>
        <w:spacing w:after="0" w:line="360" w:lineRule="auto"/>
        <w:jc w:val="left"/>
        <w:rPr>
          <w:sz w:val="28"/>
        </w:rPr>
      </w:pPr>
    </w:p>
    <w:p w14:paraId="2F7F6EDB">
      <w:pPr>
        <w:pStyle w:val="2"/>
        <w:spacing w:after="0" w:line="360" w:lineRule="auto"/>
        <w:jc w:val="left"/>
        <w:rPr>
          <w:sz w:val="28"/>
        </w:rPr>
      </w:pPr>
    </w:p>
    <w:p w14:paraId="3B3C4F0F">
      <w:pPr>
        <w:pStyle w:val="2"/>
        <w:spacing w:after="0" w:line="360" w:lineRule="auto"/>
        <w:jc w:val="left"/>
        <w:rPr>
          <w:sz w:val="28"/>
        </w:rPr>
      </w:pPr>
    </w:p>
    <w:p w14:paraId="7A252E1B">
      <w:pPr>
        <w:pStyle w:val="2"/>
        <w:spacing w:after="0" w:line="360" w:lineRule="auto"/>
        <w:jc w:val="left"/>
        <w:rPr>
          <w:sz w:val="28"/>
        </w:rPr>
      </w:pPr>
    </w:p>
    <w:p w14:paraId="06E2B691">
      <w:pPr>
        <w:pStyle w:val="2"/>
        <w:spacing w:after="0" w:line="360" w:lineRule="auto"/>
        <w:jc w:val="left"/>
        <w:rPr>
          <w:sz w:val="28"/>
        </w:rPr>
      </w:pPr>
    </w:p>
    <w:p w14:paraId="2752FD4B">
      <w:pPr>
        <w:pStyle w:val="2"/>
        <w:spacing w:after="0" w:line="360" w:lineRule="auto"/>
        <w:jc w:val="left"/>
        <w:rPr>
          <w:sz w:val="28"/>
        </w:rPr>
      </w:pPr>
    </w:p>
    <w:p w14:paraId="22921E1C">
      <w:pPr>
        <w:pStyle w:val="2"/>
        <w:spacing w:after="0" w:line="360" w:lineRule="auto"/>
        <w:jc w:val="left"/>
        <w:rPr>
          <w:sz w:val="28"/>
        </w:rPr>
      </w:pPr>
    </w:p>
    <w:p w14:paraId="74D4866F">
      <w:pPr>
        <w:pStyle w:val="2"/>
        <w:spacing w:after="0" w:line="360" w:lineRule="auto"/>
        <w:jc w:val="left"/>
        <w:rPr>
          <w:sz w:val="28"/>
        </w:rPr>
      </w:pPr>
    </w:p>
    <w:p w14:paraId="22054E32">
      <w:pPr>
        <w:pStyle w:val="2"/>
        <w:spacing w:after="0" w:line="360" w:lineRule="auto"/>
        <w:jc w:val="left"/>
        <w:rPr>
          <w:sz w:val="28"/>
        </w:rPr>
      </w:pPr>
    </w:p>
    <w:p w14:paraId="48D17F73">
      <w:pPr>
        <w:pStyle w:val="2"/>
        <w:spacing w:after="0" w:line="360" w:lineRule="auto"/>
        <w:jc w:val="left"/>
        <w:rPr>
          <w:sz w:val="28"/>
        </w:rPr>
      </w:pPr>
    </w:p>
    <w:p w14:paraId="3A93525C">
      <w:pPr>
        <w:pStyle w:val="2"/>
        <w:spacing w:after="0" w:line="360" w:lineRule="auto"/>
        <w:jc w:val="left"/>
        <w:rPr>
          <w:sz w:val="28"/>
        </w:rPr>
      </w:pPr>
    </w:p>
    <w:p w14:paraId="12CB6734">
      <w:pPr>
        <w:pStyle w:val="2"/>
        <w:spacing w:after="0" w:line="360" w:lineRule="auto"/>
        <w:jc w:val="left"/>
        <w:rPr>
          <w:sz w:val="28"/>
        </w:rPr>
      </w:pPr>
    </w:p>
    <w:p w14:paraId="2978C66C">
      <w:pPr>
        <w:pStyle w:val="2"/>
        <w:spacing w:after="0" w:line="360" w:lineRule="auto"/>
        <w:jc w:val="left"/>
        <w:rPr>
          <w:sz w:val="28"/>
        </w:rPr>
      </w:pPr>
    </w:p>
    <w:p w14:paraId="0A1952B4">
      <w:pPr>
        <w:pStyle w:val="2"/>
        <w:spacing w:after="0" w:line="360" w:lineRule="auto"/>
        <w:jc w:val="left"/>
        <w:rPr>
          <w:sz w:val="28"/>
        </w:rPr>
      </w:pPr>
    </w:p>
    <w:p w14:paraId="0ABFB5DF">
      <w:pPr>
        <w:pStyle w:val="2"/>
        <w:spacing w:after="0" w:line="360" w:lineRule="auto"/>
        <w:jc w:val="left"/>
        <w:rPr>
          <w:sz w:val="28"/>
        </w:rPr>
      </w:pPr>
    </w:p>
    <w:p w14:paraId="4BDC7DF6">
      <w:pPr>
        <w:pStyle w:val="2"/>
        <w:spacing w:after="0" w:line="360" w:lineRule="auto"/>
        <w:jc w:val="left"/>
        <w:rPr>
          <w:sz w:val="28"/>
        </w:rPr>
      </w:pPr>
    </w:p>
    <w:p w14:paraId="733C1C39">
      <w:pPr>
        <w:pStyle w:val="2"/>
        <w:spacing w:after="0" w:line="360" w:lineRule="auto"/>
        <w:jc w:val="left"/>
        <w:rPr>
          <w:sz w:val="28"/>
        </w:rPr>
      </w:pPr>
    </w:p>
    <w:p w14:paraId="0F918582">
      <w:pPr>
        <w:pStyle w:val="2"/>
        <w:spacing w:after="0" w:line="360" w:lineRule="auto"/>
        <w:jc w:val="left"/>
        <w:rPr>
          <w:sz w:val="28"/>
        </w:rPr>
      </w:pPr>
    </w:p>
    <w:p w14:paraId="108E4604">
      <w:pPr>
        <w:pStyle w:val="2"/>
        <w:spacing w:after="0" w:line="360" w:lineRule="auto"/>
        <w:jc w:val="left"/>
        <w:rPr>
          <w:sz w:val="28"/>
        </w:rPr>
      </w:pPr>
    </w:p>
    <w:p w14:paraId="075E3FC9">
      <w:pPr>
        <w:pStyle w:val="2"/>
        <w:spacing w:after="0" w:line="360" w:lineRule="auto"/>
        <w:jc w:val="left"/>
        <w:rPr>
          <w:sz w:val="28"/>
        </w:rPr>
      </w:pPr>
      <w:r>
        <w:rPr>
          <w:rFonts w:hint="eastAsia"/>
          <w:sz w:val="28"/>
        </w:rPr>
        <w:t>（三）其他资料（如有）</w:t>
      </w:r>
    </w:p>
    <w:p w14:paraId="6C37BD6B">
      <w:pPr>
        <w:rPr>
          <w:rFonts w:ascii="宋体" w:hAnsi="宋体" w:eastAsia="宋体"/>
          <w:color w:val="000000" w:themeColor="text1"/>
          <w14:textFill>
            <w14:solidFill>
              <w14:schemeClr w14:val="tx1"/>
            </w14:solidFill>
          </w14:textFill>
        </w:rPr>
      </w:pPr>
    </w:p>
    <w:p w14:paraId="52350CA5">
      <w:pPr>
        <w:rPr>
          <w:rFonts w:ascii="宋体" w:hAnsi="宋体" w:eastAsia="宋体"/>
          <w:color w:val="000000" w:themeColor="text1"/>
          <w14:textFill>
            <w14:solidFill>
              <w14:schemeClr w14:val="tx1"/>
            </w14:solidFill>
          </w14:textFill>
        </w:rPr>
      </w:pPr>
    </w:p>
    <w:p w14:paraId="30696FCD">
      <w:pPr>
        <w:rPr>
          <w:rFonts w:ascii="宋体" w:hAnsi="宋体" w:eastAsia="宋体"/>
          <w:color w:val="000000" w:themeColor="text1"/>
          <w14:textFill>
            <w14:solidFill>
              <w14:schemeClr w14:val="tx1"/>
            </w14:solidFill>
          </w14:textFill>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G Times">
    <w:altName w:val="Segoe Print"/>
    <w:panose1 w:val="02020603050405020304"/>
    <w:charset w:val="00"/>
    <w:family w:val="roman"/>
    <w:pitch w:val="default"/>
    <w:sig w:usb0="00000000" w:usb1="00000000" w:usb2="00000000" w:usb3="00000000" w:csb0="00000093"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Arial Narrow">
    <w:altName w:val="Arial"/>
    <w:panose1 w:val="00000000000000000000"/>
    <w:charset w:val="00"/>
    <w:family w:val="swiss"/>
    <w:pitch w:val="default"/>
    <w:sig w:usb0="00000000" w:usb1="00000000" w:usb2="00000000" w:usb3="00000000" w:csb0="0000009F" w:csb1="00000000"/>
  </w:font>
  <w:font w:name="楷体_GB2312">
    <w:altName w:val="楷体"/>
    <w:panose1 w:val="00000000000000000000"/>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
    <w:altName w:val="Segoe Print"/>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StarSymbol">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Helvetica-Condensed-Bold">
    <w:altName w:val="Segoe Print"/>
    <w:panose1 w:val="00000000000000000000"/>
    <w:charset w:val="00"/>
    <w:family w:val="auto"/>
    <w:pitch w:val="default"/>
    <w:sig w:usb0="00000000" w:usb1="00000000" w:usb2="00000000" w:usb3="00000000" w:csb0="00000000" w:csb1="00000000"/>
  </w:font>
  <w:font w:name="华文细黑">
    <w:altName w:val="微软雅黑"/>
    <w:panose1 w:val="00000000000000000000"/>
    <w:charset w:val="86"/>
    <w:family w:val="auto"/>
    <w:pitch w:val="default"/>
    <w:sig w:usb0="00000000" w:usb1="00000000" w:usb2="00000010" w:usb3="00000000" w:csb0="0004009F" w:csb1="00000000"/>
  </w:font>
  <w:font w:name="Arial Black">
    <w:panose1 w:val="020B0A04020102020204"/>
    <w:charset w:val="00"/>
    <w:family w:val="swiss"/>
    <w:pitch w:val="default"/>
    <w:sig w:usb0="A00002AF" w:usb1="400078FB" w:usb2="00000000" w:usb3="00000000" w:csb0="6000009F" w:csb1="DFD70000"/>
  </w:font>
  <w:font w:name="AR PL ShanHeiSun Uni">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0000000000000000000"/>
    <w:charset w:val="86"/>
    <w:family w:val="auto"/>
    <w:pitch w:val="default"/>
    <w:sig w:usb0="00000000" w:usb1="00000000" w:usb2="00000010" w:usb3="00000000" w:csb0="0004009F" w:csb1="00000000"/>
  </w:font>
  <w:font w:name="Century">
    <w:altName w:val="Times New Roman"/>
    <w:panose1 w:val="02040603050705020303"/>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000200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A20D">
    <w:pPr>
      <w:pStyle w:val="5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AFCBEB">
                          <w:pPr>
                            <w:pStyle w:val="56"/>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3AFCBEB">
                    <w:pPr>
                      <w:pStyle w:val="56"/>
                      <w:jc w:val="both"/>
                    </w:pPr>
                  </w:p>
                </w:txbxContent>
              </v:textbox>
            </v:shape>
          </w:pict>
        </mc:Fallback>
      </mc:AlternateContent>
    </w:r>
  </w:p>
  <w:p w14:paraId="444704D2">
    <w:pPr>
      <w:pStyle w:val="56"/>
      <w:tabs>
        <w:tab w:val="left" w:pos="4638"/>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208B7">
    <w:pPr>
      <w:pStyle w:val="56"/>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9CD54">
                          <w:pPr>
                            <w:pStyle w:val="56"/>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EB9CD54">
                    <w:pPr>
                      <w:pStyle w:val="56"/>
                      <w:jc w:val="both"/>
                    </w:pPr>
                  </w:p>
                </w:txbxContent>
              </v:textbox>
            </v:shape>
          </w:pict>
        </mc:Fallback>
      </mc:AlternateContent>
    </w:r>
  </w:p>
  <w:p w14:paraId="2832EA4A">
    <w:pPr>
      <w:pStyle w:val="56"/>
      <w:tabs>
        <w:tab w:val="left" w:pos="4638"/>
        <w:tab w:val="clear" w:pos="4153"/>
        <w:tab w:val="clear" w:pos="8306"/>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CA1D">
    <w:pPr>
      <w:pStyle w:val="56"/>
      <w:jc w:val="cente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BB1A67">
                          <w:pPr>
                            <w:pStyle w:val="5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57BB1A67">
                    <w:pPr>
                      <w:pStyle w:val="56"/>
                    </w:pPr>
                    <w:r>
                      <w:fldChar w:fldCharType="begin"/>
                    </w:r>
                    <w:r>
                      <w:instrText xml:space="preserve"> PAGE  \* MERGEFORMAT </w:instrText>
                    </w:r>
                    <w:r>
                      <w:fldChar w:fldCharType="separate"/>
                    </w:r>
                    <w:r>
                      <w:t>20</w:t>
                    </w:r>
                    <w: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45E47D">
                          <w:pPr>
                            <w:pStyle w:val="56"/>
                            <w:jc w:val="both"/>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445E47D">
                    <w:pPr>
                      <w:pStyle w:val="56"/>
                      <w:jc w:val="both"/>
                    </w:pPr>
                  </w:p>
                </w:txbxContent>
              </v:textbox>
            </v:shape>
          </w:pict>
        </mc:Fallback>
      </mc:AlternateContent>
    </w:r>
  </w:p>
  <w:p w14:paraId="2204AFD0">
    <w:pPr>
      <w:pStyle w:val="56"/>
      <w:tabs>
        <w:tab w:val="left" w:pos="4638"/>
        <w:tab w:val="clear" w:pos="4153"/>
        <w:tab w:val="clear" w:pos="8306"/>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C37C6">
    <w:pPr>
      <w:pStyle w:val="56"/>
    </w:pPr>
    <w: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EC003">
                          <w:pPr>
                            <w:pStyle w:val="56"/>
                          </w:pPr>
                          <w:r>
                            <w:fldChar w:fldCharType="begin"/>
                          </w:r>
                          <w:r>
                            <w:instrText xml:space="preserve"> PAGE  \* MERGEFORMAT </w:instrText>
                          </w:r>
                          <w:r>
                            <w:fldChar w:fldCharType="separate"/>
                          </w:r>
                          <w:r>
                            <w:t>118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0DEC003">
                    <w:pPr>
                      <w:pStyle w:val="56"/>
                    </w:pPr>
                    <w:r>
                      <w:fldChar w:fldCharType="begin"/>
                    </w:r>
                    <w:r>
                      <w:instrText xml:space="preserve"> PAGE  \* MERGEFORMAT </w:instrText>
                    </w:r>
                    <w:r>
                      <w:fldChar w:fldCharType="separate"/>
                    </w:r>
                    <w:r>
                      <w:t>118</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DFAFE">
                          <w:pPr>
                            <w:pStyle w:val="5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CADFAFE">
                    <w:pPr>
                      <w:pStyle w:val="56"/>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6F2D4F">
                          <w:pPr>
                            <w:pStyle w:val="5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26F2D4F">
                    <w:pPr>
                      <w:pStyle w:val="5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BB9C8">
    <w:pPr>
      <w:spacing w:line="540" w:lineRule="exact"/>
      <w:ind w:firstLine="105" w:firstLineChars="50"/>
      <w:jc w:val="left"/>
      <w:rPr>
        <w:rFonts w:asciiTheme="minorEastAsia" w:hAnsiTheme="minorEastAsia"/>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decimal"/>
      <w:pStyle w:val="417"/>
      <w:lvlText w:val="%1."/>
      <w:lvlJc w:val="left"/>
      <w:pPr>
        <w:tabs>
          <w:tab w:val="left" w:pos="420"/>
        </w:tabs>
        <w:ind w:left="430" w:hanging="430"/>
      </w:pPr>
      <w:rPr>
        <w:rFonts w:hint="eastAsia"/>
      </w:rPr>
    </w:lvl>
    <w:lvl w:ilvl="1" w:tentative="0">
      <w:start w:val="1"/>
      <w:numFmt w:val="decimal"/>
      <w:lvlText w:val="%1.%2"/>
      <w:lvlJc w:val="left"/>
      <w:pPr>
        <w:tabs>
          <w:tab w:val="left" w:pos="700"/>
        </w:tabs>
        <w:ind w:left="700" w:hanging="700"/>
      </w:pPr>
      <w:rPr>
        <w:rFonts w:hint="eastAsia"/>
        <w:lang w:val="en-GB"/>
      </w:rPr>
    </w:lvl>
    <w:lvl w:ilvl="2" w:tentative="0">
      <w:start w:val="1"/>
      <w:numFmt w:val="decimal"/>
      <w:pStyle w:val="462"/>
      <w:lvlText w:val="%1.%2.%3"/>
      <w:lvlJc w:val="left"/>
      <w:pPr>
        <w:tabs>
          <w:tab w:val="left" w:pos="1000"/>
        </w:tabs>
        <w:ind w:left="1000" w:hanging="1000"/>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51B70A43"/>
    <w:multiLevelType w:val="singleLevel"/>
    <w:tmpl w:val="51B70A43"/>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hideSpellingErrors/>
  <w:trackRevisions w:val="1"/>
  <w:documentProtection w:edit="trackedChanges" w:enforcement="1" w:cryptProviderType="rsaFull" w:cryptAlgorithmClass="hash" w:cryptAlgorithmType="typeAny" w:cryptAlgorithmSid="4" w:cryptSpinCount="0" w:hash="ujOggLPpBFrvfFPOJhMMczbukCg=" w:salt="OmwuFT86M7n6mx0sSzw/8Q=="/>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ZmFkNzAzYmRiNzc1OWRjMTVhYmU4MzU3ZWUwMTgifQ=="/>
  </w:docVars>
  <w:rsids>
    <w:rsidRoot w:val="00111C1E"/>
    <w:rsid w:val="000005D0"/>
    <w:rsid w:val="00000A56"/>
    <w:rsid w:val="00000B87"/>
    <w:rsid w:val="000105C4"/>
    <w:rsid w:val="00022DAC"/>
    <w:rsid w:val="000238CE"/>
    <w:rsid w:val="000239AE"/>
    <w:rsid w:val="00027317"/>
    <w:rsid w:val="00031550"/>
    <w:rsid w:val="000316CD"/>
    <w:rsid w:val="00034053"/>
    <w:rsid w:val="0003769D"/>
    <w:rsid w:val="000418BD"/>
    <w:rsid w:val="00045570"/>
    <w:rsid w:val="00045FC8"/>
    <w:rsid w:val="00046410"/>
    <w:rsid w:val="0005236E"/>
    <w:rsid w:val="00054093"/>
    <w:rsid w:val="00055CA5"/>
    <w:rsid w:val="00056468"/>
    <w:rsid w:val="00057DD2"/>
    <w:rsid w:val="00064096"/>
    <w:rsid w:val="000760E8"/>
    <w:rsid w:val="0008230E"/>
    <w:rsid w:val="0008387E"/>
    <w:rsid w:val="00093BC3"/>
    <w:rsid w:val="00094BA1"/>
    <w:rsid w:val="00097B0C"/>
    <w:rsid w:val="000A26B1"/>
    <w:rsid w:val="000A316F"/>
    <w:rsid w:val="000B6B62"/>
    <w:rsid w:val="000C0525"/>
    <w:rsid w:val="000C238E"/>
    <w:rsid w:val="000C3BBF"/>
    <w:rsid w:val="000D0E62"/>
    <w:rsid w:val="000D4B2A"/>
    <w:rsid w:val="000E30A9"/>
    <w:rsid w:val="000E4A0D"/>
    <w:rsid w:val="000E56AF"/>
    <w:rsid w:val="00104BBA"/>
    <w:rsid w:val="00111C1E"/>
    <w:rsid w:val="001142F6"/>
    <w:rsid w:val="0012006F"/>
    <w:rsid w:val="00125DCB"/>
    <w:rsid w:val="001421F3"/>
    <w:rsid w:val="001671C0"/>
    <w:rsid w:val="001777D1"/>
    <w:rsid w:val="00194F07"/>
    <w:rsid w:val="001A28B1"/>
    <w:rsid w:val="001B0B2A"/>
    <w:rsid w:val="001D1597"/>
    <w:rsid w:val="001D37D3"/>
    <w:rsid w:val="001D4F22"/>
    <w:rsid w:val="001E2E48"/>
    <w:rsid w:val="001E57B4"/>
    <w:rsid w:val="001F0A94"/>
    <w:rsid w:val="001F0FB2"/>
    <w:rsid w:val="001F6D19"/>
    <w:rsid w:val="002036D4"/>
    <w:rsid w:val="002103BD"/>
    <w:rsid w:val="0021131A"/>
    <w:rsid w:val="002152CE"/>
    <w:rsid w:val="002152ED"/>
    <w:rsid w:val="00222736"/>
    <w:rsid w:val="00224E45"/>
    <w:rsid w:val="00225DBC"/>
    <w:rsid w:val="00225E5B"/>
    <w:rsid w:val="00231F7E"/>
    <w:rsid w:val="00237191"/>
    <w:rsid w:val="00247634"/>
    <w:rsid w:val="00260588"/>
    <w:rsid w:val="00264813"/>
    <w:rsid w:val="00264EB4"/>
    <w:rsid w:val="00266F79"/>
    <w:rsid w:val="00275A76"/>
    <w:rsid w:val="00276245"/>
    <w:rsid w:val="00277658"/>
    <w:rsid w:val="00280B03"/>
    <w:rsid w:val="0028337C"/>
    <w:rsid w:val="0028415E"/>
    <w:rsid w:val="00287212"/>
    <w:rsid w:val="002A6800"/>
    <w:rsid w:val="002B0F46"/>
    <w:rsid w:val="002B2476"/>
    <w:rsid w:val="002B5728"/>
    <w:rsid w:val="002C316D"/>
    <w:rsid w:val="002D15F3"/>
    <w:rsid w:val="002E239C"/>
    <w:rsid w:val="002F39DB"/>
    <w:rsid w:val="002F7D71"/>
    <w:rsid w:val="00302F3F"/>
    <w:rsid w:val="00305670"/>
    <w:rsid w:val="00306251"/>
    <w:rsid w:val="00315A7F"/>
    <w:rsid w:val="00322047"/>
    <w:rsid w:val="00327CE5"/>
    <w:rsid w:val="00331423"/>
    <w:rsid w:val="00331ADE"/>
    <w:rsid w:val="00340216"/>
    <w:rsid w:val="00343455"/>
    <w:rsid w:val="003519BA"/>
    <w:rsid w:val="00355743"/>
    <w:rsid w:val="00360926"/>
    <w:rsid w:val="003614B0"/>
    <w:rsid w:val="003617AF"/>
    <w:rsid w:val="003624A3"/>
    <w:rsid w:val="003675F6"/>
    <w:rsid w:val="0036795C"/>
    <w:rsid w:val="003715FC"/>
    <w:rsid w:val="0037314B"/>
    <w:rsid w:val="003745D0"/>
    <w:rsid w:val="003764FB"/>
    <w:rsid w:val="00380975"/>
    <w:rsid w:val="00395125"/>
    <w:rsid w:val="003956B3"/>
    <w:rsid w:val="00396F4C"/>
    <w:rsid w:val="003A2324"/>
    <w:rsid w:val="003A692A"/>
    <w:rsid w:val="003A7829"/>
    <w:rsid w:val="003C0635"/>
    <w:rsid w:val="003C0922"/>
    <w:rsid w:val="003C358E"/>
    <w:rsid w:val="003C6592"/>
    <w:rsid w:val="003C7071"/>
    <w:rsid w:val="003D3EC6"/>
    <w:rsid w:val="003D4F7F"/>
    <w:rsid w:val="003D6376"/>
    <w:rsid w:val="003E13A5"/>
    <w:rsid w:val="003E1823"/>
    <w:rsid w:val="003E3C88"/>
    <w:rsid w:val="003E3DD3"/>
    <w:rsid w:val="003F1436"/>
    <w:rsid w:val="00403190"/>
    <w:rsid w:val="0040357C"/>
    <w:rsid w:val="0040641C"/>
    <w:rsid w:val="00412A8C"/>
    <w:rsid w:val="0042522D"/>
    <w:rsid w:val="0042651B"/>
    <w:rsid w:val="00426A92"/>
    <w:rsid w:val="00431DBF"/>
    <w:rsid w:val="00432182"/>
    <w:rsid w:val="00436F63"/>
    <w:rsid w:val="00445EE3"/>
    <w:rsid w:val="004469C4"/>
    <w:rsid w:val="00450BF7"/>
    <w:rsid w:val="004525D4"/>
    <w:rsid w:val="004532F9"/>
    <w:rsid w:val="00454121"/>
    <w:rsid w:val="00455957"/>
    <w:rsid w:val="00456E00"/>
    <w:rsid w:val="004664B2"/>
    <w:rsid w:val="0048193B"/>
    <w:rsid w:val="004842D2"/>
    <w:rsid w:val="0048436A"/>
    <w:rsid w:val="004868FE"/>
    <w:rsid w:val="00486DD4"/>
    <w:rsid w:val="00492E70"/>
    <w:rsid w:val="0049785D"/>
    <w:rsid w:val="004A08E6"/>
    <w:rsid w:val="004A1E10"/>
    <w:rsid w:val="004A21B8"/>
    <w:rsid w:val="004A6769"/>
    <w:rsid w:val="004B10BC"/>
    <w:rsid w:val="004B2878"/>
    <w:rsid w:val="004B5462"/>
    <w:rsid w:val="004B63D9"/>
    <w:rsid w:val="004C1B7F"/>
    <w:rsid w:val="004C262B"/>
    <w:rsid w:val="004C3118"/>
    <w:rsid w:val="004C3C4B"/>
    <w:rsid w:val="004C7EBC"/>
    <w:rsid w:val="004D0D7F"/>
    <w:rsid w:val="004D34D7"/>
    <w:rsid w:val="004D50A4"/>
    <w:rsid w:val="004E23A9"/>
    <w:rsid w:val="004E23B5"/>
    <w:rsid w:val="00505050"/>
    <w:rsid w:val="005116C7"/>
    <w:rsid w:val="00514AC1"/>
    <w:rsid w:val="005247F7"/>
    <w:rsid w:val="005266DE"/>
    <w:rsid w:val="005313B3"/>
    <w:rsid w:val="00535040"/>
    <w:rsid w:val="005451DE"/>
    <w:rsid w:val="00554375"/>
    <w:rsid w:val="00562A8E"/>
    <w:rsid w:val="005632C5"/>
    <w:rsid w:val="005637DA"/>
    <w:rsid w:val="005661A7"/>
    <w:rsid w:val="00567463"/>
    <w:rsid w:val="005747CF"/>
    <w:rsid w:val="005775C8"/>
    <w:rsid w:val="00581B1B"/>
    <w:rsid w:val="00591722"/>
    <w:rsid w:val="00594BC8"/>
    <w:rsid w:val="005963C5"/>
    <w:rsid w:val="005969D0"/>
    <w:rsid w:val="005B07AC"/>
    <w:rsid w:val="005B2308"/>
    <w:rsid w:val="005B65E1"/>
    <w:rsid w:val="005B7900"/>
    <w:rsid w:val="005C088A"/>
    <w:rsid w:val="005C17CC"/>
    <w:rsid w:val="005C1C66"/>
    <w:rsid w:val="005C34F0"/>
    <w:rsid w:val="005C5FEF"/>
    <w:rsid w:val="005D0186"/>
    <w:rsid w:val="005E2516"/>
    <w:rsid w:val="005E37F1"/>
    <w:rsid w:val="005F21F3"/>
    <w:rsid w:val="005F6525"/>
    <w:rsid w:val="005F7FE4"/>
    <w:rsid w:val="00604812"/>
    <w:rsid w:val="006111BD"/>
    <w:rsid w:val="00611FFE"/>
    <w:rsid w:val="00615325"/>
    <w:rsid w:val="006153D9"/>
    <w:rsid w:val="00616550"/>
    <w:rsid w:val="00617A1B"/>
    <w:rsid w:val="00620F6F"/>
    <w:rsid w:val="00622AD1"/>
    <w:rsid w:val="00627262"/>
    <w:rsid w:val="00630511"/>
    <w:rsid w:val="00630F7A"/>
    <w:rsid w:val="00632D2E"/>
    <w:rsid w:val="00634933"/>
    <w:rsid w:val="0066784C"/>
    <w:rsid w:val="00667DD2"/>
    <w:rsid w:val="006A0BD7"/>
    <w:rsid w:val="006B0261"/>
    <w:rsid w:val="006B127A"/>
    <w:rsid w:val="006C1FA0"/>
    <w:rsid w:val="006C69A6"/>
    <w:rsid w:val="006D012F"/>
    <w:rsid w:val="006D0E7F"/>
    <w:rsid w:val="006D2F82"/>
    <w:rsid w:val="006D486B"/>
    <w:rsid w:val="006D64CC"/>
    <w:rsid w:val="006E2E1E"/>
    <w:rsid w:val="006E599F"/>
    <w:rsid w:val="006E725D"/>
    <w:rsid w:val="006F285F"/>
    <w:rsid w:val="006F5A7B"/>
    <w:rsid w:val="00700AF2"/>
    <w:rsid w:val="007071F1"/>
    <w:rsid w:val="00714918"/>
    <w:rsid w:val="0072335C"/>
    <w:rsid w:val="00724168"/>
    <w:rsid w:val="00725180"/>
    <w:rsid w:val="007251E4"/>
    <w:rsid w:val="007373AC"/>
    <w:rsid w:val="00742ED5"/>
    <w:rsid w:val="00746B71"/>
    <w:rsid w:val="0074744C"/>
    <w:rsid w:val="007525EE"/>
    <w:rsid w:val="007610ED"/>
    <w:rsid w:val="007644C4"/>
    <w:rsid w:val="00764C0E"/>
    <w:rsid w:val="00770315"/>
    <w:rsid w:val="007715D5"/>
    <w:rsid w:val="00771EB2"/>
    <w:rsid w:val="00773E27"/>
    <w:rsid w:val="00776272"/>
    <w:rsid w:val="00781AB0"/>
    <w:rsid w:val="007929E9"/>
    <w:rsid w:val="00793074"/>
    <w:rsid w:val="007937DE"/>
    <w:rsid w:val="007947D1"/>
    <w:rsid w:val="007A7A86"/>
    <w:rsid w:val="007A7BCA"/>
    <w:rsid w:val="007B0987"/>
    <w:rsid w:val="007B10EE"/>
    <w:rsid w:val="007B7C29"/>
    <w:rsid w:val="007C05AE"/>
    <w:rsid w:val="007C1025"/>
    <w:rsid w:val="007C203C"/>
    <w:rsid w:val="007C286A"/>
    <w:rsid w:val="007C6D25"/>
    <w:rsid w:val="007C7801"/>
    <w:rsid w:val="007D40DE"/>
    <w:rsid w:val="007E4D8D"/>
    <w:rsid w:val="007E73DE"/>
    <w:rsid w:val="007E76E6"/>
    <w:rsid w:val="007F0D8E"/>
    <w:rsid w:val="007F38B6"/>
    <w:rsid w:val="008024F0"/>
    <w:rsid w:val="008126A2"/>
    <w:rsid w:val="00826E06"/>
    <w:rsid w:val="008349D8"/>
    <w:rsid w:val="00836BE2"/>
    <w:rsid w:val="008378DA"/>
    <w:rsid w:val="00837B20"/>
    <w:rsid w:val="008407EF"/>
    <w:rsid w:val="00841243"/>
    <w:rsid w:val="0085122F"/>
    <w:rsid w:val="00865DBE"/>
    <w:rsid w:val="008751A2"/>
    <w:rsid w:val="00875B55"/>
    <w:rsid w:val="00882AC1"/>
    <w:rsid w:val="00885D85"/>
    <w:rsid w:val="0089026E"/>
    <w:rsid w:val="0089279F"/>
    <w:rsid w:val="00894F32"/>
    <w:rsid w:val="008A0D14"/>
    <w:rsid w:val="008A2FCB"/>
    <w:rsid w:val="008A56CC"/>
    <w:rsid w:val="008A57C1"/>
    <w:rsid w:val="008B280F"/>
    <w:rsid w:val="008B2C71"/>
    <w:rsid w:val="008B690B"/>
    <w:rsid w:val="008C3948"/>
    <w:rsid w:val="008C416B"/>
    <w:rsid w:val="008C41E0"/>
    <w:rsid w:val="008D66B4"/>
    <w:rsid w:val="008E4749"/>
    <w:rsid w:val="008E7954"/>
    <w:rsid w:val="008F09FF"/>
    <w:rsid w:val="008F14DA"/>
    <w:rsid w:val="008F7589"/>
    <w:rsid w:val="00900690"/>
    <w:rsid w:val="00904342"/>
    <w:rsid w:val="00926DBA"/>
    <w:rsid w:val="00931577"/>
    <w:rsid w:val="00933B3C"/>
    <w:rsid w:val="00936D44"/>
    <w:rsid w:val="00941316"/>
    <w:rsid w:val="00943348"/>
    <w:rsid w:val="00943FF3"/>
    <w:rsid w:val="00945F48"/>
    <w:rsid w:val="0094642B"/>
    <w:rsid w:val="0095183E"/>
    <w:rsid w:val="009540B4"/>
    <w:rsid w:val="009540C1"/>
    <w:rsid w:val="00954CF6"/>
    <w:rsid w:val="00955528"/>
    <w:rsid w:val="00957103"/>
    <w:rsid w:val="00960115"/>
    <w:rsid w:val="0096156A"/>
    <w:rsid w:val="009623E2"/>
    <w:rsid w:val="00964914"/>
    <w:rsid w:val="00967EAB"/>
    <w:rsid w:val="00972349"/>
    <w:rsid w:val="00982DD8"/>
    <w:rsid w:val="009879FC"/>
    <w:rsid w:val="00991A8E"/>
    <w:rsid w:val="00991FA6"/>
    <w:rsid w:val="00995505"/>
    <w:rsid w:val="0099603C"/>
    <w:rsid w:val="009A6816"/>
    <w:rsid w:val="009B34B8"/>
    <w:rsid w:val="009B5060"/>
    <w:rsid w:val="009B6529"/>
    <w:rsid w:val="009D6BF2"/>
    <w:rsid w:val="009E3408"/>
    <w:rsid w:val="009E38DA"/>
    <w:rsid w:val="009E3F37"/>
    <w:rsid w:val="009E55F4"/>
    <w:rsid w:val="009E6117"/>
    <w:rsid w:val="009F2E85"/>
    <w:rsid w:val="00A11CF6"/>
    <w:rsid w:val="00A1581E"/>
    <w:rsid w:val="00A17D15"/>
    <w:rsid w:val="00A240DA"/>
    <w:rsid w:val="00A303BF"/>
    <w:rsid w:val="00A37797"/>
    <w:rsid w:val="00A44A58"/>
    <w:rsid w:val="00A503FB"/>
    <w:rsid w:val="00A51B11"/>
    <w:rsid w:val="00A528DE"/>
    <w:rsid w:val="00A53496"/>
    <w:rsid w:val="00A54BB3"/>
    <w:rsid w:val="00A55F46"/>
    <w:rsid w:val="00A56B7D"/>
    <w:rsid w:val="00A63566"/>
    <w:rsid w:val="00A7752E"/>
    <w:rsid w:val="00A808F0"/>
    <w:rsid w:val="00A842E6"/>
    <w:rsid w:val="00A94BEF"/>
    <w:rsid w:val="00AA0653"/>
    <w:rsid w:val="00AA328F"/>
    <w:rsid w:val="00AA6F03"/>
    <w:rsid w:val="00AB4FBE"/>
    <w:rsid w:val="00AB7353"/>
    <w:rsid w:val="00AC5E25"/>
    <w:rsid w:val="00AD16A8"/>
    <w:rsid w:val="00AD5F00"/>
    <w:rsid w:val="00AE1BB7"/>
    <w:rsid w:val="00AE3B9C"/>
    <w:rsid w:val="00AE732E"/>
    <w:rsid w:val="00AF24C2"/>
    <w:rsid w:val="00AF4A89"/>
    <w:rsid w:val="00AF4BB5"/>
    <w:rsid w:val="00AF6D20"/>
    <w:rsid w:val="00B068F6"/>
    <w:rsid w:val="00B1062A"/>
    <w:rsid w:val="00B120BE"/>
    <w:rsid w:val="00B1235E"/>
    <w:rsid w:val="00B13505"/>
    <w:rsid w:val="00B2541D"/>
    <w:rsid w:val="00B34AB9"/>
    <w:rsid w:val="00B3799A"/>
    <w:rsid w:val="00B4658E"/>
    <w:rsid w:val="00B47B54"/>
    <w:rsid w:val="00B553BF"/>
    <w:rsid w:val="00B56767"/>
    <w:rsid w:val="00B57DF6"/>
    <w:rsid w:val="00B6078A"/>
    <w:rsid w:val="00B63A81"/>
    <w:rsid w:val="00B64DB2"/>
    <w:rsid w:val="00B71CB2"/>
    <w:rsid w:val="00B7504C"/>
    <w:rsid w:val="00B772F8"/>
    <w:rsid w:val="00B773F7"/>
    <w:rsid w:val="00B81148"/>
    <w:rsid w:val="00B84642"/>
    <w:rsid w:val="00B94164"/>
    <w:rsid w:val="00B961D8"/>
    <w:rsid w:val="00BA290F"/>
    <w:rsid w:val="00BA4700"/>
    <w:rsid w:val="00BA6270"/>
    <w:rsid w:val="00BB067F"/>
    <w:rsid w:val="00BB6E2E"/>
    <w:rsid w:val="00BC1086"/>
    <w:rsid w:val="00BC3E67"/>
    <w:rsid w:val="00BC41B5"/>
    <w:rsid w:val="00BD53CC"/>
    <w:rsid w:val="00BE5726"/>
    <w:rsid w:val="00BF4ADF"/>
    <w:rsid w:val="00C0032A"/>
    <w:rsid w:val="00C20E23"/>
    <w:rsid w:val="00C32A9A"/>
    <w:rsid w:val="00C32CA8"/>
    <w:rsid w:val="00C36086"/>
    <w:rsid w:val="00C476DE"/>
    <w:rsid w:val="00C50CFE"/>
    <w:rsid w:val="00C513E3"/>
    <w:rsid w:val="00C522B1"/>
    <w:rsid w:val="00C74623"/>
    <w:rsid w:val="00C756BC"/>
    <w:rsid w:val="00C75BD6"/>
    <w:rsid w:val="00C75BF0"/>
    <w:rsid w:val="00C76CB7"/>
    <w:rsid w:val="00C84637"/>
    <w:rsid w:val="00C91556"/>
    <w:rsid w:val="00C96756"/>
    <w:rsid w:val="00C97AAE"/>
    <w:rsid w:val="00CA3AD8"/>
    <w:rsid w:val="00CA4DC3"/>
    <w:rsid w:val="00CA5BFC"/>
    <w:rsid w:val="00CA6DB0"/>
    <w:rsid w:val="00CB1C9A"/>
    <w:rsid w:val="00CB7AE0"/>
    <w:rsid w:val="00CC7580"/>
    <w:rsid w:val="00CD0C53"/>
    <w:rsid w:val="00CD4C57"/>
    <w:rsid w:val="00CD7D4A"/>
    <w:rsid w:val="00CE07C6"/>
    <w:rsid w:val="00CE454A"/>
    <w:rsid w:val="00CF5B36"/>
    <w:rsid w:val="00D02614"/>
    <w:rsid w:val="00D057B9"/>
    <w:rsid w:val="00D11DFE"/>
    <w:rsid w:val="00D1538F"/>
    <w:rsid w:val="00D31FF4"/>
    <w:rsid w:val="00D33F04"/>
    <w:rsid w:val="00D41613"/>
    <w:rsid w:val="00D45484"/>
    <w:rsid w:val="00D47AA0"/>
    <w:rsid w:val="00D5113A"/>
    <w:rsid w:val="00D558CD"/>
    <w:rsid w:val="00D55FED"/>
    <w:rsid w:val="00D56122"/>
    <w:rsid w:val="00D62956"/>
    <w:rsid w:val="00D6786A"/>
    <w:rsid w:val="00D70DFE"/>
    <w:rsid w:val="00D754B2"/>
    <w:rsid w:val="00D85267"/>
    <w:rsid w:val="00D87F09"/>
    <w:rsid w:val="00D92495"/>
    <w:rsid w:val="00D925C3"/>
    <w:rsid w:val="00D93BE1"/>
    <w:rsid w:val="00D96E65"/>
    <w:rsid w:val="00DA0B43"/>
    <w:rsid w:val="00DA1A2E"/>
    <w:rsid w:val="00DA24D4"/>
    <w:rsid w:val="00DA6ABB"/>
    <w:rsid w:val="00DA70B2"/>
    <w:rsid w:val="00DC0D4A"/>
    <w:rsid w:val="00DD2CFC"/>
    <w:rsid w:val="00DD2FCB"/>
    <w:rsid w:val="00DD3553"/>
    <w:rsid w:val="00DD7AFF"/>
    <w:rsid w:val="00DF1ED1"/>
    <w:rsid w:val="00DF57A2"/>
    <w:rsid w:val="00E02E19"/>
    <w:rsid w:val="00E04352"/>
    <w:rsid w:val="00E05627"/>
    <w:rsid w:val="00E0654F"/>
    <w:rsid w:val="00E108F7"/>
    <w:rsid w:val="00E1101B"/>
    <w:rsid w:val="00E12AC7"/>
    <w:rsid w:val="00E15896"/>
    <w:rsid w:val="00E24517"/>
    <w:rsid w:val="00E30F43"/>
    <w:rsid w:val="00E3249F"/>
    <w:rsid w:val="00E36582"/>
    <w:rsid w:val="00E376F6"/>
    <w:rsid w:val="00E47AE1"/>
    <w:rsid w:val="00E56266"/>
    <w:rsid w:val="00E62574"/>
    <w:rsid w:val="00E63308"/>
    <w:rsid w:val="00E6691F"/>
    <w:rsid w:val="00E72E2A"/>
    <w:rsid w:val="00E74A3F"/>
    <w:rsid w:val="00E84084"/>
    <w:rsid w:val="00E86EC0"/>
    <w:rsid w:val="00E903BD"/>
    <w:rsid w:val="00E94A90"/>
    <w:rsid w:val="00EA0714"/>
    <w:rsid w:val="00EA7F78"/>
    <w:rsid w:val="00EB348B"/>
    <w:rsid w:val="00EB541F"/>
    <w:rsid w:val="00EC5C40"/>
    <w:rsid w:val="00EC5FFA"/>
    <w:rsid w:val="00EC6A5A"/>
    <w:rsid w:val="00ED3B2E"/>
    <w:rsid w:val="00ED4697"/>
    <w:rsid w:val="00ED5128"/>
    <w:rsid w:val="00EE0399"/>
    <w:rsid w:val="00EF7DC3"/>
    <w:rsid w:val="00F0001C"/>
    <w:rsid w:val="00F013D5"/>
    <w:rsid w:val="00F01904"/>
    <w:rsid w:val="00F07247"/>
    <w:rsid w:val="00F21109"/>
    <w:rsid w:val="00F26A57"/>
    <w:rsid w:val="00F26F87"/>
    <w:rsid w:val="00F3023F"/>
    <w:rsid w:val="00F3327F"/>
    <w:rsid w:val="00F36AE3"/>
    <w:rsid w:val="00F40AE0"/>
    <w:rsid w:val="00F40D36"/>
    <w:rsid w:val="00F40F34"/>
    <w:rsid w:val="00F457D1"/>
    <w:rsid w:val="00F510CF"/>
    <w:rsid w:val="00F56017"/>
    <w:rsid w:val="00F57840"/>
    <w:rsid w:val="00F64FD3"/>
    <w:rsid w:val="00F712C8"/>
    <w:rsid w:val="00F74985"/>
    <w:rsid w:val="00F77CDB"/>
    <w:rsid w:val="00F81F5F"/>
    <w:rsid w:val="00F90A8D"/>
    <w:rsid w:val="00FA5912"/>
    <w:rsid w:val="00FA7C29"/>
    <w:rsid w:val="00FB04DB"/>
    <w:rsid w:val="00FB10B8"/>
    <w:rsid w:val="00FB4547"/>
    <w:rsid w:val="00FB47A4"/>
    <w:rsid w:val="00FB4DA6"/>
    <w:rsid w:val="00FC3B18"/>
    <w:rsid w:val="00FC40C8"/>
    <w:rsid w:val="00FC4755"/>
    <w:rsid w:val="00FC6DD6"/>
    <w:rsid w:val="00FD5C5C"/>
    <w:rsid w:val="00FD7DBD"/>
    <w:rsid w:val="00FE70C5"/>
    <w:rsid w:val="00FF0E70"/>
    <w:rsid w:val="00FF766F"/>
    <w:rsid w:val="010D7DD7"/>
    <w:rsid w:val="01255120"/>
    <w:rsid w:val="016C0FA1"/>
    <w:rsid w:val="017D1A70"/>
    <w:rsid w:val="01814321"/>
    <w:rsid w:val="027D179D"/>
    <w:rsid w:val="02BF0D61"/>
    <w:rsid w:val="02F079B0"/>
    <w:rsid w:val="030311D1"/>
    <w:rsid w:val="033E651C"/>
    <w:rsid w:val="03A53B02"/>
    <w:rsid w:val="04E14FEA"/>
    <w:rsid w:val="056A3A4A"/>
    <w:rsid w:val="05BB4902"/>
    <w:rsid w:val="06B17CB4"/>
    <w:rsid w:val="06BC02D5"/>
    <w:rsid w:val="06D24774"/>
    <w:rsid w:val="06DC7B5F"/>
    <w:rsid w:val="06E65352"/>
    <w:rsid w:val="07621DFF"/>
    <w:rsid w:val="07903526"/>
    <w:rsid w:val="07D16002"/>
    <w:rsid w:val="07D31A30"/>
    <w:rsid w:val="07EE6854"/>
    <w:rsid w:val="080C0DE8"/>
    <w:rsid w:val="08471E20"/>
    <w:rsid w:val="08935C62"/>
    <w:rsid w:val="08B74506"/>
    <w:rsid w:val="08C43471"/>
    <w:rsid w:val="08F9700C"/>
    <w:rsid w:val="092669FE"/>
    <w:rsid w:val="09440A55"/>
    <w:rsid w:val="0983332C"/>
    <w:rsid w:val="099405C1"/>
    <w:rsid w:val="09D75426"/>
    <w:rsid w:val="09E954E3"/>
    <w:rsid w:val="0A0D7099"/>
    <w:rsid w:val="0A145522"/>
    <w:rsid w:val="0A177818"/>
    <w:rsid w:val="0A1C108A"/>
    <w:rsid w:val="0A3B7763"/>
    <w:rsid w:val="0AAA645E"/>
    <w:rsid w:val="0AD16319"/>
    <w:rsid w:val="0ADF0A36"/>
    <w:rsid w:val="0AE946AF"/>
    <w:rsid w:val="0B251F08"/>
    <w:rsid w:val="0C3152C1"/>
    <w:rsid w:val="0C873133"/>
    <w:rsid w:val="0CBF7754"/>
    <w:rsid w:val="0D4A504B"/>
    <w:rsid w:val="0D89046F"/>
    <w:rsid w:val="0F0C791F"/>
    <w:rsid w:val="0F0E7B3C"/>
    <w:rsid w:val="0FB12275"/>
    <w:rsid w:val="100F4E4F"/>
    <w:rsid w:val="1025513D"/>
    <w:rsid w:val="10294501"/>
    <w:rsid w:val="10534059"/>
    <w:rsid w:val="105C48D7"/>
    <w:rsid w:val="111451B1"/>
    <w:rsid w:val="11395C46"/>
    <w:rsid w:val="11643A43"/>
    <w:rsid w:val="117A5014"/>
    <w:rsid w:val="118714DF"/>
    <w:rsid w:val="11F272A1"/>
    <w:rsid w:val="11F81E84"/>
    <w:rsid w:val="12071360"/>
    <w:rsid w:val="1215598D"/>
    <w:rsid w:val="125C0BBE"/>
    <w:rsid w:val="12A572A7"/>
    <w:rsid w:val="135D01F2"/>
    <w:rsid w:val="13693592"/>
    <w:rsid w:val="136A730B"/>
    <w:rsid w:val="13AE5449"/>
    <w:rsid w:val="13B15EA2"/>
    <w:rsid w:val="13D053C0"/>
    <w:rsid w:val="14321CDA"/>
    <w:rsid w:val="143A4F2F"/>
    <w:rsid w:val="14634486"/>
    <w:rsid w:val="146A754D"/>
    <w:rsid w:val="14711330"/>
    <w:rsid w:val="14952165"/>
    <w:rsid w:val="14F22C79"/>
    <w:rsid w:val="1525173B"/>
    <w:rsid w:val="1546345F"/>
    <w:rsid w:val="15995C85"/>
    <w:rsid w:val="15D541E6"/>
    <w:rsid w:val="15F735B7"/>
    <w:rsid w:val="163C2256"/>
    <w:rsid w:val="16DE6045"/>
    <w:rsid w:val="170535D2"/>
    <w:rsid w:val="17A64C0F"/>
    <w:rsid w:val="17B61D19"/>
    <w:rsid w:val="17D54AC3"/>
    <w:rsid w:val="1815706D"/>
    <w:rsid w:val="184B14B9"/>
    <w:rsid w:val="18730A0F"/>
    <w:rsid w:val="18A5345C"/>
    <w:rsid w:val="18EA6564"/>
    <w:rsid w:val="19377C8F"/>
    <w:rsid w:val="198A6011"/>
    <w:rsid w:val="19AB25F5"/>
    <w:rsid w:val="19E576EB"/>
    <w:rsid w:val="1A0C2EC9"/>
    <w:rsid w:val="1A341AD5"/>
    <w:rsid w:val="1A5328A6"/>
    <w:rsid w:val="1A7D5B75"/>
    <w:rsid w:val="1AE13D1A"/>
    <w:rsid w:val="1AFF47DC"/>
    <w:rsid w:val="1B8151F1"/>
    <w:rsid w:val="1BBE4697"/>
    <w:rsid w:val="1C0E117B"/>
    <w:rsid w:val="1C4C391F"/>
    <w:rsid w:val="1C52438D"/>
    <w:rsid w:val="1C7D4E8B"/>
    <w:rsid w:val="1CCE17AB"/>
    <w:rsid w:val="1CD316AB"/>
    <w:rsid w:val="1D54181B"/>
    <w:rsid w:val="1DAB29F9"/>
    <w:rsid w:val="1DC1221D"/>
    <w:rsid w:val="1E8E20FF"/>
    <w:rsid w:val="1E9A6CF6"/>
    <w:rsid w:val="1EF53F2C"/>
    <w:rsid w:val="1F220A99"/>
    <w:rsid w:val="1F424883"/>
    <w:rsid w:val="1F486752"/>
    <w:rsid w:val="1F586386"/>
    <w:rsid w:val="1FE22C00"/>
    <w:rsid w:val="204C289C"/>
    <w:rsid w:val="20D61B3B"/>
    <w:rsid w:val="20F609A0"/>
    <w:rsid w:val="21B4358B"/>
    <w:rsid w:val="22405E06"/>
    <w:rsid w:val="228026A7"/>
    <w:rsid w:val="22B37249"/>
    <w:rsid w:val="23032E08"/>
    <w:rsid w:val="23156929"/>
    <w:rsid w:val="2318643B"/>
    <w:rsid w:val="233D3EEB"/>
    <w:rsid w:val="237F470C"/>
    <w:rsid w:val="23C12F77"/>
    <w:rsid w:val="242A0B1C"/>
    <w:rsid w:val="24454B90"/>
    <w:rsid w:val="24F42ED8"/>
    <w:rsid w:val="25512802"/>
    <w:rsid w:val="26534F7F"/>
    <w:rsid w:val="26722306"/>
    <w:rsid w:val="26E1123A"/>
    <w:rsid w:val="276C4FA7"/>
    <w:rsid w:val="280F27B0"/>
    <w:rsid w:val="28463A4A"/>
    <w:rsid w:val="285C501C"/>
    <w:rsid w:val="286D3C8C"/>
    <w:rsid w:val="298E56A9"/>
    <w:rsid w:val="29BF5492"/>
    <w:rsid w:val="2A712F14"/>
    <w:rsid w:val="2A8F62DB"/>
    <w:rsid w:val="2A952A67"/>
    <w:rsid w:val="2B735A8E"/>
    <w:rsid w:val="2BD958F4"/>
    <w:rsid w:val="2C180EE3"/>
    <w:rsid w:val="2C8D1C48"/>
    <w:rsid w:val="2CD60AAA"/>
    <w:rsid w:val="2CE456E3"/>
    <w:rsid w:val="2CEE645F"/>
    <w:rsid w:val="2D793060"/>
    <w:rsid w:val="2DC86CB0"/>
    <w:rsid w:val="2DE9627B"/>
    <w:rsid w:val="2E7C7067"/>
    <w:rsid w:val="2F0B040D"/>
    <w:rsid w:val="2F8C4439"/>
    <w:rsid w:val="2FC11C09"/>
    <w:rsid w:val="30055F99"/>
    <w:rsid w:val="301D0D4E"/>
    <w:rsid w:val="307D540D"/>
    <w:rsid w:val="30C450A0"/>
    <w:rsid w:val="315F3BAC"/>
    <w:rsid w:val="31A03239"/>
    <w:rsid w:val="31A812D2"/>
    <w:rsid w:val="32110C25"/>
    <w:rsid w:val="322A6968"/>
    <w:rsid w:val="3264344B"/>
    <w:rsid w:val="32CD0280"/>
    <w:rsid w:val="32F766FA"/>
    <w:rsid w:val="332A7394"/>
    <w:rsid w:val="337B588D"/>
    <w:rsid w:val="34371623"/>
    <w:rsid w:val="34692F9B"/>
    <w:rsid w:val="35123632"/>
    <w:rsid w:val="352C3FC8"/>
    <w:rsid w:val="35597400"/>
    <w:rsid w:val="36EC3D7C"/>
    <w:rsid w:val="36F80606"/>
    <w:rsid w:val="374F4929"/>
    <w:rsid w:val="3757357E"/>
    <w:rsid w:val="378B76CC"/>
    <w:rsid w:val="384D1AC5"/>
    <w:rsid w:val="38653A79"/>
    <w:rsid w:val="38926838"/>
    <w:rsid w:val="38993922"/>
    <w:rsid w:val="38D806EF"/>
    <w:rsid w:val="38DD5D05"/>
    <w:rsid w:val="38E9387C"/>
    <w:rsid w:val="38F31085"/>
    <w:rsid w:val="39025256"/>
    <w:rsid w:val="3949339B"/>
    <w:rsid w:val="3A941A91"/>
    <w:rsid w:val="3A9B5E78"/>
    <w:rsid w:val="3B196D9D"/>
    <w:rsid w:val="3B404329"/>
    <w:rsid w:val="3B660234"/>
    <w:rsid w:val="3BB95D3B"/>
    <w:rsid w:val="3BE70C49"/>
    <w:rsid w:val="3BEE0229"/>
    <w:rsid w:val="3C74483B"/>
    <w:rsid w:val="3D2008B6"/>
    <w:rsid w:val="3D475E43"/>
    <w:rsid w:val="3D695DB9"/>
    <w:rsid w:val="3D6E2990"/>
    <w:rsid w:val="3DA23079"/>
    <w:rsid w:val="3DD11BB1"/>
    <w:rsid w:val="3E546A69"/>
    <w:rsid w:val="3ED90D1D"/>
    <w:rsid w:val="3EE92E4F"/>
    <w:rsid w:val="3EF21DDE"/>
    <w:rsid w:val="40324B88"/>
    <w:rsid w:val="408F6F36"/>
    <w:rsid w:val="40A4535A"/>
    <w:rsid w:val="40B57568"/>
    <w:rsid w:val="41A2540E"/>
    <w:rsid w:val="41AE1342"/>
    <w:rsid w:val="41C932CA"/>
    <w:rsid w:val="41EA080A"/>
    <w:rsid w:val="4207753C"/>
    <w:rsid w:val="425C413F"/>
    <w:rsid w:val="42AA2B2D"/>
    <w:rsid w:val="431542ED"/>
    <w:rsid w:val="431F3848"/>
    <w:rsid w:val="4358468A"/>
    <w:rsid w:val="436A4639"/>
    <w:rsid w:val="43917E18"/>
    <w:rsid w:val="442E5AF9"/>
    <w:rsid w:val="446F1657"/>
    <w:rsid w:val="44B26298"/>
    <w:rsid w:val="453A003B"/>
    <w:rsid w:val="455A19CE"/>
    <w:rsid w:val="455B692F"/>
    <w:rsid w:val="45C36283"/>
    <w:rsid w:val="46F1713E"/>
    <w:rsid w:val="46FC7096"/>
    <w:rsid w:val="4700361B"/>
    <w:rsid w:val="473F1FCD"/>
    <w:rsid w:val="47745A86"/>
    <w:rsid w:val="478D08F6"/>
    <w:rsid w:val="479779C7"/>
    <w:rsid w:val="47BB36B5"/>
    <w:rsid w:val="47D14C87"/>
    <w:rsid w:val="47D4552D"/>
    <w:rsid w:val="4840749F"/>
    <w:rsid w:val="484A67E7"/>
    <w:rsid w:val="487D4E0F"/>
    <w:rsid w:val="488C6E00"/>
    <w:rsid w:val="48F52BF7"/>
    <w:rsid w:val="48FE2599"/>
    <w:rsid w:val="49034248"/>
    <w:rsid w:val="496658A3"/>
    <w:rsid w:val="498B5B07"/>
    <w:rsid w:val="49CA74E0"/>
    <w:rsid w:val="49E07403"/>
    <w:rsid w:val="49E52C6C"/>
    <w:rsid w:val="4A056E6A"/>
    <w:rsid w:val="4A3D6BE7"/>
    <w:rsid w:val="4A797552"/>
    <w:rsid w:val="4B215F25"/>
    <w:rsid w:val="4B251EAD"/>
    <w:rsid w:val="4B4340EE"/>
    <w:rsid w:val="4B7E5126"/>
    <w:rsid w:val="4C0A69B9"/>
    <w:rsid w:val="4C7A2813"/>
    <w:rsid w:val="4C96179F"/>
    <w:rsid w:val="4CBA258C"/>
    <w:rsid w:val="4D387556"/>
    <w:rsid w:val="4D39639D"/>
    <w:rsid w:val="4D504263"/>
    <w:rsid w:val="4D523B49"/>
    <w:rsid w:val="4D5B08E3"/>
    <w:rsid w:val="4D76691F"/>
    <w:rsid w:val="4E7B1458"/>
    <w:rsid w:val="4EBB54B3"/>
    <w:rsid w:val="4EEA2AD2"/>
    <w:rsid w:val="4F035942"/>
    <w:rsid w:val="4F2C5674"/>
    <w:rsid w:val="4F6E6C3E"/>
    <w:rsid w:val="503F7560"/>
    <w:rsid w:val="505F4DFA"/>
    <w:rsid w:val="50CC248F"/>
    <w:rsid w:val="50F1082C"/>
    <w:rsid w:val="50F6750C"/>
    <w:rsid w:val="51070508"/>
    <w:rsid w:val="51175630"/>
    <w:rsid w:val="51AB6E51"/>
    <w:rsid w:val="51F37EF0"/>
    <w:rsid w:val="526E28DF"/>
    <w:rsid w:val="52725202"/>
    <w:rsid w:val="528E440C"/>
    <w:rsid w:val="52BE22AC"/>
    <w:rsid w:val="52D95337"/>
    <w:rsid w:val="53320D06"/>
    <w:rsid w:val="53C75190"/>
    <w:rsid w:val="53CD29E2"/>
    <w:rsid w:val="53F266B1"/>
    <w:rsid w:val="547A66A6"/>
    <w:rsid w:val="548C286E"/>
    <w:rsid w:val="55006BAB"/>
    <w:rsid w:val="5563713A"/>
    <w:rsid w:val="55766EAF"/>
    <w:rsid w:val="56112E3D"/>
    <w:rsid w:val="56A30136"/>
    <w:rsid w:val="56AC4AED"/>
    <w:rsid w:val="578B4632"/>
    <w:rsid w:val="57C87729"/>
    <w:rsid w:val="57F77222"/>
    <w:rsid w:val="57FF139C"/>
    <w:rsid w:val="58006EC2"/>
    <w:rsid w:val="585C3C2E"/>
    <w:rsid w:val="594B335D"/>
    <w:rsid w:val="596040BD"/>
    <w:rsid w:val="59C77731"/>
    <w:rsid w:val="59DD33FF"/>
    <w:rsid w:val="59EA4A63"/>
    <w:rsid w:val="5A5359CF"/>
    <w:rsid w:val="5A9F4737"/>
    <w:rsid w:val="5AB86A1E"/>
    <w:rsid w:val="5AD00DCE"/>
    <w:rsid w:val="5AF8090C"/>
    <w:rsid w:val="5B022F52"/>
    <w:rsid w:val="5B9E2C7A"/>
    <w:rsid w:val="5BDB41D9"/>
    <w:rsid w:val="5C2D3FFE"/>
    <w:rsid w:val="5C2F421A"/>
    <w:rsid w:val="5C583771"/>
    <w:rsid w:val="5C8C5906"/>
    <w:rsid w:val="5D0905C7"/>
    <w:rsid w:val="5D5A7284"/>
    <w:rsid w:val="5D7045A0"/>
    <w:rsid w:val="5DD03F39"/>
    <w:rsid w:val="5E79177D"/>
    <w:rsid w:val="5EA92062"/>
    <w:rsid w:val="5EDA046D"/>
    <w:rsid w:val="5EDA0DEF"/>
    <w:rsid w:val="5F460D7B"/>
    <w:rsid w:val="5F8403D9"/>
    <w:rsid w:val="5F9A19AB"/>
    <w:rsid w:val="5FBF7663"/>
    <w:rsid w:val="5FDD7591"/>
    <w:rsid w:val="60194FC5"/>
    <w:rsid w:val="60251BBC"/>
    <w:rsid w:val="608525E1"/>
    <w:rsid w:val="60D158A0"/>
    <w:rsid w:val="60E058BD"/>
    <w:rsid w:val="6105710D"/>
    <w:rsid w:val="6186165A"/>
    <w:rsid w:val="61B551C2"/>
    <w:rsid w:val="62EE2739"/>
    <w:rsid w:val="63027F93"/>
    <w:rsid w:val="636B3D8A"/>
    <w:rsid w:val="6391072B"/>
    <w:rsid w:val="63CB4828"/>
    <w:rsid w:val="63D660C6"/>
    <w:rsid w:val="63D812B9"/>
    <w:rsid w:val="63ED29F1"/>
    <w:rsid w:val="64226597"/>
    <w:rsid w:val="64837092"/>
    <w:rsid w:val="6497295D"/>
    <w:rsid w:val="64E738E4"/>
    <w:rsid w:val="64EF5313"/>
    <w:rsid w:val="651421FF"/>
    <w:rsid w:val="65742332"/>
    <w:rsid w:val="66660838"/>
    <w:rsid w:val="6703077D"/>
    <w:rsid w:val="67E82146"/>
    <w:rsid w:val="67F85E08"/>
    <w:rsid w:val="684F622E"/>
    <w:rsid w:val="688F051A"/>
    <w:rsid w:val="68996CA3"/>
    <w:rsid w:val="689E075E"/>
    <w:rsid w:val="68A5389A"/>
    <w:rsid w:val="68B46165"/>
    <w:rsid w:val="68D43676"/>
    <w:rsid w:val="68E1689C"/>
    <w:rsid w:val="68E41A1C"/>
    <w:rsid w:val="68EA39A3"/>
    <w:rsid w:val="69BD10B7"/>
    <w:rsid w:val="69D9607C"/>
    <w:rsid w:val="6A4B290C"/>
    <w:rsid w:val="6A556BAD"/>
    <w:rsid w:val="6A920221"/>
    <w:rsid w:val="6AAA66AA"/>
    <w:rsid w:val="6AD541DF"/>
    <w:rsid w:val="6ADF0BB9"/>
    <w:rsid w:val="6AFE54E3"/>
    <w:rsid w:val="6B2A62D8"/>
    <w:rsid w:val="6B7063D2"/>
    <w:rsid w:val="6B721A2E"/>
    <w:rsid w:val="6B8C088D"/>
    <w:rsid w:val="6B910106"/>
    <w:rsid w:val="6CBF4652"/>
    <w:rsid w:val="6CDE3891"/>
    <w:rsid w:val="6DAD31F1"/>
    <w:rsid w:val="6DE210EC"/>
    <w:rsid w:val="6E16145A"/>
    <w:rsid w:val="6EB21F32"/>
    <w:rsid w:val="6F6C3363"/>
    <w:rsid w:val="6FAC546B"/>
    <w:rsid w:val="6FB344DE"/>
    <w:rsid w:val="6FC54822"/>
    <w:rsid w:val="6FD43F21"/>
    <w:rsid w:val="6FE204E1"/>
    <w:rsid w:val="6FF944CB"/>
    <w:rsid w:val="7027728A"/>
    <w:rsid w:val="703C2F7E"/>
    <w:rsid w:val="710F7167"/>
    <w:rsid w:val="718524BB"/>
    <w:rsid w:val="71970440"/>
    <w:rsid w:val="71BF38F2"/>
    <w:rsid w:val="71C17E6A"/>
    <w:rsid w:val="7218332F"/>
    <w:rsid w:val="725A3947"/>
    <w:rsid w:val="726A0F09"/>
    <w:rsid w:val="726E73F3"/>
    <w:rsid w:val="729D6171"/>
    <w:rsid w:val="72A6011F"/>
    <w:rsid w:val="72E74AAF"/>
    <w:rsid w:val="72EE0533"/>
    <w:rsid w:val="734337AD"/>
    <w:rsid w:val="7420471D"/>
    <w:rsid w:val="74C57072"/>
    <w:rsid w:val="74E2500E"/>
    <w:rsid w:val="74F12FC1"/>
    <w:rsid w:val="751D2AF0"/>
    <w:rsid w:val="75720FA8"/>
    <w:rsid w:val="75994786"/>
    <w:rsid w:val="75AA6994"/>
    <w:rsid w:val="75CC6754"/>
    <w:rsid w:val="764F3097"/>
    <w:rsid w:val="76960176"/>
    <w:rsid w:val="769B008A"/>
    <w:rsid w:val="76C577FD"/>
    <w:rsid w:val="771A5453"/>
    <w:rsid w:val="77AB419D"/>
    <w:rsid w:val="77D01FB6"/>
    <w:rsid w:val="77ED7ECD"/>
    <w:rsid w:val="780E7102"/>
    <w:rsid w:val="78306EF8"/>
    <w:rsid w:val="787561F5"/>
    <w:rsid w:val="789624DD"/>
    <w:rsid w:val="78A07BDA"/>
    <w:rsid w:val="78B77617"/>
    <w:rsid w:val="7924541D"/>
    <w:rsid w:val="79667075"/>
    <w:rsid w:val="79AE4579"/>
    <w:rsid w:val="79C93160"/>
    <w:rsid w:val="7A6B4218"/>
    <w:rsid w:val="7A796935"/>
    <w:rsid w:val="7B7A4B9C"/>
    <w:rsid w:val="7B876E2F"/>
    <w:rsid w:val="7B95154C"/>
    <w:rsid w:val="7BDA540C"/>
    <w:rsid w:val="7BF02C26"/>
    <w:rsid w:val="7C0E3995"/>
    <w:rsid w:val="7C23124E"/>
    <w:rsid w:val="7C2F59DB"/>
    <w:rsid w:val="7C38637B"/>
    <w:rsid w:val="7C5A2796"/>
    <w:rsid w:val="7D5611AF"/>
    <w:rsid w:val="7D603DDC"/>
    <w:rsid w:val="7D9A5540"/>
    <w:rsid w:val="7DB303AF"/>
    <w:rsid w:val="7DBE513D"/>
    <w:rsid w:val="7DD763EB"/>
    <w:rsid w:val="7E041C1E"/>
    <w:rsid w:val="7E53749D"/>
    <w:rsid w:val="7EBC55BF"/>
    <w:rsid w:val="7ECF2FC7"/>
    <w:rsid w:val="7F787207"/>
    <w:rsid w:val="7F806259"/>
    <w:rsid w:val="7FA97CBC"/>
    <w:rsid w:val="7FEA5B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semiHidden="0" w:name="index 1"/>
    <w:lsdException w:qFormat="1"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qFormat="1" w:uiPriority="99" w:semiHidden="0" w:name="index heading"/>
    <w:lsdException w:qFormat="1" w:unhideWhenUsed="0" w:uiPriority="0" w:semiHidden="0" w:name="caption"/>
    <w:lsdException w:qFormat="1" w:uiPriority="99" w:semiHidden="0" w:name="table of figures"/>
    <w:lsdException w:qFormat="1" w:uiPriority="99" w:semiHidden="0"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qFormat="1" w:uiPriority="99" w:semiHidden="0" w:name="table of authorities"/>
    <w:lsdException w:qFormat="1" w:uiPriority="99" w:name="macro"/>
    <w:lsdException w:qFormat="1" w:uiPriority="99" w:semiHidden="0" w:name="toa heading"/>
    <w:lsdException w:qFormat="1" w:unhideWhenUsed="0" w:uiPriority="99" w:semiHidden="0" w:name="List"/>
    <w:lsdException w:qFormat="1" w:uiPriority="99" w:semiHidden="0" w:name="List Bullet"/>
    <w:lsdException w:qFormat="1" w:unhideWhenUsed="0" w:uiPriority="99" w:semiHidden="0" w:name="List Number"/>
    <w:lsdException w:qFormat="1" w:uiPriority="99" w:semiHidden="0" w:name="List 2"/>
    <w:lsdException w:qFormat="1" w:uiPriority="99" w:semiHidden="0" w:name="List 3"/>
    <w:lsdException w:qFormat="1" w:uiPriority="99" w:semiHidden="0" w:name="List 4"/>
    <w:lsdException w:qFormat="1" w:unhideWhenUsed="0" w:uiPriority="99" w:semiHidden="0" w:name="List 5"/>
    <w:lsdException w:qFormat="1" w:uiPriority="99" w:semiHidden="0" w:name="List Bullet 2"/>
    <w:lsdException w:qFormat="1" w:uiPriority="99" w:semiHidden="0" w:name="List Bullet 3"/>
    <w:lsdException w:qFormat="1" w:uiPriority="99" w:semiHidden="0" w:name="List Bullet 4"/>
    <w:lsdException w:qFormat="1" w:uiPriority="99" w:semiHidden="0" w:name="List Bullet 5"/>
    <w:lsdException w:qFormat="1" w:uiPriority="99" w:semiHidden="0" w:name="List Number 2"/>
    <w:lsdException w:qFormat="1" w:uiPriority="99" w:semiHidden="0" w:name="List Number 3"/>
    <w:lsdException w:qFormat="1" w:uiPriority="99" w:semiHidden="0" w:name="List Number 4"/>
    <w:lsdException w:qFormat="1" w:uiPriority="99" w:semiHidden="0" w:name="List Number 5"/>
    <w:lsdException w:qFormat="1" w:unhideWhenUsed="0" w:uiPriority="0" w:semiHidden="0" w:name="Title"/>
    <w:lsdException w:qFormat="1" w:unhideWhenUsed="0" w:uiPriority="0" w:semiHidden="0" w:name="Closing"/>
    <w:lsdException w:qFormat="1" w:uiPriority="99" w:semiHidden="0" w:name="Signature"/>
    <w:lsdException w:uiPriority="1" w:name="Default Paragraph Font"/>
    <w:lsdException w:qFormat="1" w:uiPriority="0" w:semiHidden="0" w:name="Body Text"/>
    <w:lsdException w:qFormat="1" w:uiPriority="0" w:semiHidden="0" w:name="Body Text Indent"/>
    <w:lsdException w:qFormat="1" w:uiPriority="99" w:semiHidden="0" w:name="List Continue"/>
    <w:lsdException w:qFormat="1" w:uiPriority="99" w:semiHidden="0" w:name="List Continue 2"/>
    <w:lsdException w:qFormat="1" w:uiPriority="99" w:semiHidden="0" w:name="List Continue 3"/>
    <w:lsdException w:qFormat="1" w:uiPriority="99" w:semiHidden="0" w:name="List Continue 4"/>
    <w:lsdException w:qFormat="1" w:uiPriority="99" w:semiHidden="0" w:name="List Continue 5"/>
    <w:lsdException w:qFormat="1" w:uiPriority="99" w:semiHidden="0" w:name="Message Header"/>
    <w:lsdException w:qFormat="1" w:unhideWhenUsed="0" w:uiPriority="0" w:semiHidden="0" w:name="Subtitle"/>
    <w:lsdException w:qFormat="1" w:unhideWhenUsed="0" w:uiPriority="0" w:semiHidden="0" w:name="Salutation"/>
    <w:lsdException w:qFormat="1" w:uiPriority="99" w:semiHidden="0" w:name="Date"/>
    <w:lsdException w:qFormat="1" w:uiPriority="0" w:semiHidden="0" w:name="Body Text First Indent"/>
    <w:lsdException w:qFormat="1" w:uiPriority="0" w:semiHidden="0" w:name="Body Text First Indent 2"/>
    <w:lsdException w:qFormat="1" w:unhideWhenUsed="0" w:uiPriority="0" w:semiHidden="0" w:name="Note Heading"/>
    <w:lsdException w:qFormat="1" w:uiPriority="99" w:semiHidden="0" w:name="Body Text 2"/>
    <w:lsdException w:qFormat="1"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iPriority="0" w:semiHidden="0" w:name="Plain Text"/>
    <w:lsdException w:qFormat="1" w:uiPriority="99" w:semiHidden="0" w:name="E-mail Signature"/>
    <w:lsdException w:qFormat="1" w:uiPriority="0" w:semiHidden="0" w:name="Normal (Web)"/>
    <w:lsdException w:qFormat="1" w:uiPriority="99" w:name="HTML Acronym"/>
    <w:lsdException w:qFormat="1" w:uiPriority="99" w:semiHidden="0"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qFormat="1" w:uiPriority="99" w:name="HTML Typewriter"/>
    <w:lsdException w:qFormat="1"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08"/>
    <w:qFormat/>
    <w:uiPriority w:val="0"/>
    <w:pPr>
      <w:keepNext/>
      <w:keepLines/>
      <w:spacing w:before="340" w:after="330" w:line="576" w:lineRule="auto"/>
      <w:ind w:left="1800"/>
      <w:jc w:val="center"/>
      <w:outlineLvl w:val="0"/>
    </w:pPr>
    <w:rPr>
      <w:rFonts w:ascii="Times New Roman" w:hAnsi="Times New Roman" w:eastAsia="黑体" w:cs="Times New Roman"/>
      <w:b/>
      <w:kern w:val="44"/>
      <w:sz w:val="36"/>
      <w:szCs w:val="20"/>
    </w:rPr>
  </w:style>
  <w:style w:type="paragraph" w:styleId="5">
    <w:name w:val="heading 2"/>
    <w:basedOn w:val="1"/>
    <w:next w:val="1"/>
    <w:link w:val="109"/>
    <w:qFormat/>
    <w:uiPriority w:val="0"/>
    <w:pPr>
      <w:keepNext/>
      <w:keepLines/>
      <w:spacing w:before="260" w:after="260" w:line="412" w:lineRule="auto"/>
      <w:ind w:left="1800"/>
      <w:jc w:val="center"/>
      <w:outlineLvl w:val="1"/>
    </w:pPr>
    <w:rPr>
      <w:rFonts w:ascii="CG Times" w:hAnsi="CG Times" w:eastAsia="宋体" w:cs="Times New Roman"/>
      <w:b/>
      <w:kern w:val="0"/>
      <w:sz w:val="30"/>
      <w:szCs w:val="20"/>
    </w:rPr>
  </w:style>
  <w:style w:type="paragraph" w:styleId="6">
    <w:name w:val="heading 3"/>
    <w:basedOn w:val="1"/>
    <w:next w:val="1"/>
    <w:link w:val="110"/>
    <w:qFormat/>
    <w:uiPriority w:val="0"/>
    <w:pPr>
      <w:keepNext/>
      <w:keepLines/>
      <w:tabs>
        <w:tab w:val="left" w:pos="5852"/>
      </w:tabs>
      <w:snapToGrid w:val="0"/>
      <w:spacing w:before="360" w:line="240" w:lineRule="exact"/>
      <w:ind w:left="425" w:hanging="425"/>
      <w:outlineLvl w:val="2"/>
    </w:pPr>
    <w:rPr>
      <w:rFonts w:ascii="Times New Roman" w:hAnsi="Times New Roman" w:eastAsia="宋体" w:cs="Times New Roman"/>
      <w:b/>
      <w:kern w:val="0"/>
      <w:sz w:val="28"/>
      <w:szCs w:val="20"/>
    </w:rPr>
  </w:style>
  <w:style w:type="paragraph" w:styleId="7">
    <w:name w:val="heading 4"/>
    <w:basedOn w:val="1"/>
    <w:next w:val="8"/>
    <w:link w:val="111"/>
    <w:qFormat/>
    <w:uiPriority w:val="0"/>
    <w:pPr>
      <w:keepNext/>
      <w:keepLines/>
      <w:tabs>
        <w:tab w:val="left" w:pos="425"/>
      </w:tabs>
      <w:spacing w:before="360" w:line="240" w:lineRule="exact"/>
      <w:ind w:left="425" w:hanging="425"/>
      <w:outlineLvl w:val="3"/>
    </w:pPr>
    <w:rPr>
      <w:rFonts w:ascii="宋体" w:hAnsi="Times New Roman" w:eastAsia="宋体" w:cs="Times New Roman"/>
      <w:b/>
      <w:kern w:val="0"/>
      <w:sz w:val="28"/>
      <w:szCs w:val="20"/>
    </w:rPr>
  </w:style>
  <w:style w:type="paragraph" w:styleId="9">
    <w:name w:val="heading 5"/>
    <w:basedOn w:val="1"/>
    <w:next w:val="8"/>
    <w:link w:val="112"/>
    <w:qFormat/>
    <w:uiPriority w:val="0"/>
    <w:pPr>
      <w:keepNext/>
      <w:keepLines/>
      <w:spacing w:before="280" w:after="290" w:line="374" w:lineRule="auto"/>
      <w:ind w:left="1800"/>
      <w:outlineLvl w:val="4"/>
    </w:pPr>
    <w:rPr>
      <w:rFonts w:ascii="Times New Roman" w:hAnsi="Times New Roman" w:eastAsia="宋体" w:cs="Times New Roman"/>
      <w:b/>
      <w:kern w:val="0"/>
      <w:sz w:val="28"/>
      <w:szCs w:val="20"/>
    </w:rPr>
  </w:style>
  <w:style w:type="paragraph" w:styleId="10">
    <w:name w:val="heading 6"/>
    <w:basedOn w:val="1"/>
    <w:next w:val="8"/>
    <w:link w:val="113"/>
    <w:qFormat/>
    <w:uiPriority w:val="0"/>
    <w:pPr>
      <w:keepNext/>
      <w:keepLines/>
      <w:spacing w:before="240" w:after="64" w:line="319" w:lineRule="auto"/>
      <w:ind w:left="1800"/>
      <w:outlineLvl w:val="5"/>
    </w:pPr>
    <w:rPr>
      <w:rFonts w:ascii="Arial" w:hAnsi="Arial" w:eastAsia="黑体" w:cs="Times New Roman"/>
      <w:b/>
      <w:kern w:val="0"/>
      <w:sz w:val="24"/>
      <w:szCs w:val="20"/>
    </w:rPr>
  </w:style>
  <w:style w:type="paragraph" w:styleId="11">
    <w:name w:val="heading 7"/>
    <w:basedOn w:val="1"/>
    <w:next w:val="8"/>
    <w:link w:val="114"/>
    <w:qFormat/>
    <w:uiPriority w:val="0"/>
    <w:pPr>
      <w:keepNext/>
      <w:keepLines/>
      <w:spacing w:before="240" w:after="64" w:line="319" w:lineRule="auto"/>
      <w:ind w:left="1800"/>
      <w:outlineLvl w:val="6"/>
    </w:pPr>
    <w:rPr>
      <w:rFonts w:ascii="Times New Roman" w:hAnsi="Times New Roman" w:eastAsia="宋体" w:cs="Times New Roman"/>
      <w:b/>
      <w:kern w:val="0"/>
      <w:sz w:val="24"/>
      <w:szCs w:val="20"/>
    </w:rPr>
  </w:style>
  <w:style w:type="paragraph" w:styleId="12">
    <w:name w:val="heading 8"/>
    <w:basedOn w:val="1"/>
    <w:next w:val="8"/>
    <w:link w:val="115"/>
    <w:qFormat/>
    <w:uiPriority w:val="0"/>
    <w:pPr>
      <w:keepNext/>
      <w:keepLines/>
      <w:spacing w:before="240" w:after="64" w:line="319" w:lineRule="auto"/>
      <w:ind w:left="1800"/>
      <w:outlineLvl w:val="7"/>
    </w:pPr>
    <w:rPr>
      <w:rFonts w:ascii="Arial" w:hAnsi="Arial" w:eastAsia="黑体" w:cs="Times New Roman"/>
      <w:kern w:val="0"/>
      <w:sz w:val="24"/>
      <w:szCs w:val="20"/>
    </w:rPr>
  </w:style>
  <w:style w:type="paragraph" w:styleId="13">
    <w:name w:val="heading 9"/>
    <w:basedOn w:val="1"/>
    <w:next w:val="8"/>
    <w:link w:val="116"/>
    <w:qFormat/>
    <w:uiPriority w:val="0"/>
    <w:pPr>
      <w:keepNext/>
      <w:keepLines/>
      <w:spacing w:before="240" w:after="64" w:line="319" w:lineRule="auto"/>
      <w:ind w:left="1800"/>
      <w:outlineLvl w:val="8"/>
    </w:pPr>
    <w:rPr>
      <w:rFonts w:ascii="Arial" w:hAnsi="Arial" w:eastAsia="黑体" w:cs="Times New Roman"/>
      <w:kern w:val="0"/>
      <w:sz w:val="20"/>
      <w:szCs w:val="20"/>
    </w:rPr>
  </w:style>
  <w:style w:type="character" w:default="1" w:styleId="91">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26"/>
    <w:unhideWhenUsed/>
    <w:qFormat/>
    <w:uiPriority w:val="0"/>
    <w:pPr>
      <w:spacing w:after="120"/>
    </w:pPr>
    <w:rPr>
      <w:rFonts w:ascii="Times New Roman" w:hAnsi="Times New Roman" w:eastAsia="宋体" w:cs="Times New Roman"/>
      <w:kern w:val="0"/>
      <w:sz w:val="20"/>
      <w:szCs w:val="24"/>
    </w:rPr>
  </w:style>
  <w:style w:type="paragraph" w:styleId="3">
    <w:name w:val="macro"/>
    <w:link w:val="504"/>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45"/>
    <w:unhideWhenUsed/>
    <w:qFormat/>
    <w:uiPriority w:val="0"/>
    <w:pPr>
      <w:ind w:firstLine="420"/>
    </w:pPr>
    <w:rPr>
      <w:rFonts w:ascii="Times New Roman" w:hAnsi="Times New Roman" w:eastAsia="宋体" w:cs="Times New Roman"/>
      <w:kern w:val="0"/>
      <w:sz w:val="20"/>
      <w:szCs w:val="20"/>
    </w:rPr>
  </w:style>
  <w:style w:type="paragraph" w:styleId="14">
    <w:name w:val="List 3"/>
    <w:basedOn w:val="1"/>
    <w:unhideWhenUsed/>
    <w:qFormat/>
    <w:uiPriority w:val="99"/>
    <w:pPr>
      <w:ind w:left="100" w:leftChars="400" w:hanging="200" w:hangingChars="200"/>
      <w:contextualSpacing/>
    </w:pPr>
    <w:rPr>
      <w:rFonts w:ascii="Times New Roman" w:hAnsi="Times New Roman" w:eastAsia="宋体" w:cs="Times New Roman"/>
      <w:szCs w:val="20"/>
    </w:rPr>
  </w:style>
  <w:style w:type="paragraph" w:styleId="15">
    <w:name w:val="toc 7"/>
    <w:basedOn w:val="1"/>
    <w:next w:val="1"/>
    <w:qFormat/>
    <w:uiPriority w:val="39"/>
    <w:pPr>
      <w:ind w:left="1260"/>
      <w:jc w:val="left"/>
    </w:pPr>
    <w:rPr>
      <w:rFonts w:ascii="Times New Roman" w:hAnsi="Times New Roman" w:eastAsia="宋体" w:cs="Times New Roman"/>
      <w:sz w:val="18"/>
      <w:szCs w:val="18"/>
    </w:rPr>
  </w:style>
  <w:style w:type="paragraph" w:styleId="16">
    <w:name w:val="List Number 2"/>
    <w:basedOn w:val="1"/>
    <w:unhideWhenUsed/>
    <w:qFormat/>
    <w:uiPriority w:val="99"/>
    <w:pPr>
      <w:tabs>
        <w:tab w:val="left" w:pos="780"/>
        <w:tab w:val="left" w:pos="1049"/>
      </w:tabs>
      <w:ind w:left="1049" w:hanging="420"/>
      <w:contextualSpacing/>
    </w:pPr>
    <w:rPr>
      <w:rFonts w:ascii="Times New Roman" w:hAnsi="Times New Roman" w:eastAsia="宋体" w:cs="Times New Roman"/>
      <w:szCs w:val="20"/>
    </w:rPr>
  </w:style>
  <w:style w:type="paragraph" w:styleId="17">
    <w:name w:val="table of authorities"/>
    <w:basedOn w:val="1"/>
    <w:next w:val="1"/>
    <w:unhideWhenUsed/>
    <w:qFormat/>
    <w:uiPriority w:val="99"/>
    <w:pPr>
      <w:ind w:left="420" w:leftChars="200"/>
    </w:pPr>
    <w:rPr>
      <w:rFonts w:ascii="Times New Roman" w:hAnsi="Times New Roman" w:eastAsia="宋体" w:cs="Times New Roman"/>
      <w:szCs w:val="20"/>
    </w:rPr>
  </w:style>
  <w:style w:type="paragraph" w:styleId="18">
    <w:name w:val="Note Heading"/>
    <w:basedOn w:val="1"/>
    <w:next w:val="1"/>
    <w:link w:val="119"/>
    <w:qFormat/>
    <w:uiPriority w:val="0"/>
    <w:pPr>
      <w:adjustRightInd w:val="0"/>
      <w:spacing w:line="312" w:lineRule="atLeast"/>
      <w:jc w:val="center"/>
      <w:textAlignment w:val="baseline"/>
    </w:pPr>
  </w:style>
  <w:style w:type="paragraph" w:styleId="19">
    <w:name w:val="List Bullet 4"/>
    <w:basedOn w:val="1"/>
    <w:unhideWhenUsed/>
    <w:qFormat/>
    <w:uiPriority w:val="99"/>
    <w:pPr>
      <w:tabs>
        <w:tab w:val="left" w:pos="720"/>
        <w:tab w:val="left" w:pos="1620"/>
      </w:tabs>
      <w:ind w:left="720" w:hanging="360"/>
      <w:contextualSpacing/>
    </w:pPr>
    <w:rPr>
      <w:rFonts w:ascii="Times New Roman" w:hAnsi="Times New Roman" w:eastAsia="宋体" w:cs="Times New Roman"/>
      <w:szCs w:val="20"/>
    </w:rPr>
  </w:style>
  <w:style w:type="paragraph" w:styleId="20">
    <w:name w:val="index 8"/>
    <w:basedOn w:val="1"/>
    <w:next w:val="1"/>
    <w:unhideWhenUsed/>
    <w:qFormat/>
    <w:uiPriority w:val="99"/>
    <w:pPr>
      <w:ind w:left="1400" w:leftChars="1400"/>
    </w:pPr>
    <w:rPr>
      <w:rFonts w:ascii="Times New Roman" w:hAnsi="Times New Roman" w:eastAsia="宋体" w:cs="Times New Roman"/>
      <w:szCs w:val="20"/>
    </w:rPr>
  </w:style>
  <w:style w:type="paragraph" w:styleId="21">
    <w:name w:val="E-mail Signature"/>
    <w:basedOn w:val="1"/>
    <w:link w:val="120"/>
    <w:unhideWhenUsed/>
    <w:qFormat/>
    <w:uiPriority w:val="99"/>
  </w:style>
  <w:style w:type="paragraph" w:styleId="22">
    <w:name w:val="List Number"/>
    <w:basedOn w:val="1"/>
    <w:qFormat/>
    <w:uiPriority w:val="99"/>
    <w:pPr>
      <w:ind w:left="425" w:hanging="425"/>
    </w:pPr>
    <w:rPr>
      <w:rFonts w:ascii="Times New Roman" w:hAnsi="Times New Roman" w:eastAsia="宋体" w:cs="Times New Roman"/>
      <w:szCs w:val="24"/>
    </w:rPr>
  </w:style>
  <w:style w:type="paragraph" w:styleId="23">
    <w:name w:val="caption"/>
    <w:basedOn w:val="1"/>
    <w:next w:val="1"/>
    <w:qFormat/>
    <w:uiPriority w:val="0"/>
    <w:pPr>
      <w:spacing w:before="152" w:after="160"/>
    </w:pPr>
    <w:rPr>
      <w:rFonts w:ascii="Arial" w:hAnsi="Arial" w:eastAsia="黑体" w:cs="Times New Roman"/>
      <w:sz w:val="32"/>
      <w:szCs w:val="20"/>
    </w:rPr>
  </w:style>
  <w:style w:type="paragraph" w:styleId="24">
    <w:name w:val="index 5"/>
    <w:basedOn w:val="1"/>
    <w:next w:val="1"/>
    <w:unhideWhenUsed/>
    <w:qFormat/>
    <w:uiPriority w:val="99"/>
    <w:pPr>
      <w:ind w:left="800" w:leftChars="800"/>
    </w:pPr>
    <w:rPr>
      <w:rFonts w:ascii="Times New Roman" w:hAnsi="Times New Roman" w:eastAsia="宋体" w:cs="Times New Roman"/>
      <w:szCs w:val="20"/>
    </w:rPr>
  </w:style>
  <w:style w:type="paragraph" w:styleId="25">
    <w:name w:val="List Bullet"/>
    <w:basedOn w:val="1"/>
    <w:unhideWhenUsed/>
    <w:qFormat/>
    <w:uiPriority w:val="99"/>
    <w:pPr>
      <w:tabs>
        <w:tab w:val="left" w:pos="360"/>
        <w:tab w:val="left" w:pos="1134"/>
      </w:tabs>
      <w:ind w:left="1134" w:hanging="1134"/>
      <w:contextualSpacing/>
    </w:pPr>
    <w:rPr>
      <w:rFonts w:ascii="Times New Roman" w:hAnsi="Times New Roman" w:eastAsia="宋体" w:cs="Times New Roman"/>
      <w:szCs w:val="20"/>
    </w:rPr>
  </w:style>
  <w:style w:type="paragraph" w:styleId="26">
    <w:name w:val="envelope address"/>
    <w:basedOn w:val="1"/>
    <w:unhideWhenUsed/>
    <w:qFormat/>
    <w:uiPriority w:val="99"/>
    <w:pPr>
      <w:framePr w:w="7920" w:h="1980" w:hRule="exact" w:hSpace="180" w:wrap="around" w:vAnchor="margin" w:hAnchor="page" w:xAlign="center" w:yAlign="bottom"/>
      <w:snapToGrid w:val="0"/>
      <w:ind w:left="100" w:leftChars="1400"/>
    </w:pPr>
    <w:rPr>
      <w:rFonts w:ascii="Cambria" w:hAnsi="Cambria" w:eastAsia="宋体" w:cs="Times New Roman"/>
      <w:sz w:val="24"/>
      <w:szCs w:val="24"/>
    </w:rPr>
  </w:style>
  <w:style w:type="paragraph" w:styleId="27">
    <w:name w:val="Document Map"/>
    <w:basedOn w:val="1"/>
    <w:link w:val="121"/>
    <w:unhideWhenUsed/>
    <w:qFormat/>
    <w:uiPriority w:val="99"/>
    <w:pPr>
      <w:shd w:val="clear" w:color="auto" w:fill="000080"/>
    </w:pPr>
    <w:rPr>
      <w:rFonts w:ascii="Times New Roman" w:hAnsi="Times New Roman" w:eastAsia="宋体" w:cs="Times New Roman"/>
      <w:kern w:val="0"/>
      <w:sz w:val="20"/>
      <w:szCs w:val="24"/>
    </w:rPr>
  </w:style>
  <w:style w:type="paragraph" w:styleId="28">
    <w:name w:val="toa heading"/>
    <w:basedOn w:val="1"/>
    <w:next w:val="1"/>
    <w:unhideWhenUsed/>
    <w:qFormat/>
    <w:uiPriority w:val="99"/>
    <w:pPr>
      <w:spacing w:before="120"/>
    </w:pPr>
    <w:rPr>
      <w:rFonts w:ascii="Cambria" w:hAnsi="Cambria" w:eastAsia="宋体" w:cs="Times New Roman"/>
      <w:sz w:val="24"/>
      <w:szCs w:val="24"/>
    </w:rPr>
  </w:style>
  <w:style w:type="paragraph" w:styleId="29">
    <w:name w:val="annotation text"/>
    <w:basedOn w:val="1"/>
    <w:link w:val="122"/>
    <w:qFormat/>
    <w:uiPriority w:val="0"/>
    <w:pPr>
      <w:jc w:val="left"/>
    </w:pPr>
    <w:rPr>
      <w:rFonts w:ascii="Times New Roman" w:hAnsi="Times New Roman" w:eastAsia="宋体" w:cs="Times New Roman"/>
      <w:kern w:val="0"/>
      <w:sz w:val="20"/>
      <w:szCs w:val="24"/>
    </w:rPr>
  </w:style>
  <w:style w:type="paragraph" w:styleId="30">
    <w:name w:val="index 6"/>
    <w:basedOn w:val="1"/>
    <w:next w:val="1"/>
    <w:unhideWhenUsed/>
    <w:qFormat/>
    <w:uiPriority w:val="99"/>
    <w:pPr>
      <w:ind w:left="1000" w:leftChars="1000"/>
    </w:pPr>
    <w:rPr>
      <w:rFonts w:ascii="Times New Roman" w:hAnsi="Times New Roman" w:eastAsia="宋体" w:cs="Times New Roman"/>
      <w:szCs w:val="20"/>
    </w:rPr>
  </w:style>
  <w:style w:type="paragraph" w:styleId="31">
    <w:name w:val="Salutation"/>
    <w:basedOn w:val="1"/>
    <w:next w:val="1"/>
    <w:link w:val="123"/>
    <w:qFormat/>
    <w:uiPriority w:val="0"/>
  </w:style>
  <w:style w:type="paragraph" w:styleId="32">
    <w:name w:val="Body Text 3"/>
    <w:basedOn w:val="1"/>
    <w:link w:val="124"/>
    <w:unhideWhenUsed/>
    <w:qFormat/>
    <w:uiPriority w:val="0"/>
    <w:pPr>
      <w:jc w:val="center"/>
    </w:pPr>
    <w:rPr>
      <w:rFonts w:ascii="宋体" w:hAnsi="宋体" w:eastAsia="宋体" w:cs="Times New Roman"/>
      <w:kern w:val="0"/>
      <w:sz w:val="20"/>
      <w:szCs w:val="21"/>
    </w:rPr>
  </w:style>
  <w:style w:type="paragraph" w:styleId="33">
    <w:name w:val="Closing"/>
    <w:basedOn w:val="1"/>
    <w:link w:val="125"/>
    <w:qFormat/>
    <w:uiPriority w:val="0"/>
    <w:pPr>
      <w:ind w:left="100" w:leftChars="2100"/>
    </w:pPr>
    <w:rPr>
      <w:sz w:val="32"/>
    </w:rPr>
  </w:style>
  <w:style w:type="paragraph" w:styleId="34">
    <w:name w:val="List Bullet 3"/>
    <w:basedOn w:val="1"/>
    <w:unhideWhenUsed/>
    <w:qFormat/>
    <w:uiPriority w:val="99"/>
    <w:pPr>
      <w:tabs>
        <w:tab w:val="left" w:pos="1134"/>
        <w:tab w:val="left" w:pos="1200"/>
      </w:tabs>
      <w:ind w:left="1134" w:hanging="1134"/>
      <w:contextualSpacing/>
    </w:pPr>
    <w:rPr>
      <w:rFonts w:ascii="Times New Roman" w:hAnsi="Times New Roman" w:eastAsia="宋体" w:cs="Times New Roman"/>
      <w:szCs w:val="20"/>
    </w:rPr>
  </w:style>
  <w:style w:type="paragraph" w:styleId="35">
    <w:name w:val="Body Text Indent"/>
    <w:basedOn w:val="1"/>
    <w:next w:val="36"/>
    <w:link w:val="127"/>
    <w:unhideWhenUsed/>
    <w:qFormat/>
    <w:uiPriority w:val="0"/>
    <w:pPr>
      <w:snapToGrid w:val="0"/>
      <w:spacing w:line="500" w:lineRule="exact"/>
      <w:ind w:firstLine="420"/>
    </w:pPr>
    <w:rPr>
      <w:rFonts w:ascii="宋体" w:hAnsi="Times New Roman" w:eastAsia="宋体" w:cs="Times New Roman"/>
      <w:kern w:val="0"/>
      <w:sz w:val="24"/>
      <w:szCs w:val="24"/>
    </w:rPr>
  </w:style>
  <w:style w:type="paragraph" w:styleId="36">
    <w:name w:val="envelope return"/>
    <w:basedOn w:val="1"/>
    <w:unhideWhenUsed/>
    <w:qFormat/>
    <w:uiPriority w:val="99"/>
    <w:pPr>
      <w:snapToGrid w:val="0"/>
    </w:pPr>
    <w:rPr>
      <w:rFonts w:ascii="Cambria" w:hAnsi="Cambria" w:eastAsia="宋体" w:cs="Times New Roman"/>
      <w:szCs w:val="20"/>
    </w:rPr>
  </w:style>
  <w:style w:type="paragraph" w:styleId="37">
    <w:name w:val="List Number 3"/>
    <w:basedOn w:val="1"/>
    <w:unhideWhenUsed/>
    <w:qFormat/>
    <w:uiPriority w:val="99"/>
    <w:pPr>
      <w:tabs>
        <w:tab w:val="left" w:pos="180"/>
        <w:tab w:val="left" w:pos="1200"/>
      </w:tabs>
      <w:ind w:left="180" w:hanging="180"/>
      <w:contextualSpacing/>
    </w:pPr>
    <w:rPr>
      <w:rFonts w:ascii="Times New Roman" w:hAnsi="Times New Roman" w:eastAsia="宋体" w:cs="Times New Roman"/>
      <w:szCs w:val="20"/>
    </w:rPr>
  </w:style>
  <w:style w:type="paragraph" w:styleId="38">
    <w:name w:val="List 2"/>
    <w:basedOn w:val="1"/>
    <w:unhideWhenUsed/>
    <w:qFormat/>
    <w:uiPriority w:val="99"/>
    <w:pPr>
      <w:ind w:left="100" w:leftChars="200" w:hanging="200" w:hangingChars="200"/>
      <w:contextualSpacing/>
    </w:pPr>
    <w:rPr>
      <w:rFonts w:ascii="Times New Roman" w:hAnsi="Times New Roman" w:eastAsia="宋体" w:cs="Times New Roman"/>
      <w:szCs w:val="20"/>
    </w:rPr>
  </w:style>
  <w:style w:type="paragraph" w:styleId="39">
    <w:name w:val="List Continue"/>
    <w:basedOn w:val="1"/>
    <w:unhideWhenUsed/>
    <w:qFormat/>
    <w:uiPriority w:val="99"/>
    <w:pPr>
      <w:spacing w:after="120"/>
      <w:ind w:left="420" w:leftChars="200"/>
      <w:contextualSpacing/>
    </w:pPr>
    <w:rPr>
      <w:rFonts w:ascii="Times New Roman" w:hAnsi="Times New Roman" w:eastAsia="宋体" w:cs="Times New Roman"/>
      <w:szCs w:val="20"/>
    </w:rPr>
  </w:style>
  <w:style w:type="paragraph" w:styleId="40">
    <w:name w:val="Block Text"/>
    <w:basedOn w:val="1"/>
    <w:qFormat/>
    <w:uiPriority w:val="0"/>
    <w:pPr>
      <w:autoSpaceDE w:val="0"/>
      <w:autoSpaceDN w:val="0"/>
      <w:adjustRightInd w:val="0"/>
      <w:spacing w:line="500" w:lineRule="exact"/>
      <w:ind w:left="391" w:right="246"/>
    </w:pPr>
    <w:rPr>
      <w:rFonts w:ascii="仿宋_GB2312" w:hAnsi="Times New Roman" w:eastAsia="仿宋_GB2312" w:cs="Times New Roman"/>
      <w:kern w:val="0"/>
      <w:sz w:val="24"/>
      <w:szCs w:val="24"/>
    </w:rPr>
  </w:style>
  <w:style w:type="paragraph" w:styleId="41">
    <w:name w:val="List Bullet 2"/>
    <w:basedOn w:val="1"/>
    <w:unhideWhenUsed/>
    <w:qFormat/>
    <w:uiPriority w:val="99"/>
    <w:pPr>
      <w:tabs>
        <w:tab w:val="left" w:pos="425"/>
        <w:tab w:val="left" w:pos="780"/>
      </w:tabs>
      <w:ind w:left="425" w:hanging="425"/>
      <w:contextualSpacing/>
    </w:pPr>
    <w:rPr>
      <w:rFonts w:ascii="Times New Roman" w:hAnsi="Times New Roman" w:eastAsia="宋体" w:cs="Times New Roman"/>
      <w:szCs w:val="20"/>
    </w:rPr>
  </w:style>
  <w:style w:type="paragraph" w:styleId="42">
    <w:name w:val="HTML Address"/>
    <w:basedOn w:val="1"/>
    <w:link w:val="128"/>
    <w:unhideWhenUsed/>
    <w:qFormat/>
    <w:uiPriority w:val="99"/>
    <w:rPr>
      <w:i/>
      <w:iCs/>
    </w:rPr>
  </w:style>
  <w:style w:type="paragraph" w:styleId="43">
    <w:name w:val="index 4"/>
    <w:basedOn w:val="1"/>
    <w:next w:val="1"/>
    <w:unhideWhenUsed/>
    <w:qFormat/>
    <w:uiPriority w:val="99"/>
    <w:pPr>
      <w:ind w:left="600" w:leftChars="600"/>
    </w:pPr>
    <w:rPr>
      <w:rFonts w:ascii="Times New Roman" w:hAnsi="Times New Roman" w:eastAsia="宋体" w:cs="Times New Roman"/>
      <w:szCs w:val="20"/>
    </w:rPr>
  </w:style>
  <w:style w:type="paragraph" w:styleId="44">
    <w:name w:val="toc 5"/>
    <w:basedOn w:val="1"/>
    <w:next w:val="1"/>
    <w:qFormat/>
    <w:uiPriority w:val="39"/>
    <w:pPr>
      <w:ind w:left="840"/>
      <w:jc w:val="left"/>
    </w:pPr>
    <w:rPr>
      <w:rFonts w:ascii="Times New Roman" w:hAnsi="Times New Roman" w:eastAsia="宋体" w:cs="Times New Roman"/>
      <w:sz w:val="18"/>
      <w:szCs w:val="18"/>
    </w:rPr>
  </w:style>
  <w:style w:type="paragraph" w:styleId="45">
    <w:name w:val="toc 3"/>
    <w:basedOn w:val="1"/>
    <w:next w:val="1"/>
    <w:qFormat/>
    <w:uiPriority w:val="39"/>
    <w:pPr>
      <w:ind w:left="400" w:leftChars="400"/>
    </w:pPr>
    <w:rPr>
      <w:rFonts w:ascii="Times New Roman" w:hAnsi="Times New Roman" w:eastAsia="宋体" w:cs="Times New Roman"/>
      <w:szCs w:val="24"/>
    </w:rPr>
  </w:style>
  <w:style w:type="paragraph" w:styleId="46">
    <w:name w:val="Plain Text"/>
    <w:basedOn w:val="1"/>
    <w:link w:val="129"/>
    <w:unhideWhenUsed/>
    <w:qFormat/>
    <w:uiPriority w:val="0"/>
    <w:rPr>
      <w:rFonts w:ascii="宋体" w:hAnsi="Courier New" w:eastAsia="宋体" w:cs="Times New Roman"/>
      <w:kern w:val="0"/>
      <w:sz w:val="20"/>
      <w:szCs w:val="20"/>
    </w:rPr>
  </w:style>
  <w:style w:type="paragraph" w:styleId="47">
    <w:name w:val="List Bullet 5"/>
    <w:basedOn w:val="1"/>
    <w:unhideWhenUsed/>
    <w:qFormat/>
    <w:uiPriority w:val="99"/>
    <w:pPr>
      <w:tabs>
        <w:tab w:val="left" w:pos="720"/>
        <w:tab w:val="left" w:pos="2040"/>
      </w:tabs>
      <w:ind w:left="720" w:hanging="360"/>
      <w:contextualSpacing/>
    </w:pPr>
    <w:rPr>
      <w:rFonts w:ascii="Times New Roman" w:hAnsi="Times New Roman" w:eastAsia="宋体" w:cs="Times New Roman"/>
      <w:szCs w:val="20"/>
    </w:rPr>
  </w:style>
  <w:style w:type="paragraph" w:styleId="48">
    <w:name w:val="List Number 4"/>
    <w:basedOn w:val="1"/>
    <w:unhideWhenUsed/>
    <w:qFormat/>
    <w:uiPriority w:val="99"/>
    <w:pPr>
      <w:tabs>
        <w:tab w:val="left" w:pos="600"/>
        <w:tab w:val="left" w:pos="1620"/>
      </w:tabs>
      <w:ind w:left="600" w:hanging="600"/>
      <w:contextualSpacing/>
    </w:pPr>
    <w:rPr>
      <w:rFonts w:ascii="Times New Roman" w:hAnsi="Times New Roman" w:eastAsia="宋体" w:cs="Times New Roman"/>
      <w:szCs w:val="20"/>
    </w:rPr>
  </w:style>
  <w:style w:type="paragraph" w:styleId="49">
    <w:name w:val="toc 8"/>
    <w:basedOn w:val="1"/>
    <w:next w:val="1"/>
    <w:qFormat/>
    <w:uiPriority w:val="39"/>
    <w:pPr>
      <w:ind w:left="1470"/>
      <w:jc w:val="left"/>
    </w:pPr>
    <w:rPr>
      <w:rFonts w:ascii="Times New Roman" w:hAnsi="Times New Roman" w:eastAsia="宋体" w:cs="Times New Roman"/>
      <w:sz w:val="18"/>
      <w:szCs w:val="18"/>
    </w:rPr>
  </w:style>
  <w:style w:type="paragraph" w:styleId="50">
    <w:name w:val="index 3"/>
    <w:basedOn w:val="1"/>
    <w:next w:val="1"/>
    <w:unhideWhenUsed/>
    <w:qFormat/>
    <w:uiPriority w:val="99"/>
    <w:pPr>
      <w:ind w:left="400" w:leftChars="400"/>
    </w:pPr>
    <w:rPr>
      <w:rFonts w:ascii="Times New Roman" w:hAnsi="Times New Roman" w:eastAsia="宋体" w:cs="Times New Roman"/>
      <w:szCs w:val="20"/>
    </w:rPr>
  </w:style>
  <w:style w:type="paragraph" w:styleId="51">
    <w:name w:val="Date"/>
    <w:basedOn w:val="1"/>
    <w:next w:val="1"/>
    <w:link w:val="130"/>
    <w:unhideWhenUsed/>
    <w:qFormat/>
    <w:uiPriority w:val="99"/>
    <w:pPr>
      <w:ind w:left="100" w:leftChars="2500"/>
    </w:pPr>
    <w:rPr>
      <w:rFonts w:ascii="Times New Roman" w:hAnsi="Times New Roman" w:eastAsia="宋体" w:cs="Times New Roman"/>
      <w:kern w:val="0"/>
      <w:sz w:val="24"/>
      <w:szCs w:val="24"/>
    </w:rPr>
  </w:style>
  <w:style w:type="paragraph" w:styleId="52">
    <w:name w:val="Body Text Indent 2"/>
    <w:basedOn w:val="1"/>
    <w:link w:val="13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53">
    <w:name w:val="endnote text"/>
    <w:basedOn w:val="1"/>
    <w:link w:val="132"/>
    <w:unhideWhenUsed/>
    <w:qFormat/>
    <w:uiPriority w:val="99"/>
    <w:pPr>
      <w:snapToGrid w:val="0"/>
      <w:jc w:val="left"/>
    </w:pPr>
  </w:style>
  <w:style w:type="paragraph" w:styleId="54">
    <w:name w:val="List Continue 5"/>
    <w:basedOn w:val="1"/>
    <w:unhideWhenUsed/>
    <w:qFormat/>
    <w:uiPriority w:val="99"/>
    <w:pPr>
      <w:spacing w:after="120"/>
      <w:ind w:left="2100" w:leftChars="1000"/>
      <w:contextualSpacing/>
    </w:pPr>
    <w:rPr>
      <w:rFonts w:ascii="Times New Roman" w:hAnsi="Times New Roman" w:eastAsia="宋体" w:cs="Times New Roman"/>
      <w:szCs w:val="20"/>
    </w:rPr>
  </w:style>
  <w:style w:type="paragraph" w:styleId="55">
    <w:name w:val="Balloon Text"/>
    <w:basedOn w:val="1"/>
    <w:link w:val="133"/>
    <w:unhideWhenUsed/>
    <w:qFormat/>
    <w:uiPriority w:val="0"/>
    <w:rPr>
      <w:rFonts w:ascii="Times New Roman" w:hAnsi="Times New Roman" w:eastAsia="宋体" w:cs="Times New Roman"/>
      <w:kern w:val="0"/>
      <w:sz w:val="18"/>
      <w:szCs w:val="18"/>
    </w:rPr>
  </w:style>
  <w:style w:type="paragraph" w:styleId="56">
    <w:name w:val="footer"/>
    <w:basedOn w:val="1"/>
    <w:link w:val="107"/>
    <w:unhideWhenUsed/>
    <w:qFormat/>
    <w:uiPriority w:val="99"/>
    <w:pPr>
      <w:tabs>
        <w:tab w:val="center" w:pos="4153"/>
        <w:tab w:val="right" w:pos="8306"/>
      </w:tabs>
      <w:snapToGrid w:val="0"/>
      <w:jc w:val="left"/>
    </w:pPr>
    <w:rPr>
      <w:sz w:val="18"/>
      <w:szCs w:val="18"/>
    </w:rPr>
  </w:style>
  <w:style w:type="paragraph" w:styleId="57">
    <w:name w:val="header"/>
    <w:basedOn w:val="1"/>
    <w:link w:val="106"/>
    <w:unhideWhenUsed/>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link w:val="134"/>
    <w:unhideWhenUsed/>
    <w:qFormat/>
    <w:uiPriority w:val="99"/>
    <w:pPr>
      <w:ind w:left="100" w:leftChars="2100"/>
    </w:pPr>
  </w:style>
  <w:style w:type="paragraph" w:styleId="59">
    <w:name w:val="toc 1"/>
    <w:basedOn w:val="1"/>
    <w:next w:val="1"/>
    <w:unhideWhenUsed/>
    <w:qFormat/>
    <w:uiPriority w:val="39"/>
    <w:rPr>
      <w:rFonts w:ascii="Times New Roman" w:hAnsi="Times New Roman" w:eastAsia="宋体" w:cs="Times New Roman"/>
      <w:szCs w:val="24"/>
    </w:rPr>
  </w:style>
  <w:style w:type="paragraph" w:styleId="60">
    <w:name w:val="List Continue 4"/>
    <w:basedOn w:val="1"/>
    <w:unhideWhenUsed/>
    <w:qFormat/>
    <w:uiPriority w:val="99"/>
    <w:pPr>
      <w:spacing w:after="120"/>
      <w:ind w:left="1680" w:leftChars="800"/>
      <w:contextualSpacing/>
    </w:pPr>
    <w:rPr>
      <w:rFonts w:ascii="Times New Roman" w:hAnsi="Times New Roman" w:eastAsia="宋体" w:cs="Times New Roman"/>
      <w:szCs w:val="20"/>
    </w:rPr>
  </w:style>
  <w:style w:type="paragraph" w:styleId="61">
    <w:name w:val="toc 4"/>
    <w:basedOn w:val="1"/>
    <w:next w:val="1"/>
    <w:qFormat/>
    <w:uiPriority w:val="39"/>
    <w:pPr>
      <w:ind w:left="630"/>
      <w:jc w:val="left"/>
    </w:pPr>
    <w:rPr>
      <w:rFonts w:ascii="Times New Roman" w:hAnsi="Times New Roman" w:eastAsia="宋体" w:cs="Times New Roman"/>
      <w:sz w:val="18"/>
      <w:szCs w:val="18"/>
    </w:rPr>
  </w:style>
  <w:style w:type="paragraph" w:styleId="62">
    <w:name w:val="index heading"/>
    <w:basedOn w:val="1"/>
    <w:next w:val="63"/>
    <w:unhideWhenUsed/>
    <w:qFormat/>
    <w:uiPriority w:val="99"/>
    <w:rPr>
      <w:rFonts w:ascii="Cambria" w:hAnsi="Cambria" w:eastAsia="宋体" w:cs="Times New Roman"/>
      <w:b/>
      <w:bCs/>
      <w:szCs w:val="20"/>
    </w:rPr>
  </w:style>
  <w:style w:type="paragraph" w:styleId="63">
    <w:name w:val="index 1"/>
    <w:basedOn w:val="1"/>
    <w:next w:val="1"/>
    <w:unhideWhenUsed/>
    <w:qFormat/>
    <w:uiPriority w:val="99"/>
  </w:style>
  <w:style w:type="paragraph" w:styleId="64">
    <w:name w:val="Subtitle"/>
    <w:basedOn w:val="1"/>
    <w:next w:val="1"/>
    <w:link w:val="135"/>
    <w:qFormat/>
    <w:uiPriority w:val="0"/>
    <w:pPr>
      <w:spacing w:before="240" w:after="60" w:line="312" w:lineRule="auto"/>
      <w:jc w:val="center"/>
      <w:outlineLvl w:val="1"/>
    </w:pPr>
    <w:rPr>
      <w:rFonts w:ascii="Cambria" w:hAnsi="Cambria"/>
      <w:b/>
      <w:bCs/>
      <w:kern w:val="28"/>
      <w:sz w:val="32"/>
      <w:szCs w:val="32"/>
    </w:rPr>
  </w:style>
  <w:style w:type="paragraph" w:styleId="65">
    <w:name w:val="List Number 5"/>
    <w:basedOn w:val="1"/>
    <w:unhideWhenUsed/>
    <w:qFormat/>
    <w:uiPriority w:val="99"/>
    <w:pPr>
      <w:tabs>
        <w:tab w:val="left" w:pos="1049"/>
        <w:tab w:val="left" w:pos="2040"/>
      </w:tabs>
      <w:ind w:left="1049" w:hanging="420"/>
      <w:contextualSpacing/>
    </w:pPr>
    <w:rPr>
      <w:rFonts w:ascii="Times New Roman" w:hAnsi="Times New Roman" w:eastAsia="宋体" w:cs="Times New Roman"/>
      <w:szCs w:val="20"/>
    </w:rPr>
  </w:style>
  <w:style w:type="paragraph" w:styleId="66">
    <w:name w:val="List"/>
    <w:basedOn w:val="2"/>
    <w:qFormat/>
    <w:uiPriority w:val="99"/>
    <w:pPr>
      <w:suppressAutoHyphens/>
    </w:pPr>
    <w:rPr>
      <w:rFonts w:ascii="等线" w:hAnsi="等线" w:eastAsia="等线"/>
      <w:kern w:val="1"/>
      <w:sz w:val="21"/>
      <w:lang w:eastAsia="ar-SA"/>
    </w:rPr>
  </w:style>
  <w:style w:type="paragraph" w:styleId="67">
    <w:name w:val="footnote text"/>
    <w:basedOn w:val="1"/>
    <w:link w:val="136"/>
    <w:unhideWhenUsed/>
    <w:qFormat/>
    <w:uiPriority w:val="99"/>
    <w:pPr>
      <w:snapToGrid w:val="0"/>
      <w:jc w:val="left"/>
    </w:pPr>
    <w:rPr>
      <w:sz w:val="18"/>
      <w:szCs w:val="18"/>
    </w:rPr>
  </w:style>
  <w:style w:type="paragraph" w:styleId="68">
    <w:name w:val="toc 6"/>
    <w:basedOn w:val="1"/>
    <w:next w:val="1"/>
    <w:qFormat/>
    <w:uiPriority w:val="39"/>
    <w:pPr>
      <w:ind w:left="1050"/>
      <w:jc w:val="left"/>
    </w:pPr>
    <w:rPr>
      <w:rFonts w:ascii="Times New Roman" w:hAnsi="Times New Roman" w:eastAsia="宋体" w:cs="Times New Roman"/>
      <w:sz w:val="18"/>
      <w:szCs w:val="18"/>
    </w:rPr>
  </w:style>
  <w:style w:type="paragraph" w:styleId="69">
    <w:name w:val="List 5"/>
    <w:basedOn w:val="1"/>
    <w:qFormat/>
    <w:uiPriority w:val="99"/>
    <w:pPr>
      <w:ind w:left="1000" w:leftChars="800" w:hanging="200" w:hangingChars="200"/>
    </w:pPr>
    <w:rPr>
      <w:rFonts w:ascii="Times New Roman" w:hAnsi="Times New Roman" w:eastAsia="宋体" w:cs="Times New Roman"/>
      <w:szCs w:val="24"/>
    </w:rPr>
  </w:style>
  <w:style w:type="paragraph" w:styleId="70">
    <w:name w:val="Body Text Indent 3"/>
    <w:basedOn w:val="1"/>
    <w:link w:val="137"/>
    <w:unhideWhenUsed/>
    <w:qFormat/>
    <w:uiPriority w:val="0"/>
    <w:pPr>
      <w:spacing w:line="520" w:lineRule="exact"/>
      <w:ind w:firstLine="560" w:firstLineChars="200"/>
    </w:pPr>
    <w:rPr>
      <w:rFonts w:ascii="宋体" w:hAnsi="宋体" w:eastAsia="宋体" w:cs="Times New Roman"/>
      <w:kern w:val="0"/>
      <w:sz w:val="28"/>
      <w:szCs w:val="24"/>
      <w:u w:val="single"/>
    </w:rPr>
  </w:style>
  <w:style w:type="paragraph" w:styleId="71">
    <w:name w:val="index 7"/>
    <w:basedOn w:val="1"/>
    <w:next w:val="1"/>
    <w:unhideWhenUsed/>
    <w:qFormat/>
    <w:uiPriority w:val="99"/>
    <w:pPr>
      <w:ind w:left="1200" w:leftChars="1200"/>
    </w:pPr>
    <w:rPr>
      <w:rFonts w:ascii="Times New Roman" w:hAnsi="Times New Roman" w:eastAsia="宋体" w:cs="Times New Roman"/>
      <w:szCs w:val="20"/>
    </w:rPr>
  </w:style>
  <w:style w:type="paragraph" w:styleId="72">
    <w:name w:val="index 9"/>
    <w:basedOn w:val="1"/>
    <w:next w:val="1"/>
    <w:unhideWhenUsed/>
    <w:qFormat/>
    <w:uiPriority w:val="99"/>
    <w:pPr>
      <w:ind w:left="1600" w:leftChars="1600"/>
    </w:pPr>
    <w:rPr>
      <w:rFonts w:ascii="Times New Roman" w:hAnsi="Times New Roman" w:eastAsia="宋体" w:cs="Times New Roman"/>
      <w:szCs w:val="20"/>
    </w:rPr>
  </w:style>
  <w:style w:type="paragraph" w:styleId="73">
    <w:name w:val="table of figures"/>
    <w:basedOn w:val="1"/>
    <w:next w:val="1"/>
    <w:unhideWhenUsed/>
    <w:qFormat/>
    <w:uiPriority w:val="99"/>
    <w:pPr>
      <w:ind w:left="200" w:leftChars="200" w:hanging="200" w:hangingChars="200"/>
    </w:pPr>
    <w:rPr>
      <w:rFonts w:ascii="Times New Roman" w:hAnsi="Times New Roman" w:eastAsia="宋体" w:cs="Times New Roman"/>
      <w:szCs w:val="20"/>
    </w:rPr>
  </w:style>
  <w:style w:type="paragraph" w:styleId="74">
    <w:name w:val="toc 2"/>
    <w:basedOn w:val="1"/>
    <w:next w:val="1"/>
    <w:qFormat/>
    <w:uiPriority w:val="39"/>
    <w:pPr>
      <w:ind w:left="200" w:leftChars="200"/>
    </w:pPr>
    <w:rPr>
      <w:rFonts w:ascii="Times New Roman" w:hAnsi="Times New Roman" w:eastAsia="宋体" w:cs="Times New Roman"/>
      <w:szCs w:val="24"/>
    </w:rPr>
  </w:style>
  <w:style w:type="paragraph" w:styleId="75">
    <w:name w:val="toc 9"/>
    <w:basedOn w:val="1"/>
    <w:next w:val="1"/>
    <w:qFormat/>
    <w:uiPriority w:val="39"/>
    <w:pPr>
      <w:ind w:left="1680"/>
      <w:jc w:val="left"/>
    </w:pPr>
    <w:rPr>
      <w:rFonts w:ascii="Times New Roman" w:hAnsi="Times New Roman" w:eastAsia="宋体" w:cs="Times New Roman"/>
      <w:sz w:val="18"/>
      <w:szCs w:val="18"/>
    </w:rPr>
  </w:style>
  <w:style w:type="paragraph" w:styleId="76">
    <w:name w:val="Body Text 2"/>
    <w:basedOn w:val="1"/>
    <w:link w:val="138"/>
    <w:unhideWhenUsed/>
    <w:qFormat/>
    <w:uiPriority w:val="99"/>
    <w:pPr>
      <w:spacing w:line="500" w:lineRule="atLeast"/>
      <w:ind w:right="640"/>
    </w:pPr>
    <w:rPr>
      <w:rFonts w:ascii="宋体" w:hAnsi="宋体" w:eastAsia="宋体" w:cs="Times New Roman"/>
      <w:b/>
      <w:kern w:val="0"/>
      <w:sz w:val="20"/>
      <w:szCs w:val="44"/>
    </w:rPr>
  </w:style>
  <w:style w:type="paragraph" w:styleId="77">
    <w:name w:val="List 4"/>
    <w:basedOn w:val="1"/>
    <w:unhideWhenUsed/>
    <w:qFormat/>
    <w:uiPriority w:val="99"/>
    <w:pPr>
      <w:ind w:left="100" w:leftChars="600" w:hanging="200" w:hangingChars="200"/>
      <w:contextualSpacing/>
    </w:pPr>
    <w:rPr>
      <w:rFonts w:ascii="Times New Roman" w:hAnsi="Times New Roman" w:eastAsia="宋体" w:cs="Times New Roman"/>
      <w:szCs w:val="20"/>
    </w:rPr>
  </w:style>
  <w:style w:type="paragraph" w:styleId="78">
    <w:name w:val="List Continue 2"/>
    <w:basedOn w:val="1"/>
    <w:unhideWhenUsed/>
    <w:qFormat/>
    <w:uiPriority w:val="99"/>
    <w:pPr>
      <w:spacing w:after="120"/>
      <w:ind w:left="840" w:leftChars="400"/>
      <w:contextualSpacing/>
    </w:pPr>
    <w:rPr>
      <w:rFonts w:ascii="Times New Roman" w:hAnsi="Times New Roman" w:eastAsia="宋体" w:cs="Times New Roman"/>
      <w:szCs w:val="20"/>
    </w:rPr>
  </w:style>
  <w:style w:type="paragraph" w:styleId="79">
    <w:name w:val="Message Header"/>
    <w:basedOn w:val="1"/>
    <w:link w:val="13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80">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81">
    <w:name w:val="Normal (Web)"/>
    <w:basedOn w:val="1"/>
    <w:unhideWhenUsed/>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82">
    <w:name w:val="List Continue 3"/>
    <w:basedOn w:val="1"/>
    <w:unhideWhenUsed/>
    <w:qFormat/>
    <w:uiPriority w:val="99"/>
    <w:pPr>
      <w:spacing w:after="120"/>
      <w:ind w:left="1260" w:leftChars="600"/>
      <w:contextualSpacing/>
    </w:pPr>
    <w:rPr>
      <w:rFonts w:ascii="Times New Roman" w:hAnsi="Times New Roman" w:eastAsia="宋体" w:cs="Times New Roman"/>
      <w:szCs w:val="20"/>
    </w:rPr>
  </w:style>
  <w:style w:type="paragraph" w:styleId="83">
    <w:name w:val="index 2"/>
    <w:basedOn w:val="1"/>
    <w:next w:val="1"/>
    <w:unhideWhenUsed/>
    <w:qFormat/>
    <w:uiPriority w:val="99"/>
    <w:pPr>
      <w:ind w:left="200" w:leftChars="200"/>
    </w:pPr>
    <w:rPr>
      <w:rFonts w:ascii="Times New Roman" w:hAnsi="Times New Roman" w:eastAsia="宋体" w:cs="Times New Roman"/>
      <w:szCs w:val="20"/>
    </w:rPr>
  </w:style>
  <w:style w:type="paragraph" w:styleId="84">
    <w:name w:val="Title"/>
    <w:basedOn w:val="1"/>
    <w:next w:val="1"/>
    <w:link w:val="141"/>
    <w:qFormat/>
    <w:uiPriority w:val="0"/>
    <w:pPr>
      <w:spacing w:before="240" w:after="60"/>
      <w:jc w:val="center"/>
      <w:outlineLvl w:val="0"/>
    </w:pPr>
    <w:rPr>
      <w:rFonts w:ascii="Cambria" w:hAnsi="Cambria"/>
      <w:b/>
      <w:bCs/>
      <w:sz w:val="32"/>
      <w:szCs w:val="32"/>
    </w:rPr>
  </w:style>
  <w:style w:type="paragraph" w:styleId="85">
    <w:name w:val="annotation subject"/>
    <w:basedOn w:val="29"/>
    <w:next w:val="29"/>
    <w:link w:val="142"/>
    <w:unhideWhenUsed/>
    <w:qFormat/>
    <w:uiPriority w:val="0"/>
    <w:rPr>
      <w:rFonts w:ascii="Calibri" w:hAnsi="Calibri"/>
      <w:b/>
      <w:bCs/>
      <w:szCs w:val="22"/>
    </w:rPr>
  </w:style>
  <w:style w:type="paragraph" w:styleId="86">
    <w:name w:val="Body Text First Indent"/>
    <w:basedOn w:val="2"/>
    <w:link w:val="143"/>
    <w:unhideWhenUsed/>
    <w:qFormat/>
    <w:uiPriority w:val="0"/>
    <w:pPr>
      <w:ind w:firstLine="420" w:firstLineChars="100"/>
    </w:pPr>
    <w:rPr>
      <w:rFonts w:ascii="等线" w:hAnsi="等线" w:eastAsia="等线"/>
      <w:kern w:val="2"/>
      <w:sz w:val="21"/>
      <w:szCs w:val="22"/>
    </w:rPr>
  </w:style>
  <w:style w:type="paragraph" w:styleId="87">
    <w:name w:val="Body Text First Indent 2"/>
    <w:basedOn w:val="35"/>
    <w:next w:val="88"/>
    <w:link w:val="144"/>
    <w:unhideWhenUsed/>
    <w:qFormat/>
    <w:uiPriority w:val="0"/>
    <w:pPr>
      <w:snapToGrid/>
      <w:spacing w:after="120" w:line="240" w:lineRule="auto"/>
      <w:ind w:left="420" w:leftChars="200" w:firstLine="200" w:firstLineChars="200"/>
    </w:pPr>
    <w:rPr>
      <w:rFonts w:ascii="等线" w:hAnsi="等线" w:eastAsia="等线"/>
      <w:kern w:val="2"/>
      <w:sz w:val="30"/>
      <w:szCs w:val="22"/>
    </w:rPr>
  </w:style>
  <w:style w:type="paragraph" w:customStyle="1" w:styleId="88">
    <w:name w:val="样式 正文首行缩进 2 + Arial"/>
    <w:basedOn w:val="1"/>
    <w:next w:val="1"/>
    <w:qFormat/>
    <w:uiPriority w:val="0"/>
    <w:pPr>
      <w:spacing w:after="120" w:line="320" w:lineRule="atLeast"/>
      <w:ind w:firstLine="200" w:firstLineChars="200"/>
    </w:pPr>
    <w:rPr>
      <w:rFonts w:ascii="Arial" w:hAnsi="Arial"/>
    </w:rPr>
  </w:style>
  <w:style w:type="table" w:styleId="90">
    <w:name w:val="Table Grid"/>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qFormat/>
    <w:uiPriority w:val="0"/>
    <w:rPr>
      <w:b/>
      <w:bCs/>
    </w:rPr>
  </w:style>
  <w:style w:type="character" w:styleId="93">
    <w:name w:val="page number"/>
    <w:qFormat/>
    <w:uiPriority w:val="0"/>
    <w:rPr>
      <w:rFonts w:ascii="Times New Roman" w:hAnsi="Times New Roman"/>
    </w:rPr>
  </w:style>
  <w:style w:type="character" w:styleId="94">
    <w:name w:val="FollowedHyperlink"/>
    <w:basedOn w:val="91"/>
    <w:unhideWhenUsed/>
    <w:qFormat/>
    <w:uiPriority w:val="99"/>
    <w:rPr>
      <w:color w:val="666666"/>
      <w:u w:val="none"/>
    </w:rPr>
  </w:style>
  <w:style w:type="character" w:styleId="95">
    <w:name w:val="Emphasis"/>
    <w:qFormat/>
    <w:uiPriority w:val="0"/>
    <w:rPr>
      <w:i/>
      <w:iCs/>
    </w:rPr>
  </w:style>
  <w:style w:type="character" w:styleId="96">
    <w:name w:val="HTML Definition"/>
    <w:basedOn w:val="91"/>
    <w:semiHidden/>
    <w:unhideWhenUsed/>
    <w:qFormat/>
    <w:uiPriority w:val="99"/>
  </w:style>
  <w:style w:type="character" w:styleId="97">
    <w:name w:val="HTML Typewriter"/>
    <w:basedOn w:val="91"/>
    <w:semiHidden/>
    <w:unhideWhenUsed/>
    <w:qFormat/>
    <w:uiPriority w:val="99"/>
    <w:rPr>
      <w:rFonts w:hint="default" w:ascii="monospace" w:hAnsi="monospace" w:eastAsia="monospace" w:cs="monospace"/>
      <w:sz w:val="20"/>
    </w:rPr>
  </w:style>
  <w:style w:type="character" w:styleId="98">
    <w:name w:val="HTML Acronym"/>
    <w:basedOn w:val="91"/>
    <w:semiHidden/>
    <w:unhideWhenUsed/>
    <w:qFormat/>
    <w:uiPriority w:val="99"/>
  </w:style>
  <w:style w:type="character" w:styleId="99">
    <w:name w:val="HTML Variable"/>
    <w:basedOn w:val="91"/>
    <w:semiHidden/>
    <w:unhideWhenUsed/>
    <w:qFormat/>
    <w:uiPriority w:val="99"/>
  </w:style>
  <w:style w:type="character" w:styleId="100">
    <w:name w:val="Hyperlink"/>
    <w:basedOn w:val="91"/>
    <w:unhideWhenUsed/>
    <w:qFormat/>
    <w:uiPriority w:val="99"/>
    <w:rPr>
      <w:color w:val="666666"/>
      <w:u w:val="none"/>
    </w:rPr>
  </w:style>
  <w:style w:type="character" w:styleId="101">
    <w:name w:val="HTML Code"/>
    <w:basedOn w:val="91"/>
    <w:semiHidden/>
    <w:unhideWhenUsed/>
    <w:qFormat/>
    <w:uiPriority w:val="99"/>
    <w:rPr>
      <w:rFonts w:hint="default" w:ascii="monospace" w:hAnsi="monospace" w:eastAsia="monospace" w:cs="monospace"/>
      <w:sz w:val="20"/>
    </w:rPr>
  </w:style>
  <w:style w:type="character" w:styleId="102">
    <w:name w:val="annotation reference"/>
    <w:qFormat/>
    <w:uiPriority w:val="0"/>
    <w:rPr>
      <w:rFonts w:ascii="Times New Roman" w:hAnsi="Times New Roman"/>
      <w:sz w:val="21"/>
    </w:rPr>
  </w:style>
  <w:style w:type="character" w:styleId="103">
    <w:name w:val="HTML Cite"/>
    <w:basedOn w:val="91"/>
    <w:semiHidden/>
    <w:unhideWhenUsed/>
    <w:qFormat/>
    <w:uiPriority w:val="99"/>
    <w:rPr>
      <w:vanish/>
    </w:rPr>
  </w:style>
  <w:style w:type="character" w:styleId="104">
    <w:name w:val="HTML Keyboard"/>
    <w:basedOn w:val="91"/>
    <w:semiHidden/>
    <w:unhideWhenUsed/>
    <w:qFormat/>
    <w:uiPriority w:val="99"/>
    <w:rPr>
      <w:rFonts w:hint="default" w:ascii="monospace" w:hAnsi="monospace" w:eastAsia="monospace" w:cs="monospace"/>
      <w:sz w:val="20"/>
    </w:rPr>
  </w:style>
  <w:style w:type="character" w:styleId="105">
    <w:name w:val="HTML Sample"/>
    <w:basedOn w:val="91"/>
    <w:semiHidden/>
    <w:unhideWhenUsed/>
    <w:qFormat/>
    <w:uiPriority w:val="99"/>
    <w:rPr>
      <w:rFonts w:ascii="monospace" w:hAnsi="monospace" w:eastAsia="monospace" w:cs="monospace"/>
    </w:rPr>
  </w:style>
  <w:style w:type="character" w:customStyle="1" w:styleId="106">
    <w:name w:val="页眉 Char"/>
    <w:basedOn w:val="91"/>
    <w:link w:val="57"/>
    <w:qFormat/>
    <w:uiPriority w:val="99"/>
    <w:rPr>
      <w:sz w:val="18"/>
      <w:szCs w:val="18"/>
    </w:rPr>
  </w:style>
  <w:style w:type="character" w:customStyle="1" w:styleId="107">
    <w:name w:val="页脚 Char"/>
    <w:basedOn w:val="91"/>
    <w:link w:val="56"/>
    <w:qFormat/>
    <w:uiPriority w:val="99"/>
    <w:rPr>
      <w:sz w:val="18"/>
      <w:szCs w:val="18"/>
    </w:rPr>
  </w:style>
  <w:style w:type="character" w:customStyle="1" w:styleId="108">
    <w:name w:val="标题 1 Char"/>
    <w:basedOn w:val="91"/>
    <w:link w:val="4"/>
    <w:qFormat/>
    <w:uiPriority w:val="0"/>
    <w:rPr>
      <w:rFonts w:ascii="Times New Roman" w:hAnsi="Times New Roman" w:eastAsia="黑体" w:cs="Times New Roman"/>
      <w:b/>
      <w:kern w:val="44"/>
      <w:sz w:val="36"/>
      <w:szCs w:val="20"/>
    </w:rPr>
  </w:style>
  <w:style w:type="character" w:customStyle="1" w:styleId="109">
    <w:name w:val="标题 2 Char"/>
    <w:basedOn w:val="91"/>
    <w:link w:val="5"/>
    <w:qFormat/>
    <w:uiPriority w:val="0"/>
    <w:rPr>
      <w:rFonts w:ascii="CG Times" w:hAnsi="CG Times" w:eastAsia="宋体" w:cs="Times New Roman"/>
      <w:b/>
      <w:kern w:val="0"/>
      <w:sz w:val="30"/>
      <w:szCs w:val="20"/>
    </w:rPr>
  </w:style>
  <w:style w:type="character" w:customStyle="1" w:styleId="110">
    <w:name w:val="标题 3 Char"/>
    <w:basedOn w:val="91"/>
    <w:link w:val="6"/>
    <w:qFormat/>
    <w:uiPriority w:val="0"/>
    <w:rPr>
      <w:rFonts w:ascii="Times New Roman" w:hAnsi="Times New Roman" w:eastAsia="宋体" w:cs="Times New Roman"/>
      <w:b/>
      <w:kern w:val="0"/>
      <w:sz w:val="28"/>
      <w:szCs w:val="20"/>
    </w:rPr>
  </w:style>
  <w:style w:type="character" w:customStyle="1" w:styleId="111">
    <w:name w:val="标题 4 Char"/>
    <w:basedOn w:val="91"/>
    <w:link w:val="7"/>
    <w:qFormat/>
    <w:uiPriority w:val="0"/>
    <w:rPr>
      <w:rFonts w:ascii="宋体" w:hAnsi="Times New Roman" w:eastAsia="宋体" w:cs="Times New Roman"/>
      <w:b/>
      <w:kern w:val="0"/>
      <w:sz w:val="28"/>
      <w:szCs w:val="20"/>
    </w:rPr>
  </w:style>
  <w:style w:type="character" w:customStyle="1" w:styleId="112">
    <w:name w:val="标题 5 Char"/>
    <w:basedOn w:val="91"/>
    <w:link w:val="9"/>
    <w:qFormat/>
    <w:uiPriority w:val="0"/>
    <w:rPr>
      <w:rFonts w:ascii="Times New Roman" w:hAnsi="Times New Roman" w:eastAsia="宋体" w:cs="Times New Roman"/>
      <w:b/>
      <w:kern w:val="0"/>
      <w:sz w:val="28"/>
      <w:szCs w:val="20"/>
    </w:rPr>
  </w:style>
  <w:style w:type="character" w:customStyle="1" w:styleId="113">
    <w:name w:val="标题 6 Char"/>
    <w:basedOn w:val="91"/>
    <w:link w:val="10"/>
    <w:qFormat/>
    <w:uiPriority w:val="0"/>
    <w:rPr>
      <w:rFonts w:ascii="Arial" w:hAnsi="Arial" w:eastAsia="黑体" w:cs="Times New Roman"/>
      <w:b/>
      <w:kern w:val="0"/>
      <w:sz w:val="24"/>
      <w:szCs w:val="20"/>
    </w:rPr>
  </w:style>
  <w:style w:type="character" w:customStyle="1" w:styleId="114">
    <w:name w:val="标题 7 Char"/>
    <w:basedOn w:val="91"/>
    <w:link w:val="11"/>
    <w:qFormat/>
    <w:uiPriority w:val="0"/>
    <w:rPr>
      <w:rFonts w:ascii="Times New Roman" w:hAnsi="Times New Roman" w:eastAsia="宋体" w:cs="Times New Roman"/>
      <w:b/>
      <w:kern w:val="0"/>
      <w:sz w:val="24"/>
      <w:szCs w:val="20"/>
    </w:rPr>
  </w:style>
  <w:style w:type="character" w:customStyle="1" w:styleId="115">
    <w:name w:val="标题 8 Char"/>
    <w:basedOn w:val="91"/>
    <w:link w:val="12"/>
    <w:qFormat/>
    <w:uiPriority w:val="0"/>
    <w:rPr>
      <w:rFonts w:ascii="Arial" w:hAnsi="Arial" w:eastAsia="黑体" w:cs="Times New Roman"/>
      <w:kern w:val="0"/>
      <w:sz w:val="24"/>
      <w:szCs w:val="20"/>
    </w:rPr>
  </w:style>
  <w:style w:type="character" w:customStyle="1" w:styleId="116">
    <w:name w:val="标题 9 Char"/>
    <w:basedOn w:val="91"/>
    <w:link w:val="13"/>
    <w:qFormat/>
    <w:uiPriority w:val="0"/>
    <w:rPr>
      <w:rFonts w:ascii="Arial" w:hAnsi="Arial" w:eastAsia="黑体" w:cs="Times New Roman"/>
      <w:kern w:val="0"/>
      <w:sz w:val="20"/>
      <w:szCs w:val="20"/>
    </w:rPr>
  </w:style>
  <w:style w:type="character" w:customStyle="1" w:styleId="117">
    <w:name w:val="宏文本 Char"/>
    <w:basedOn w:val="91"/>
    <w:link w:val="118"/>
    <w:qFormat/>
    <w:uiPriority w:val="0"/>
    <w:rPr>
      <w:rFonts w:ascii="Courier New" w:hAnsi="Courier New" w:eastAsia="宋体" w:cs="Courier New"/>
      <w:sz w:val="24"/>
      <w:szCs w:val="24"/>
    </w:rPr>
  </w:style>
  <w:style w:type="paragraph" w:customStyle="1" w:styleId="118">
    <w:name w:val="宏文本1"/>
    <w:next w:val="3"/>
    <w:link w:val="117"/>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19">
    <w:name w:val="注释标题 Char"/>
    <w:basedOn w:val="91"/>
    <w:link w:val="18"/>
    <w:qFormat/>
    <w:uiPriority w:val="0"/>
  </w:style>
  <w:style w:type="character" w:customStyle="1" w:styleId="120">
    <w:name w:val="电子邮件签名 Char"/>
    <w:basedOn w:val="91"/>
    <w:link w:val="21"/>
    <w:qFormat/>
    <w:uiPriority w:val="99"/>
  </w:style>
  <w:style w:type="character" w:customStyle="1" w:styleId="121">
    <w:name w:val="文档结构图 Char"/>
    <w:basedOn w:val="91"/>
    <w:link w:val="27"/>
    <w:qFormat/>
    <w:uiPriority w:val="99"/>
    <w:rPr>
      <w:rFonts w:ascii="Times New Roman" w:hAnsi="Times New Roman" w:eastAsia="宋体" w:cs="Times New Roman"/>
      <w:kern w:val="0"/>
      <w:sz w:val="20"/>
      <w:szCs w:val="24"/>
      <w:shd w:val="clear" w:color="auto" w:fill="000080"/>
    </w:rPr>
  </w:style>
  <w:style w:type="character" w:customStyle="1" w:styleId="122">
    <w:name w:val="批注文字 Char"/>
    <w:basedOn w:val="91"/>
    <w:link w:val="29"/>
    <w:qFormat/>
    <w:uiPriority w:val="0"/>
    <w:rPr>
      <w:rFonts w:ascii="Times New Roman" w:hAnsi="Times New Roman" w:eastAsia="宋体" w:cs="Times New Roman"/>
      <w:kern w:val="0"/>
      <w:sz w:val="20"/>
      <w:szCs w:val="24"/>
    </w:rPr>
  </w:style>
  <w:style w:type="character" w:customStyle="1" w:styleId="123">
    <w:name w:val="称呼 Char"/>
    <w:basedOn w:val="91"/>
    <w:link w:val="31"/>
    <w:qFormat/>
    <w:uiPriority w:val="0"/>
  </w:style>
  <w:style w:type="character" w:customStyle="1" w:styleId="124">
    <w:name w:val="正文文本 3 Char"/>
    <w:basedOn w:val="91"/>
    <w:link w:val="32"/>
    <w:qFormat/>
    <w:uiPriority w:val="0"/>
    <w:rPr>
      <w:rFonts w:ascii="宋体" w:hAnsi="宋体" w:eastAsia="宋体" w:cs="Times New Roman"/>
      <w:kern w:val="0"/>
      <w:sz w:val="20"/>
      <w:szCs w:val="21"/>
    </w:rPr>
  </w:style>
  <w:style w:type="character" w:customStyle="1" w:styleId="125">
    <w:name w:val="结束语 Char"/>
    <w:basedOn w:val="91"/>
    <w:link w:val="33"/>
    <w:qFormat/>
    <w:uiPriority w:val="0"/>
    <w:rPr>
      <w:sz w:val="32"/>
    </w:rPr>
  </w:style>
  <w:style w:type="character" w:customStyle="1" w:styleId="126">
    <w:name w:val="正文文本 Char"/>
    <w:basedOn w:val="91"/>
    <w:link w:val="2"/>
    <w:qFormat/>
    <w:uiPriority w:val="0"/>
    <w:rPr>
      <w:rFonts w:ascii="Times New Roman" w:hAnsi="Times New Roman" w:eastAsia="宋体" w:cs="Times New Roman"/>
      <w:kern w:val="0"/>
      <w:sz w:val="20"/>
      <w:szCs w:val="24"/>
    </w:rPr>
  </w:style>
  <w:style w:type="character" w:customStyle="1" w:styleId="127">
    <w:name w:val="正文文本缩进 Char"/>
    <w:basedOn w:val="91"/>
    <w:link w:val="35"/>
    <w:qFormat/>
    <w:uiPriority w:val="0"/>
    <w:rPr>
      <w:rFonts w:ascii="宋体" w:hAnsi="Times New Roman" w:eastAsia="宋体" w:cs="Times New Roman"/>
      <w:kern w:val="0"/>
      <w:sz w:val="24"/>
      <w:szCs w:val="24"/>
    </w:rPr>
  </w:style>
  <w:style w:type="character" w:customStyle="1" w:styleId="128">
    <w:name w:val="HTML 地址 Char"/>
    <w:basedOn w:val="91"/>
    <w:link w:val="42"/>
    <w:qFormat/>
    <w:uiPriority w:val="99"/>
    <w:rPr>
      <w:i/>
      <w:iCs/>
    </w:rPr>
  </w:style>
  <w:style w:type="character" w:customStyle="1" w:styleId="129">
    <w:name w:val="纯文本 Char"/>
    <w:basedOn w:val="91"/>
    <w:link w:val="46"/>
    <w:qFormat/>
    <w:uiPriority w:val="0"/>
    <w:rPr>
      <w:rFonts w:ascii="宋体" w:hAnsi="Courier New" w:eastAsia="宋体" w:cs="Times New Roman"/>
      <w:kern w:val="0"/>
      <w:sz w:val="20"/>
      <w:szCs w:val="20"/>
    </w:rPr>
  </w:style>
  <w:style w:type="character" w:customStyle="1" w:styleId="130">
    <w:name w:val="日期 Char"/>
    <w:basedOn w:val="91"/>
    <w:link w:val="51"/>
    <w:qFormat/>
    <w:uiPriority w:val="99"/>
    <w:rPr>
      <w:rFonts w:ascii="Times New Roman" w:hAnsi="Times New Roman" w:eastAsia="宋体" w:cs="Times New Roman"/>
      <w:kern w:val="0"/>
      <w:sz w:val="24"/>
      <w:szCs w:val="24"/>
    </w:rPr>
  </w:style>
  <w:style w:type="character" w:customStyle="1" w:styleId="131">
    <w:name w:val="正文文本缩进 2 Char"/>
    <w:basedOn w:val="91"/>
    <w:link w:val="52"/>
    <w:qFormat/>
    <w:uiPriority w:val="0"/>
    <w:rPr>
      <w:rFonts w:ascii="Times New Roman" w:hAnsi="Times New Roman" w:eastAsia="宋体" w:cs="Times New Roman"/>
      <w:kern w:val="0"/>
      <w:sz w:val="20"/>
      <w:szCs w:val="24"/>
    </w:rPr>
  </w:style>
  <w:style w:type="character" w:customStyle="1" w:styleId="132">
    <w:name w:val="尾注文本 Char"/>
    <w:basedOn w:val="91"/>
    <w:link w:val="53"/>
    <w:qFormat/>
    <w:uiPriority w:val="99"/>
  </w:style>
  <w:style w:type="character" w:customStyle="1" w:styleId="133">
    <w:name w:val="批注框文本 Char"/>
    <w:basedOn w:val="91"/>
    <w:link w:val="55"/>
    <w:qFormat/>
    <w:uiPriority w:val="0"/>
    <w:rPr>
      <w:rFonts w:ascii="Times New Roman" w:hAnsi="Times New Roman" w:eastAsia="宋体" w:cs="Times New Roman"/>
      <w:kern w:val="0"/>
      <w:sz w:val="18"/>
      <w:szCs w:val="18"/>
    </w:rPr>
  </w:style>
  <w:style w:type="character" w:customStyle="1" w:styleId="134">
    <w:name w:val="签名 Char"/>
    <w:basedOn w:val="91"/>
    <w:link w:val="58"/>
    <w:qFormat/>
    <w:uiPriority w:val="99"/>
  </w:style>
  <w:style w:type="character" w:customStyle="1" w:styleId="135">
    <w:name w:val="副标题 Char"/>
    <w:basedOn w:val="91"/>
    <w:link w:val="64"/>
    <w:qFormat/>
    <w:uiPriority w:val="0"/>
    <w:rPr>
      <w:rFonts w:ascii="Cambria" w:hAnsi="Cambria"/>
      <w:b/>
      <w:bCs/>
      <w:kern w:val="28"/>
      <w:sz w:val="32"/>
      <w:szCs w:val="32"/>
    </w:rPr>
  </w:style>
  <w:style w:type="character" w:customStyle="1" w:styleId="136">
    <w:name w:val="脚注文本 Char"/>
    <w:basedOn w:val="91"/>
    <w:link w:val="67"/>
    <w:qFormat/>
    <w:uiPriority w:val="99"/>
    <w:rPr>
      <w:sz w:val="18"/>
      <w:szCs w:val="18"/>
    </w:rPr>
  </w:style>
  <w:style w:type="character" w:customStyle="1" w:styleId="137">
    <w:name w:val="正文文本缩进 3 Char"/>
    <w:basedOn w:val="91"/>
    <w:link w:val="70"/>
    <w:qFormat/>
    <w:uiPriority w:val="0"/>
    <w:rPr>
      <w:rFonts w:ascii="宋体" w:hAnsi="宋体" w:eastAsia="宋体" w:cs="Times New Roman"/>
      <w:kern w:val="0"/>
      <w:sz w:val="28"/>
      <w:szCs w:val="24"/>
      <w:u w:val="single"/>
    </w:rPr>
  </w:style>
  <w:style w:type="character" w:customStyle="1" w:styleId="138">
    <w:name w:val="正文文本 2 Char"/>
    <w:basedOn w:val="91"/>
    <w:link w:val="76"/>
    <w:qFormat/>
    <w:uiPriority w:val="99"/>
    <w:rPr>
      <w:rFonts w:ascii="宋体" w:hAnsi="宋体" w:eastAsia="宋体" w:cs="Times New Roman"/>
      <w:b/>
      <w:kern w:val="0"/>
      <w:sz w:val="20"/>
      <w:szCs w:val="44"/>
    </w:rPr>
  </w:style>
  <w:style w:type="character" w:customStyle="1" w:styleId="139">
    <w:name w:val="信息标题 Char"/>
    <w:basedOn w:val="91"/>
    <w:link w:val="79"/>
    <w:qFormat/>
    <w:uiPriority w:val="99"/>
    <w:rPr>
      <w:rFonts w:ascii="Cambria" w:hAnsi="Cambria"/>
      <w:sz w:val="24"/>
      <w:szCs w:val="24"/>
      <w:shd w:val="pct20" w:color="auto" w:fill="auto"/>
    </w:rPr>
  </w:style>
  <w:style w:type="character" w:customStyle="1" w:styleId="140">
    <w:name w:val="HTML 预设格式 Char"/>
    <w:basedOn w:val="91"/>
    <w:link w:val="80"/>
    <w:qFormat/>
    <w:uiPriority w:val="99"/>
    <w:rPr>
      <w:rFonts w:ascii="宋体" w:hAnsi="宋体" w:eastAsia="宋体" w:cs="Times New Roman"/>
      <w:kern w:val="0"/>
      <w:sz w:val="24"/>
      <w:szCs w:val="24"/>
    </w:rPr>
  </w:style>
  <w:style w:type="character" w:customStyle="1" w:styleId="141">
    <w:name w:val="标题 Char"/>
    <w:basedOn w:val="91"/>
    <w:link w:val="84"/>
    <w:qFormat/>
    <w:uiPriority w:val="0"/>
    <w:rPr>
      <w:rFonts w:ascii="Cambria" w:hAnsi="Cambria"/>
      <w:b/>
      <w:bCs/>
      <w:sz w:val="32"/>
      <w:szCs w:val="32"/>
    </w:rPr>
  </w:style>
  <w:style w:type="character" w:customStyle="1" w:styleId="142">
    <w:name w:val="批注主题 Char"/>
    <w:basedOn w:val="122"/>
    <w:link w:val="85"/>
    <w:qFormat/>
    <w:uiPriority w:val="0"/>
    <w:rPr>
      <w:rFonts w:ascii="Calibri" w:hAnsi="Calibri" w:eastAsia="宋体" w:cs="Times New Roman"/>
      <w:b/>
      <w:bCs/>
      <w:kern w:val="0"/>
      <w:sz w:val="20"/>
      <w:szCs w:val="24"/>
    </w:rPr>
  </w:style>
  <w:style w:type="character" w:customStyle="1" w:styleId="143">
    <w:name w:val="正文首行缩进 Char"/>
    <w:basedOn w:val="126"/>
    <w:link w:val="86"/>
    <w:qFormat/>
    <w:uiPriority w:val="0"/>
    <w:rPr>
      <w:rFonts w:ascii="等线" w:hAnsi="等线" w:eastAsia="等线" w:cs="Times New Roman"/>
      <w:kern w:val="0"/>
      <w:sz w:val="20"/>
      <w:szCs w:val="24"/>
    </w:rPr>
  </w:style>
  <w:style w:type="character" w:customStyle="1" w:styleId="144">
    <w:name w:val="正文首行缩进 2 Char"/>
    <w:basedOn w:val="127"/>
    <w:link w:val="87"/>
    <w:qFormat/>
    <w:uiPriority w:val="0"/>
    <w:rPr>
      <w:rFonts w:ascii="等线" w:hAnsi="等线" w:eastAsia="等线" w:cs="Times New Roman"/>
      <w:kern w:val="0"/>
      <w:sz w:val="30"/>
      <w:szCs w:val="24"/>
    </w:rPr>
  </w:style>
  <w:style w:type="character" w:customStyle="1" w:styleId="145">
    <w:name w:val="正文缩进 Char"/>
    <w:link w:val="8"/>
    <w:qFormat/>
    <w:locked/>
    <w:uiPriority w:val="0"/>
    <w:rPr>
      <w:rFonts w:ascii="Times New Roman" w:hAnsi="Times New Roman" w:eastAsia="宋体" w:cs="Times New Roman"/>
      <w:kern w:val="0"/>
      <w:sz w:val="20"/>
      <w:szCs w:val="20"/>
    </w:rPr>
  </w:style>
  <w:style w:type="character" w:customStyle="1" w:styleId="146">
    <w:name w:val="文档结构图 Char2"/>
    <w:basedOn w:val="91"/>
    <w:semiHidden/>
    <w:qFormat/>
    <w:uiPriority w:val="99"/>
    <w:rPr>
      <w:rFonts w:ascii="宋体" w:hAnsi="Times New Roman" w:eastAsia="宋体" w:cs="Times New Roman"/>
      <w:sz w:val="18"/>
      <w:szCs w:val="18"/>
    </w:rPr>
  </w:style>
  <w:style w:type="character" w:customStyle="1" w:styleId="147">
    <w:name w:val="批注文字 Char2"/>
    <w:basedOn w:val="91"/>
    <w:semiHidden/>
    <w:qFormat/>
    <w:uiPriority w:val="99"/>
    <w:rPr>
      <w:rFonts w:ascii="Times New Roman" w:hAnsi="Times New Roman" w:eastAsia="宋体" w:cs="Times New Roman"/>
      <w:szCs w:val="24"/>
    </w:rPr>
  </w:style>
  <w:style w:type="character" w:customStyle="1" w:styleId="148">
    <w:name w:val="正文文本 3 Char2"/>
    <w:basedOn w:val="91"/>
    <w:semiHidden/>
    <w:qFormat/>
    <w:uiPriority w:val="99"/>
    <w:rPr>
      <w:rFonts w:ascii="Times New Roman" w:hAnsi="Times New Roman" w:eastAsia="宋体" w:cs="Times New Roman"/>
      <w:sz w:val="16"/>
      <w:szCs w:val="16"/>
    </w:rPr>
  </w:style>
  <w:style w:type="character" w:customStyle="1" w:styleId="149">
    <w:name w:val="正文文本 Char2"/>
    <w:basedOn w:val="91"/>
    <w:semiHidden/>
    <w:qFormat/>
    <w:uiPriority w:val="99"/>
    <w:rPr>
      <w:rFonts w:ascii="Times New Roman" w:hAnsi="Times New Roman" w:eastAsia="宋体" w:cs="Times New Roman"/>
      <w:szCs w:val="24"/>
    </w:rPr>
  </w:style>
  <w:style w:type="character" w:customStyle="1" w:styleId="150">
    <w:name w:val="正文文本缩进 Char2"/>
    <w:basedOn w:val="91"/>
    <w:semiHidden/>
    <w:qFormat/>
    <w:uiPriority w:val="99"/>
    <w:rPr>
      <w:rFonts w:ascii="Times New Roman" w:hAnsi="Times New Roman" w:eastAsia="宋体" w:cs="Times New Roman"/>
      <w:szCs w:val="24"/>
    </w:rPr>
  </w:style>
  <w:style w:type="character" w:customStyle="1" w:styleId="151">
    <w:name w:val="纯文本 Char2"/>
    <w:basedOn w:val="91"/>
    <w:qFormat/>
    <w:uiPriority w:val="99"/>
    <w:rPr>
      <w:rFonts w:ascii="宋体" w:hAnsi="Courier New" w:eastAsia="宋体" w:cs="Courier New"/>
      <w:szCs w:val="21"/>
    </w:rPr>
  </w:style>
  <w:style w:type="character" w:customStyle="1" w:styleId="152">
    <w:name w:val="日期 Char2"/>
    <w:basedOn w:val="91"/>
    <w:semiHidden/>
    <w:qFormat/>
    <w:uiPriority w:val="99"/>
    <w:rPr>
      <w:rFonts w:ascii="Times New Roman" w:hAnsi="Times New Roman" w:eastAsia="宋体" w:cs="Times New Roman"/>
      <w:szCs w:val="24"/>
    </w:rPr>
  </w:style>
  <w:style w:type="character" w:customStyle="1" w:styleId="153">
    <w:name w:val="正文文本缩进 2 Char2"/>
    <w:basedOn w:val="91"/>
    <w:semiHidden/>
    <w:qFormat/>
    <w:uiPriority w:val="99"/>
    <w:rPr>
      <w:rFonts w:ascii="Times New Roman" w:hAnsi="Times New Roman" w:eastAsia="宋体" w:cs="Times New Roman"/>
      <w:szCs w:val="24"/>
    </w:rPr>
  </w:style>
  <w:style w:type="character" w:customStyle="1" w:styleId="154">
    <w:name w:val="批注框文本 Char1"/>
    <w:basedOn w:val="91"/>
    <w:semiHidden/>
    <w:qFormat/>
    <w:uiPriority w:val="99"/>
    <w:rPr>
      <w:rFonts w:ascii="Times New Roman" w:hAnsi="Times New Roman" w:eastAsia="宋体" w:cs="Times New Roman"/>
      <w:sz w:val="18"/>
      <w:szCs w:val="18"/>
    </w:rPr>
  </w:style>
  <w:style w:type="character" w:customStyle="1" w:styleId="155">
    <w:name w:val="正文文本缩进 3 Char2"/>
    <w:basedOn w:val="91"/>
    <w:semiHidden/>
    <w:qFormat/>
    <w:uiPriority w:val="99"/>
    <w:rPr>
      <w:rFonts w:ascii="Times New Roman" w:hAnsi="Times New Roman" w:eastAsia="宋体" w:cs="Times New Roman"/>
      <w:sz w:val="16"/>
      <w:szCs w:val="16"/>
    </w:rPr>
  </w:style>
  <w:style w:type="character" w:customStyle="1" w:styleId="156">
    <w:name w:val="正文文本 2 Char2"/>
    <w:basedOn w:val="91"/>
    <w:semiHidden/>
    <w:qFormat/>
    <w:uiPriority w:val="99"/>
    <w:rPr>
      <w:rFonts w:ascii="Times New Roman" w:hAnsi="Times New Roman" w:eastAsia="宋体" w:cs="Times New Roman"/>
      <w:szCs w:val="24"/>
    </w:rPr>
  </w:style>
  <w:style w:type="character" w:customStyle="1" w:styleId="157">
    <w:name w:val="HTML 预设格式 Char2"/>
    <w:basedOn w:val="91"/>
    <w:semiHidden/>
    <w:qFormat/>
    <w:uiPriority w:val="99"/>
    <w:rPr>
      <w:rFonts w:ascii="Courier New" w:hAnsi="Courier New" w:eastAsia="宋体" w:cs="Courier New"/>
      <w:sz w:val="20"/>
      <w:szCs w:val="20"/>
    </w:rPr>
  </w:style>
  <w:style w:type="character" w:customStyle="1" w:styleId="158">
    <w:name w:val="unnamed11"/>
    <w:qFormat/>
    <w:uiPriority w:val="0"/>
    <w:rPr>
      <w:sz w:val="26"/>
      <w:szCs w:val="26"/>
    </w:rPr>
  </w:style>
  <w:style w:type="character" w:customStyle="1" w:styleId="159">
    <w:name w:val="正文文本缩进 Char1"/>
    <w:qFormat/>
    <w:uiPriority w:val="0"/>
    <w:rPr>
      <w:rFonts w:ascii="Times New Roman" w:hAnsi="Times New Roman" w:eastAsia="宋体" w:cs="Times New Roman"/>
      <w:szCs w:val="24"/>
    </w:rPr>
  </w:style>
  <w:style w:type="character" w:customStyle="1" w:styleId="160">
    <w:name w:val="正文文本 Char1"/>
    <w:qFormat/>
    <w:uiPriority w:val="99"/>
    <w:rPr>
      <w:rFonts w:ascii="Times New Roman" w:hAnsi="Times New Roman" w:eastAsia="宋体" w:cs="Times New Roman"/>
      <w:szCs w:val="24"/>
    </w:rPr>
  </w:style>
  <w:style w:type="character" w:customStyle="1" w:styleId="161">
    <w:name w:val="正文文本缩进 3 Char1"/>
    <w:semiHidden/>
    <w:qFormat/>
    <w:uiPriority w:val="99"/>
    <w:rPr>
      <w:rFonts w:ascii="Times New Roman" w:hAnsi="Times New Roman" w:eastAsia="宋体" w:cs="Times New Roman"/>
      <w:sz w:val="16"/>
      <w:szCs w:val="16"/>
    </w:rPr>
  </w:style>
  <w:style w:type="character" w:customStyle="1" w:styleId="162">
    <w:name w:val="标题 1 Char1"/>
    <w:qFormat/>
    <w:uiPriority w:val="0"/>
    <w:rPr>
      <w:b/>
      <w:bCs/>
      <w:kern w:val="44"/>
      <w:sz w:val="44"/>
      <w:szCs w:val="44"/>
    </w:rPr>
  </w:style>
  <w:style w:type="character" w:customStyle="1" w:styleId="163">
    <w:name w:val="HTML 预设格式 Char1"/>
    <w:qFormat/>
    <w:uiPriority w:val="0"/>
    <w:rPr>
      <w:rFonts w:ascii="Courier New" w:hAnsi="Courier New" w:eastAsia="宋体" w:cs="Courier New"/>
      <w:sz w:val="20"/>
      <w:szCs w:val="20"/>
    </w:rPr>
  </w:style>
  <w:style w:type="character" w:customStyle="1" w:styleId="164">
    <w:name w:val="日期 Char1"/>
    <w:semiHidden/>
    <w:qFormat/>
    <w:uiPriority w:val="99"/>
    <w:rPr>
      <w:rFonts w:ascii="Times New Roman" w:hAnsi="Times New Roman" w:eastAsia="宋体" w:cs="Times New Roman"/>
      <w:szCs w:val="24"/>
    </w:rPr>
  </w:style>
  <w:style w:type="character" w:customStyle="1" w:styleId="165">
    <w:name w:val="正文文本 2 Char1"/>
    <w:semiHidden/>
    <w:qFormat/>
    <w:uiPriority w:val="99"/>
    <w:rPr>
      <w:rFonts w:ascii="Times New Roman" w:hAnsi="Times New Roman" w:eastAsia="宋体" w:cs="Times New Roman"/>
      <w:szCs w:val="24"/>
    </w:rPr>
  </w:style>
  <w:style w:type="character" w:customStyle="1" w:styleId="166">
    <w:name w:val="正文文本 3 Char1"/>
    <w:qFormat/>
    <w:uiPriority w:val="0"/>
    <w:rPr>
      <w:rFonts w:ascii="Times New Roman" w:hAnsi="Times New Roman" w:eastAsia="宋体" w:cs="Times New Roman"/>
      <w:sz w:val="16"/>
      <w:szCs w:val="16"/>
    </w:rPr>
  </w:style>
  <w:style w:type="character" w:customStyle="1" w:styleId="167">
    <w:name w:val="正文文本缩进 2 Char1"/>
    <w:semiHidden/>
    <w:qFormat/>
    <w:uiPriority w:val="99"/>
    <w:rPr>
      <w:rFonts w:ascii="Times New Roman" w:hAnsi="Times New Roman" w:eastAsia="宋体" w:cs="Times New Roman"/>
      <w:szCs w:val="24"/>
    </w:rPr>
  </w:style>
  <w:style w:type="character" w:customStyle="1" w:styleId="168">
    <w:name w:val="文档结构图 Char1"/>
    <w:semiHidden/>
    <w:qFormat/>
    <w:uiPriority w:val="99"/>
    <w:rPr>
      <w:rFonts w:ascii="宋体" w:hAnsi="Times New Roman" w:eastAsia="宋体" w:cs="Times New Roman"/>
      <w:sz w:val="18"/>
      <w:szCs w:val="18"/>
    </w:rPr>
  </w:style>
  <w:style w:type="character" w:customStyle="1" w:styleId="169">
    <w:name w:val="font11"/>
    <w:qFormat/>
    <w:uiPriority w:val="0"/>
    <w:rPr>
      <w:rFonts w:ascii="宋体" w:eastAsia="宋体" w:cs="宋体"/>
      <w:b/>
      <w:color w:val="000000"/>
      <w:sz w:val="21"/>
      <w:szCs w:val="21"/>
      <w:u w:val="none"/>
      <w:lang w:bidi="ar-SA"/>
    </w:rPr>
  </w:style>
  <w:style w:type="character" w:customStyle="1" w:styleId="170">
    <w:name w:val="纯文本 Char1"/>
    <w:qFormat/>
    <w:uiPriority w:val="0"/>
    <w:rPr>
      <w:rFonts w:ascii="宋体" w:hAnsi="Courier New" w:eastAsia="宋体" w:cs="Courier New"/>
      <w:szCs w:val="21"/>
    </w:rPr>
  </w:style>
  <w:style w:type="character" w:customStyle="1" w:styleId="171">
    <w:name w:val="列出段落 Char"/>
    <w:link w:val="172"/>
    <w:qFormat/>
    <w:uiPriority w:val="34"/>
    <w:rPr>
      <w:rFonts w:ascii="Times New Roman" w:hAnsi="Times New Roman" w:eastAsia="宋体" w:cs="Times New Roman"/>
      <w:kern w:val="0"/>
      <w:sz w:val="20"/>
      <w:szCs w:val="24"/>
    </w:rPr>
  </w:style>
  <w:style w:type="paragraph" w:styleId="172">
    <w:name w:val="List Paragraph"/>
    <w:basedOn w:val="1"/>
    <w:link w:val="171"/>
    <w:qFormat/>
    <w:uiPriority w:val="99"/>
    <w:pPr>
      <w:ind w:firstLine="420" w:firstLineChars="200"/>
    </w:pPr>
    <w:rPr>
      <w:rFonts w:ascii="Times New Roman" w:hAnsi="Times New Roman" w:eastAsia="宋体" w:cs="Times New Roman"/>
      <w:kern w:val="0"/>
      <w:sz w:val="20"/>
      <w:szCs w:val="24"/>
    </w:rPr>
  </w:style>
  <w:style w:type="character" w:customStyle="1" w:styleId="173">
    <w:name w:val="FA正文 Char Char"/>
    <w:link w:val="174"/>
    <w:qFormat/>
    <w:locked/>
    <w:uiPriority w:val="0"/>
    <w:rPr>
      <w:rFonts w:ascii="宋体" w:hAnsi="宋体" w:eastAsia="宋体" w:cs="宋体"/>
      <w:color w:val="000000"/>
      <w:sz w:val="24"/>
      <w:szCs w:val="21"/>
    </w:rPr>
  </w:style>
  <w:style w:type="paragraph" w:customStyle="1" w:styleId="174">
    <w:name w:val="FA正文"/>
    <w:basedOn w:val="1"/>
    <w:link w:val="173"/>
    <w:qFormat/>
    <w:uiPriority w:val="0"/>
    <w:pPr>
      <w:spacing w:line="360" w:lineRule="auto"/>
      <w:ind w:right="-50" w:rightChars="-24" w:firstLine="266" w:firstLineChars="111"/>
    </w:pPr>
    <w:rPr>
      <w:rFonts w:ascii="宋体" w:hAnsi="宋体" w:eastAsia="宋体" w:cs="宋体"/>
      <w:color w:val="000000"/>
      <w:sz w:val="24"/>
      <w:szCs w:val="21"/>
    </w:rPr>
  </w:style>
  <w:style w:type="character" w:customStyle="1" w:styleId="175">
    <w:name w:val="myp1111"/>
    <w:qFormat/>
    <w:uiPriority w:val="0"/>
    <w:rPr>
      <w:rFonts w:hint="default"/>
      <w:color w:val="000000"/>
      <w:sz w:val="22"/>
      <w:szCs w:val="22"/>
      <w:u w:val="none"/>
    </w:rPr>
  </w:style>
  <w:style w:type="character" w:customStyle="1" w:styleId="176">
    <w:name w:val="zw1"/>
    <w:qFormat/>
    <w:uiPriority w:val="0"/>
    <w:rPr>
      <w:sz w:val="20"/>
      <w:szCs w:val="20"/>
    </w:rPr>
  </w:style>
  <w:style w:type="character" w:customStyle="1" w:styleId="177">
    <w:name w:val="UP标题3 Char Char"/>
    <w:qFormat/>
    <w:uiPriority w:val="0"/>
    <w:rPr>
      <w:rFonts w:hint="eastAsia" w:ascii="黑体" w:hAnsi="黑体" w:eastAsia="黑体" w:cs="宋体"/>
      <w:kern w:val="2"/>
      <w:sz w:val="28"/>
      <w:szCs w:val="28"/>
      <w:lang w:val="en-US" w:eastAsia="zh-CN" w:bidi="ar-SA"/>
    </w:rPr>
  </w:style>
  <w:style w:type="character" w:customStyle="1" w:styleId="178">
    <w:name w:val="font21"/>
    <w:qFormat/>
    <w:uiPriority w:val="0"/>
    <w:rPr>
      <w:rFonts w:ascii="宋体" w:eastAsia="宋体" w:cs="宋体"/>
      <w:color w:val="000000"/>
      <w:sz w:val="21"/>
      <w:szCs w:val="21"/>
      <w:u w:val="none"/>
      <w:lang w:bidi="ar-SA"/>
    </w:rPr>
  </w:style>
  <w:style w:type="character" w:customStyle="1" w:styleId="179">
    <w:name w:val="批注文字 Char1"/>
    <w:qFormat/>
    <w:uiPriority w:val="0"/>
    <w:rPr>
      <w:rFonts w:ascii="Times New Roman" w:hAnsi="Times New Roman" w:eastAsia="宋体" w:cs="Times New Roman"/>
      <w:szCs w:val="24"/>
    </w:rPr>
  </w:style>
  <w:style w:type="character" w:customStyle="1" w:styleId="180">
    <w:name w:val="grame"/>
    <w:basedOn w:val="91"/>
    <w:qFormat/>
    <w:uiPriority w:val="0"/>
  </w:style>
  <w:style w:type="character" w:customStyle="1" w:styleId="181">
    <w:name w:val="spelle"/>
    <w:basedOn w:val="91"/>
    <w:qFormat/>
    <w:uiPriority w:val="0"/>
  </w:style>
  <w:style w:type="character" w:customStyle="1" w:styleId="182">
    <w:name w:val="td_txt"/>
    <w:basedOn w:val="91"/>
    <w:qFormat/>
    <w:uiPriority w:val="0"/>
  </w:style>
  <w:style w:type="paragraph" w:customStyle="1" w:styleId="183">
    <w:name w:val="列出段落4"/>
    <w:next w:val="1"/>
    <w:qFormat/>
    <w:uiPriority w:val="99"/>
    <w:pPr>
      <w:widowControl w:val="0"/>
      <w:ind w:firstLine="200" w:firstLineChars="200"/>
      <w:jc w:val="both"/>
    </w:pPr>
    <w:rPr>
      <w:rFonts w:ascii="Calibri" w:hAnsi="Calibri" w:eastAsia="宋体" w:cs="Arial"/>
      <w:kern w:val="2"/>
      <w:sz w:val="21"/>
      <w:szCs w:val="22"/>
      <w:lang w:val="en-US" w:eastAsia="zh-CN" w:bidi="ar-SA"/>
    </w:rPr>
  </w:style>
  <w:style w:type="paragraph" w:customStyle="1" w:styleId="184">
    <w:name w:val="cjk"/>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85">
    <w:name w:val="默认段落字体 Para Char Char Char Char Char Char Char"/>
    <w:basedOn w:val="1"/>
    <w:qFormat/>
    <w:uiPriority w:val="99"/>
    <w:pPr>
      <w:spacing w:line="360" w:lineRule="auto"/>
      <w:ind w:firstLine="200" w:firstLineChars="200"/>
    </w:pPr>
    <w:rPr>
      <w:rFonts w:ascii="Tahoma" w:hAnsi="Tahoma" w:eastAsia="宋体" w:cs="Times New Roman"/>
      <w:sz w:val="24"/>
      <w:szCs w:val="24"/>
    </w:rPr>
  </w:style>
  <w:style w:type="paragraph" w:customStyle="1" w:styleId="186">
    <w:name w:val="批注框文本2"/>
    <w:basedOn w:val="1"/>
    <w:qFormat/>
    <w:uiPriority w:val="99"/>
    <w:rPr>
      <w:rFonts w:ascii="Times New Roman" w:hAnsi="Times New Roman" w:eastAsia="宋体" w:cs="Times New Roman"/>
      <w:sz w:val="18"/>
      <w:szCs w:val="24"/>
    </w:rPr>
  </w:style>
  <w:style w:type="paragraph" w:customStyle="1" w:styleId="187">
    <w:name w:val="Default"/>
    <w:next w:val="67"/>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8">
    <w:name w:val="number2"/>
    <w:basedOn w:val="1"/>
    <w:qFormat/>
    <w:uiPriority w:val="99"/>
    <w:pPr>
      <w:tabs>
        <w:tab w:val="left" w:pos="1247"/>
      </w:tabs>
      <w:spacing w:after="62" w:line="288" w:lineRule="auto"/>
      <w:ind w:left="1247" w:right="-25" w:hanging="396"/>
    </w:pPr>
    <w:rPr>
      <w:rFonts w:ascii="Times New Roman" w:hAnsi="Times New Roman" w:eastAsia="宋体" w:cs="Times New Roman"/>
      <w:szCs w:val="20"/>
    </w:rPr>
  </w:style>
  <w:style w:type="paragraph" w:customStyle="1" w:styleId="189">
    <w:name w:val="彩色列表 - 强调文字颜色 11"/>
    <w:basedOn w:val="1"/>
    <w:qFormat/>
    <w:uiPriority w:val="99"/>
    <w:pPr>
      <w:ind w:firstLine="200" w:firstLineChars="200"/>
    </w:pPr>
    <w:rPr>
      <w:rFonts w:ascii="Times New Roman" w:hAnsi="Times New Roman" w:eastAsia="宋体" w:cs="Times New Roman"/>
      <w:szCs w:val="24"/>
    </w:rPr>
  </w:style>
  <w:style w:type="paragraph" w:customStyle="1" w:styleId="190">
    <w:name w:val="列出段落1"/>
    <w:basedOn w:val="1"/>
    <w:qFormat/>
    <w:uiPriority w:val="34"/>
    <w:pPr>
      <w:ind w:firstLine="420" w:firstLineChars="200"/>
    </w:pPr>
    <w:rPr>
      <w:rFonts w:ascii="Calibri" w:hAnsi="Calibri" w:eastAsia="宋体" w:cs="Times New Roman"/>
    </w:rPr>
  </w:style>
  <w:style w:type="paragraph" w:customStyle="1" w:styleId="191">
    <w:name w:val="Char Char Char"/>
    <w:basedOn w:val="1"/>
    <w:qFormat/>
    <w:uiPriority w:val="0"/>
    <w:rPr>
      <w:rFonts w:ascii="Tahoma" w:hAnsi="Tahoma" w:eastAsia="宋体" w:cs="Times New Roman"/>
      <w:sz w:val="24"/>
      <w:szCs w:val="20"/>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3">
    <w:name w:val="Char1 Char Char Char Char Char Char"/>
    <w:basedOn w:val="1"/>
    <w:qFormat/>
    <w:uiPriority w:val="99"/>
    <w:rPr>
      <w:rFonts w:ascii="Tahoma" w:hAnsi="Tahoma" w:eastAsia="宋体" w:cs="Times New Roman"/>
      <w:sz w:val="24"/>
      <w:szCs w:val="20"/>
    </w:rPr>
  </w:style>
  <w:style w:type="paragraph" w:customStyle="1" w:styleId="194">
    <w:name w:val="正文列表编号"/>
    <w:basedOn w:val="2"/>
    <w:qFormat/>
    <w:uiPriority w:val="99"/>
    <w:pPr>
      <w:widowControl/>
      <w:spacing w:before="20" w:after="20" w:line="300" w:lineRule="auto"/>
      <w:ind w:left="774" w:leftChars="210" w:right="803" w:rightChars="250" w:hanging="99"/>
      <w:jc w:val="left"/>
    </w:pPr>
    <w:rPr>
      <w:rFonts w:ascii="仿宋_GB2312" w:hAnsi="Arial" w:eastAsia="仿宋_GB2312"/>
      <w:sz w:val="24"/>
      <w:szCs w:val="20"/>
    </w:rPr>
  </w:style>
  <w:style w:type="paragraph" w:customStyle="1" w:styleId="195">
    <w:name w:val="_Style 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插图题注"/>
    <w:next w:val="1"/>
    <w:qFormat/>
    <w:uiPriority w:val="99"/>
    <w:pPr>
      <w:tabs>
        <w:tab w:val="left" w:pos="0"/>
        <w:tab w:val="left" w:pos="425"/>
      </w:tabs>
      <w:spacing w:afterLines="100"/>
      <w:ind w:left="425" w:hanging="425"/>
      <w:jc w:val="center"/>
    </w:pPr>
    <w:rPr>
      <w:rFonts w:ascii="Arial" w:hAnsi="Arial" w:eastAsia="宋体" w:cs="Times New Roman"/>
      <w:sz w:val="18"/>
      <w:szCs w:val="18"/>
      <w:lang w:val="en-US" w:eastAsia="zh-CN" w:bidi="ar-SA"/>
    </w:rPr>
  </w:style>
  <w:style w:type="paragraph" w:customStyle="1" w:styleId="197">
    <w:name w:val="样式1"/>
    <w:basedOn w:val="4"/>
    <w:qFormat/>
    <w:uiPriority w:val="0"/>
    <w:pPr>
      <w:tabs>
        <w:tab w:val="left" w:pos="816"/>
      </w:tabs>
      <w:spacing w:line="0" w:lineRule="atLeast"/>
      <w:ind w:left="816" w:hanging="816"/>
    </w:pPr>
    <w:rPr>
      <w:b w:val="0"/>
    </w:rPr>
  </w:style>
  <w:style w:type="paragraph" w:customStyle="1" w:styleId="198">
    <w:name w:val="正文2"/>
    <w:next w:val="1"/>
    <w:qFormat/>
    <w:uiPriority w:val="0"/>
    <w:pPr>
      <w:widowControl w:val="0"/>
      <w:adjustRightInd w:val="0"/>
      <w:spacing w:before="156" w:line="360" w:lineRule="auto"/>
      <w:ind w:firstLine="200" w:firstLineChars="200"/>
      <w:jc w:val="both"/>
    </w:pPr>
    <w:rPr>
      <w:rFonts w:ascii="Times New Roman" w:hAnsi="Times New Roman" w:eastAsia="宋体" w:cs="Times New Roman"/>
      <w:kern w:val="2"/>
      <w:sz w:val="24"/>
      <w:lang w:val="en-US" w:eastAsia="zh-CN" w:bidi="ar-SA"/>
    </w:rPr>
  </w:style>
  <w:style w:type="paragraph" w:customStyle="1" w:styleId="199">
    <w:name w:val="p16"/>
    <w:qFormat/>
    <w:uiPriority w:val="0"/>
    <w:pPr>
      <w:jc w:val="both"/>
    </w:pPr>
    <w:rPr>
      <w:rFonts w:ascii="宋体" w:hAnsi="Times New Roman" w:eastAsia="宋体" w:cs="宋体"/>
      <w:lang w:val="en-US" w:eastAsia="zh-CN" w:bidi="ar-SA"/>
    </w:rPr>
  </w:style>
  <w:style w:type="paragraph" w:customStyle="1" w:styleId="200">
    <w:name w:val="Char"/>
    <w:basedOn w:val="1"/>
    <w:qFormat/>
    <w:uiPriority w:val="0"/>
    <w:rPr>
      <w:rFonts w:ascii="Tahoma" w:hAnsi="Tahoma" w:eastAsia="宋体" w:cs="Times New Roman"/>
      <w:sz w:val="24"/>
      <w:szCs w:val="20"/>
    </w:rPr>
  </w:style>
  <w:style w:type="paragraph" w:customStyle="1" w:styleId="201">
    <w:name w:val="xl28"/>
    <w:basedOn w:val="1"/>
    <w:qFormat/>
    <w:uiPriority w:val="0"/>
    <w:pPr>
      <w:widowControl/>
      <w:spacing w:before="100" w:beforeAutospacing="1" w:after="100" w:afterAutospacing="1"/>
    </w:pPr>
    <w:rPr>
      <w:rFonts w:ascii="Arial Unicode MS" w:hAnsi="Arial Unicode MS" w:eastAsia="Arial Unicode MS" w:cs="Times New Roman"/>
      <w:kern w:val="0"/>
      <w:sz w:val="24"/>
      <w:szCs w:val="24"/>
    </w:rPr>
  </w:style>
  <w:style w:type="paragraph" w:customStyle="1" w:styleId="202">
    <w:name w:val="表格题注"/>
    <w:next w:val="1"/>
    <w:qFormat/>
    <w:uiPriority w:val="99"/>
    <w:pPr>
      <w:keepLines/>
      <w:tabs>
        <w:tab w:val="left" w:pos="0"/>
        <w:tab w:val="left" w:pos="425"/>
      </w:tabs>
      <w:spacing w:beforeLines="100"/>
      <w:ind w:left="425" w:hanging="425"/>
      <w:jc w:val="center"/>
    </w:pPr>
    <w:rPr>
      <w:rFonts w:ascii="Arial" w:hAnsi="Arial" w:eastAsia="宋体" w:cs="Times New Roman"/>
      <w:sz w:val="18"/>
      <w:szCs w:val="18"/>
      <w:lang w:val="en-US" w:eastAsia="zh-CN" w:bidi="ar-SA"/>
    </w:rPr>
  </w:style>
  <w:style w:type="paragraph" w:customStyle="1" w:styleId="203">
    <w:name w:val="5"/>
    <w:basedOn w:val="1"/>
    <w:next w:val="52"/>
    <w:qFormat/>
    <w:uiPriority w:val="99"/>
    <w:pPr>
      <w:spacing w:line="360" w:lineRule="auto"/>
      <w:ind w:firstLine="420" w:firstLineChars="200"/>
    </w:pPr>
    <w:rPr>
      <w:rFonts w:ascii="仿宋_GB2312" w:hAnsi="Times New Roman" w:eastAsia="仿宋_GB2312" w:cs="Times New Roman"/>
      <w:szCs w:val="24"/>
    </w:rPr>
  </w:style>
  <w:style w:type="paragraph" w:customStyle="1" w:styleId="204">
    <w:name w:val="列出段落2"/>
    <w:next w:val="1"/>
    <w:qFormat/>
    <w:uiPriority w:val="34"/>
    <w:pPr>
      <w:widowControl w:val="0"/>
      <w:ind w:firstLine="200" w:firstLineChars="200"/>
      <w:jc w:val="both"/>
    </w:pPr>
    <w:rPr>
      <w:rFonts w:ascii="Calibri" w:hAnsi="Calibri" w:eastAsia="宋体" w:cs="Arial"/>
      <w:kern w:val="2"/>
      <w:sz w:val="21"/>
      <w:szCs w:val="22"/>
      <w:lang w:val="en-US" w:eastAsia="zh-CN" w:bidi="ar-SA"/>
    </w:rPr>
  </w:style>
  <w:style w:type="paragraph" w:customStyle="1" w:styleId="205">
    <w:name w:val="样式3"/>
    <w:basedOn w:val="46"/>
    <w:qFormat/>
    <w:uiPriority w:val="99"/>
  </w:style>
  <w:style w:type="paragraph" w:customStyle="1" w:styleId="206">
    <w:name w:val="Char Char Char Char"/>
    <w:basedOn w:val="1"/>
    <w:qFormat/>
    <w:uiPriority w:val="0"/>
    <w:rPr>
      <w:rFonts w:ascii="Times New Roman" w:hAnsi="Times New Roman" w:eastAsia="宋体" w:cs="Times New Roman"/>
      <w:kern w:val="0"/>
      <w:sz w:val="24"/>
      <w:szCs w:val="24"/>
    </w:rPr>
  </w:style>
  <w:style w:type="paragraph" w:customStyle="1" w:styleId="207">
    <w:name w:val="unnamed1"/>
    <w:basedOn w:val="1"/>
    <w:qFormat/>
    <w:uiPriority w:val="99"/>
    <w:pPr>
      <w:widowControl/>
      <w:spacing w:before="100" w:beforeAutospacing="1" w:after="100" w:afterAutospacing="1" w:line="450" w:lineRule="atLeast"/>
      <w:jc w:val="left"/>
    </w:pPr>
    <w:rPr>
      <w:rFonts w:ascii="宋体" w:hAnsi="宋体" w:eastAsia="宋体" w:cs="Times New Roman"/>
      <w:kern w:val="0"/>
      <w:szCs w:val="21"/>
    </w:rPr>
  </w:style>
  <w:style w:type="paragraph" w:customStyle="1" w:styleId="208">
    <w:name w:val="number1"/>
    <w:basedOn w:val="1"/>
    <w:qFormat/>
    <w:uiPriority w:val="99"/>
    <w:pPr>
      <w:tabs>
        <w:tab w:val="left" w:pos="840"/>
      </w:tabs>
      <w:spacing w:after="30" w:line="360" w:lineRule="auto"/>
      <w:ind w:left="840" w:hanging="420"/>
    </w:pPr>
    <w:rPr>
      <w:rFonts w:ascii="Arial" w:hAnsi="Arial" w:eastAsia="宋体" w:cs="Times New Roman"/>
      <w:sz w:val="24"/>
      <w:szCs w:val="20"/>
    </w:rPr>
  </w:style>
  <w:style w:type="paragraph" w:customStyle="1" w:styleId="209">
    <w:name w:val="样式2"/>
    <w:basedOn w:val="2"/>
    <w:qFormat/>
    <w:uiPriority w:val="0"/>
    <w:pPr>
      <w:spacing w:after="0" w:line="400" w:lineRule="exact"/>
      <w:jc w:val="center"/>
    </w:pPr>
    <w:rPr>
      <w:rFonts w:ascii="宋体" w:hAnsi="宋体"/>
      <w:bCs/>
      <w:sz w:val="24"/>
    </w:rPr>
  </w:style>
  <w:style w:type="paragraph" w:customStyle="1" w:styleId="210">
    <w:name w:val="标3"/>
    <w:basedOn w:val="1"/>
    <w:qFormat/>
    <w:uiPriority w:val="99"/>
    <w:pPr>
      <w:tabs>
        <w:tab w:val="left" w:pos="1224"/>
      </w:tabs>
      <w:adjustRightInd w:val="0"/>
      <w:snapToGrid w:val="0"/>
      <w:spacing w:before="50"/>
      <w:ind w:left="1224" w:hanging="1224"/>
      <w:outlineLvl w:val="2"/>
    </w:pPr>
    <w:rPr>
      <w:rFonts w:ascii="Arial Narrow" w:hAnsi="Arial Narrow" w:eastAsia="仿宋_GB2312" w:cs="Times New Roman"/>
      <w:sz w:val="28"/>
      <w:szCs w:val="20"/>
    </w:rPr>
  </w:style>
  <w:style w:type="paragraph" w:customStyle="1" w:styleId="211">
    <w:name w:val="样式 标题 3 + 楷体_GB2312"/>
    <w:basedOn w:val="6"/>
    <w:qFormat/>
    <w:uiPriority w:val="99"/>
    <w:pPr>
      <w:widowControl/>
      <w:tabs>
        <w:tab w:val="left" w:pos="5100"/>
        <w:tab w:val="clear" w:pos="5852"/>
      </w:tabs>
      <w:snapToGrid/>
      <w:spacing w:before="120" w:line="360" w:lineRule="auto"/>
      <w:ind w:left="0" w:firstLine="0"/>
      <w:jc w:val="left"/>
    </w:pPr>
    <w:rPr>
      <w:rFonts w:ascii="楷体_GB2312" w:hAnsi="楷体_GB2312" w:eastAsia="楷体_GB2312"/>
      <w:b w:val="0"/>
      <w:sz w:val="21"/>
      <w:szCs w:val="21"/>
    </w:rPr>
  </w:style>
  <w:style w:type="paragraph" w:customStyle="1" w:styleId="212">
    <w:name w:val="样式 宋体 小五 左 段前: 5 磅 段后: 5 磅 行距: 1.5 倍行距"/>
    <w:basedOn w:val="1"/>
    <w:qFormat/>
    <w:uiPriority w:val="99"/>
    <w:pPr>
      <w:widowControl/>
      <w:tabs>
        <w:tab w:val="left" w:pos="5100"/>
      </w:tabs>
      <w:spacing w:line="0" w:lineRule="atLeast"/>
      <w:jc w:val="left"/>
    </w:pPr>
    <w:rPr>
      <w:rFonts w:ascii="宋体" w:hAnsi="宋体" w:eastAsia="宋体" w:cs="Times New Roman"/>
      <w:kern w:val="0"/>
      <w:szCs w:val="21"/>
    </w:rPr>
  </w:style>
  <w:style w:type="paragraph" w:customStyle="1" w:styleId="213">
    <w:name w:val="默认段落字体 Para Char Char Char Char Char Char Char Char Char1 Char Char Char Char Char Char Char"/>
    <w:basedOn w:val="27"/>
    <w:qFormat/>
    <w:uiPriority w:val="99"/>
    <w:rPr>
      <w:rFonts w:ascii="Tahoma" w:hAnsi="Tahoma"/>
      <w:sz w:val="24"/>
    </w:rPr>
  </w:style>
  <w:style w:type="paragraph" w:customStyle="1" w:styleId="214">
    <w:name w:val="Char Char Char Char Char Char Char Char Char Char"/>
    <w:basedOn w:val="1"/>
    <w:qFormat/>
    <w:uiPriority w:val="0"/>
    <w:rPr>
      <w:rFonts w:ascii="Tahoma" w:hAnsi="Tahoma" w:eastAsia="宋体" w:cs="Times New Roman"/>
      <w:sz w:val="24"/>
      <w:szCs w:val="20"/>
    </w:rPr>
  </w:style>
  <w:style w:type="paragraph" w:customStyle="1" w:styleId="215">
    <w:name w:val="样式 标题 2 + Times New Roman 四号 非加粗 段前: 5 磅 段后: 0 磅 行距: 固定值 20..."/>
    <w:basedOn w:val="5"/>
    <w:qFormat/>
    <w:uiPriority w:val="0"/>
    <w:pPr>
      <w:spacing w:before="100" w:after="0" w:line="400" w:lineRule="exact"/>
      <w:ind w:left="0"/>
      <w:jc w:val="both"/>
    </w:pPr>
    <w:rPr>
      <w:rFonts w:ascii="Times New Roman" w:hAnsi="Times New Roman" w:eastAsia="黑体"/>
      <w:b w:val="0"/>
      <w:sz w:val="28"/>
    </w:rPr>
  </w:style>
  <w:style w:type="paragraph" w:customStyle="1" w:styleId="216">
    <w:name w:val="普通正文"/>
    <w:basedOn w:val="1"/>
    <w:qFormat/>
    <w:uiPriority w:val="99"/>
    <w:pPr>
      <w:adjustRightInd w:val="0"/>
      <w:spacing w:before="120" w:after="120" w:line="360" w:lineRule="auto"/>
      <w:ind w:firstLine="480"/>
      <w:jc w:val="left"/>
    </w:pPr>
    <w:rPr>
      <w:rFonts w:ascii="Arial" w:hAnsi="Arial" w:eastAsia="宋体" w:cs="Times New Roman"/>
      <w:kern w:val="0"/>
      <w:sz w:val="24"/>
      <w:szCs w:val="24"/>
    </w:rPr>
  </w:style>
  <w:style w:type="paragraph" w:customStyle="1" w:styleId="217">
    <w:name w:val="样式 宋体 行距: 固定值 20 磅"/>
    <w:basedOn w:val="1"/>
    <w:qFormat/>
    <w:uiPriority w:val="99"/>
    <w:pPr>
      <w:spacing w:line="400" w:lineRule="exact"/>
    </w:pPr>
    <w:rPr>
      <w:rFonts w:ascii="Times New Roman" w:hAnsi="Times New Roman" w:eastAsia="宋体" w:cs="宋体"/>
      <w:spacing w:val="20"/>
      <w:szCs w:val="20"/>
    </w:rPr>
  </w:style>
  <w:style w:type="paragraph" w:customStyle="1" w:styleId="218">
    <w:name w:val="p0"/>
    <w:basedOn w:val="1"/>
    <w:qFormat/>
    <w:uiPriority w:val="0"/>
    <w:pPr>
      <w:widowControl/>
    </w:pPr>
    <w:rPr>
      <w:rFonts w:ascii="Times New Roman" w:hAnsi="Times New Roman" w:eastAsia="宋体" w:cs="Times New Roman"/>
      <w:szCs w:val="24"/>
    </w:rPr>
  </w:style>
  <w:style w:type="paragraph" w:customStyle="1" w:styleId="219">
    <w:name w:val="文档正文"/>
    <w:basedOn w:val="1"/>
    <w:qFormat/>
    <w:uiPriority w:val="99"/>
    <w:pPr>
      <w:spacing w:line="480" w:lineRule="atLeast"/>
      <w:ind w:firstLine="567"/>
      <w:textAlignment w:val="baseline"/>
    </w:pPr>
    <w:rPr>
      <w:rFonts w:ascii="仿宋_GB2312" w:hAnsi="Times New Roman" w:eastAsia="仿宋_GB2312" w:cs="Times New Roman"/>
      <w:sz w:val="28"/>
      <w:szCs w:val="24"/>
    </w:rPr>
  </w:style>
  <w:style w:type="paragraph" w:customStyle="1" w:styleId="220">
    <w:name w:val="列出段落3"/>
    <w:next w:val="1"/>
    <w:qFormat/>
    <w:uiPriority w:val="34"/>
    <w:pPr>
      <w:widowControl w:val="0"/>
      <w:ind w:firstLine="200" w:firstLineChars="200"/>
      <w:jc w:val="both"/>
    </w:pPr>
    <w:rPr>
      <w:rFonts w:ascii="Calibri" w:hAnsi="Calibri" w:eastAsia="宋体" w:cs="Arial"/>
      <w:kern w:val="2"/>
      <w:sz w:val="21"/>
      <w:szCs w:val="22"/>
      <w:lang w:val="en-US" w:eastAsia="zh-CN" w:bidi="ar-SA"/>
    </w:rPr>
  </w:style>
  <w:style w:type="paragraph" w:customStyle="1" w:styleId="221">
    <w:name w:val="表格"/>
    <w:basedOn w:val="1"/>
    <w:qFormat/>
    <w:uiPriority w:val="0"/>
    <w:pPr>
      <w:adjustRightInd w:val="0"/>
      <w:spacing w:line="400" w:lineRule="atLeast"/>
      <w:textAlignment w:val="baseline"/>
    </w:pPr>
    <w:rPr>
      <w:rFonts w:ascii="仿宋_GB2312" w:hAnsi="Times New Roman" w:eastAsia="仿宋_GB2312" w:cs="Times New Roman"/>
      <w:kern w:val="0"/>
      <w:sz w:val="28"/>
      <w:szCs w:val="24"/>
    </w:rPr>
  </w:style>
  <w:style w:type="paragraph" w:customStyle="1" w:styleId="222">
    <w:name w:val="表格正文"/>
    <w:basedOn w:val="1"/>
    <w:qFormat/>
    <w:uiPriority w:val="99"/>
    <w:pPr>
      <w:widowControl/>
      <w:jc w:val="center"/>
    </w:pPr>
    <w:rPr>
      <w:rFonts w:ascii="仿宋_GB2312" w:hAnsi="Times New Roman" w:eastAsia="仿宋_GB2312" w:cs="宋体"/>
      <w:kern w:val="0"/>
      <w:szCs w:val="21"/>
    </w:rPr>
  </w:style>
  <w:style w:type="paragraph" w:customStyle="1" w:styleId="223">
    <w:name w:val="招标书正文"/>
    <w:basedOn w:val="1"/>
    <w:qFormat/>
    <w:uiPriority w:val="99"/>
    <w:pPr>
      <w:spacing w:beforeLines="50" w:afterLines="50" w:line="300" w:lineRule="auto"/>
      <w:ind w:firstLine="200" w:firstLineChars="200"/>
    </w:pPr>
    <w:rPr>
      <w:rFonts w:ascii="Times New Roman" w:hAnsi="Times New Roman" w:eastAsia="宋体" w:cs="宋体"/>
      <w:szCs w:val="20"/>
    </w:rPr>
  </w:style>
  <w:style w:type="paragraph" w:customStyle="1" w:styleId="224">
    <w:name w:val="批注框文本1"/>
    <w:basedOn w:val="1"/>
    <w:qFormat/>
    <w:uiPriority w:val="99"/>
    <w:rPr>
      <w:rFonts w:ascii="Times New Roman" w:hAnsi="Times New Roman" w:eastAsia="宋体" w:cs="Times New Roman"/>
      <w:sz w:val="18"/>
      <w:szCs w:val="24"/>
    </w:rPr>
  </w:style>
  <w:style w:type="paragraph" w:customStyle="1" w:styleId="225">
    <w:name w:val="Char1"/>
    <w:basedOn w:val="1"/>
    <w:qFormat/>
    <w:uiPriority w:val="0"/>
    <w:pPr>
      <w:widowControl/>
      <w:spacing w:after="160" w:line="240" w:lineRule="exact"/>
      <w:jc w:val="left"/>
    </w:pPr>
    <w:rPr>
      <w:rFonts w:ascii="宋体" w:hAnsi="Times New Roman" w:eastAsia="宋体" w:cs="Times New Roman"/>
      <w:kern w:val="0"/>
      <w:sz w:val="20"/>
      <w:szCs w:val="20"/>
      <w:lang w:eastAsia="en-US"/>
    </w:rPr>
  </w:style>
  <w:style w:type="paragraph" w:customStyle="1" w:styleId="226">
    <w:name w:val="a0"/>
    <w:basedOn w:val="1"/>
    <w:qFormat/>
    <w:uiPriority w:val="99"/>
    <w:pPr>
      <w:widowControl/>
      <w:spacing w:before="100" w:beforeAutospacing="1" w:after="100" w:afterAutospacing="1"/>
      <w:jc w:val="left"/>
    </w:pPr>
    <w:rPr>
      <w:rFonts w:ascii="宋体" w:hAnsi="Times New Roman" w:eastAsia="宋体" w:cs="宋体"/>
      <w:kern w:val="0"/>
      <w:sz w:val="24"/>
      <w:szCs w:val="24"/>
    </w:rPr>
  </w:style>
  <w:style w:type="paragraph" w:customStyle="1" w:styleId="227">
    <w:name w:val="批注主题1"/>
    <w:basedOn w:val="29"/>
    <w:next w:val="29"/>
    <w:qFormat/>
    <w:uiPriority w:val="99"/>
    <w:rPr>
      <w:b/>
    </w:rPr>
  </w:style>
  <w:style w:type="paragraph" w:customStyle="1" w:styleId="228">
    <w:name w:val="样式 列表编号 + 段后: 0.5 行"/>
    <w:basedOn w:val="22"/>
    <w:qFormat/>
    <w:uiPriority w:val="99"/>
    <w:pPr>
      <w:widowControl/>
      <w:spacing w:afterLines="50"/>
      <w:ind w:left="840" w:hanging="420"/>
      <w:jc w:val="left"/>
    </w:pPr>
    <w:rPr>
      <w:rFonts w:cs="宋体"/>
      <w:kern w:val="0"/>
      <w:sz w:val="24"/>
      <w:szCs w:val="20"/>
    </w:rPr>
  </w:style>
  <w:style w:type="paragraph" w:customStyle="1" w:styleId="229">
    <w:name w:val="默认段落字体 Para Char Char Char Char"/>
    <w:basedOn w:val="1"/>
    <w:qFormat/>
    <w:uiPriority w:val="99"/>
    <w:pPr>
      <w:snapToGrid w:val="0"/>
      <w:spacing w:line="360" w:lineRule="auto"/>
      <w:ind w:firstLine="200" w:firstLineChars="200"/>
    </w:pPr>
    <w:rPr>
      <w:rFonts w:ascii="Times New Roman" w:hAnsi="Times New Roman" w:eastAsia="宋体" w:cs="Times New Roman"/>
      <w:szCs w:val="24"/>
    </w:rPr>
  </w:style>
  <w:style w:type="paragraph" w:customStyle="1" w:styleId="230">
    <w:name w:val="标题 11"/>
    <w:basedOn w:val="1"/>
    <w:next w:val="1"/>
    <w:qFormat/>
    <w:uiPriority w:val="99"/>
    <w:pPr>
      <w:keepNext/>
      <w:keepLines/>
      <w:spacing w:before="340" w:after="330" w:line="578" w:lineRule="auto"/>
      <w:outlineLvl w:val="0"/>
    </w:pPr>
    <w:rPr>
      <w:rFonts w:ascii="Calibri" w:hAnsi="Calibri" w:eastAsia="宋体" w:cs="Times New Roman"/>
      <w:b/>
      <w:bCs/>
      <w:kern w:val="44"/>
      <w:sz w:val="44"/>
      <w:szCs w:val="44"/>
    </w:rPr>
  </w:style>
  <w:style w:type="paragraph" w:customStyle="1" w:styleId="231">
    <w:name w:val="标题 21"/>
    <w:basedOn w:val="1"/>
    <w:next w:val="1"/>
    <w:qFormat/>
    <w:uiPriority w:val="99"/>
    <w:pPr>
      <w:keepNext/>
      <w:keepLines/>
      <w:spacing w:before="260" w:after="260" w:line="416" w:lineRule="auto"/>
      <w:outlineLvl w:val="1"/>
    </w:pPr>
    <w:rPr>
      <w:rFonts w:ascii="Cambria" w:hAnsi="Cambria" w:eastAsia="宋体" w:cs="Times New Roman"/>
      <w:b/>
      <w:bCs/>
      <w:sz w:val="32"/>
      <w:szCs w:val="32"/>
    </w:rPr>
  </w:style>
  <w:style w:type="paragraph" w:customStyle="1" w:styleId="232">
    <w:name w:val="标题 31"/>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paragraph" w:customStyle="1" w:styleId="233">
    <w:name w:val="图"/>
    <w:basedOn w:val="1"/>
    <w:qFormat/>
    <w:uiPriority w:val="99"/>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34">
    <w:name w:val="批注主题2"/>
    <w:basedOn w:val="29"/>
    <w:next w:val="29"/>
    <w:qFormat/>
    <w:uiPriority w:val="99"/>
    <w:rPr>
      <w:b/>
    </w:rPr>
  </w:style>
  <w:style w:type="character" w:customStyle="1" w:styleId="235">
    <w:name w:val="font01"/>
    <w:qFormat/>
    <w:uiPriority w:val="0"/>
    <w:rPr>
      <w:rFonts w:hint="eastAsia" w:ascii="宋体" w:hAnsi="宋体" w:eastAsia="宋体" w:cs="宋体"/>
      <w:color w:val="000000"/>
      <w:sz w:val="22"/>
      <w:szCs w:val="22"/>
      <w:u w:val="none"/>
    </w:rPr>
  </w:style>
  <w:style w:type="paragraph" w:styleId="23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7">
    <w:name w:val="样式 加粗 段前: 7.8 磅 段后: 7.8 磅 行距: 固定值 20 磅"/>
    <w:basedOn w:val="1"/>
    <w:qFormat/>
    <w:uiPriority w:val="0"/>
    <w:pPr>
      <w:spacing w:before="60" w:after="60" w:line="360" w:lineRule="exact"/>
    </w:pPr>
    <w:rPr>
      <w:rFonts w:ascii="Times New Roman" w:hAnsi="Times New Roman" w:eastAsia="宋体" w:cs="宋体"/>
      <w:b/>
      <w:bCs/>
      <w:spacing w:val="-2"/>
      <w:sz w:val="24"/>
      <w:szCs w:val="20"/>
    </w:rPr>
  </w:style>
  <w:style w:type="paragraph" w:customStyle="1" w:styleId="238">
    <w:name w:val="列出段落11"/>
    <w:basedOn w:val="1"/>
    <w:qFormat/>
    <w:uiPriority w:val="99"/>
    <w:pPr>
      <w:spacing w:line="360" w:lineRule="auto"/>
      <w:ind w:firstLine="420" w:firstLineChars="200"/>
    </w:pPr>
    <w:rPr>
      <w:rFonts w:ascii="Times New Roman" w:hAnsi="Times New Roman" w:eastAsia="宋体" w:cs="Times New Roman"/>
      <w:sz w:val="24"/>
      <w:szCs w:val="20"/>
    </w:rPr>
  </w:style>
  <w:style w:type="table" w:customStyle="1" w:styleId="239">
    <w:name w:val="网格型1"/>
    <w:basedOn w:val="89"/>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40">
    <w:name w:val="标题 2 字符"/>
    <w:basedOn w:val="91"/>
    <w:qFormat/>
    <w:uiPriority w:val="0"/>
    <w:rPr>
      <w:rFonts w:ascii="等线 Light" w:hAnsi="等线 Light" w:eastAsia="等线 Light" w:cs="Times New Roman"/>
      <w:b/>
      <w:bCs/>
      <w:sz w:val="32"/>
      <w:szCs w:val="32"/>
    </w:rPr>
  </w:style>
  <w:style w:type="character" w:customStyle="1" w:styleId="241">
    <w:name w:val="WW8Num15z0"/>
    <w:qFormat/>
    <w:uiPriority w:val="0"/>
    <w:rPr>
      <w:rFonts w:ascii="Wingdings" w:hAnsi="Wingdings"/>
    </w:rPr>
  </w:style>
  <w:style w:type="character" w:customStyle="1" w:styleId="242">
    <w:name w:val="WW8Num1z0"/>
    <w:qFormat/>
    <w:uiPriority w:val="0"/>
    <w:rPr>
      <w:rFonts w:ascii="Wingdings" w:hAnsi="Wingdings"/>
    </w:rPr>
  </w:style>
  <w:style w:type="character" w:customStyle="1" w:styleId="243">
    <w:name w:val="样式 宋体 小四"/>
    <w:qFormat/>
    <w:uiPriority w:val="0"/>
    <w:rPr>
      <w:sz w:val="24"/>
    </w:rPr>
  </w:style>
  <w:style w:type="character" w:customStyle="1" w:styleId="244">
    <w:name w:val="lineitems1"/>
    <w:qFormat/>
    <w:uiPriority w:val="0"/>
    <w:rPr>
      <w:sz w:val="17"/>
      <w:szCs w:val="17"/>
    </w:rPr>
  </w:style>
  <w:style w:type="character" w:customStyle="1" w:styleId="245">
    <w:name w:val="c lh15"/>
    <w:basedOn w:val="91"/>
    <w:qFormat/>
    <w:uiPriority w:val="0"/>
  </w:style>
  <w:style w:type="character" w:customStyle="1" w:styleId="246">
    <w:name w:val="WW8Num16z0"/>
    <w:qFormat/>
    <w:uiPriority w:val="0"/>
    <w:rPr>
      <w:rFonts w:ascii="Wingdings" w:hAnsi="Wingdings"/>
    </w:rPr>
  </w:style>
  <w:style w:type="character" w:customStyle="1" w:styleId="247">
    <w:name w:val="f111"/>
    <w:qFormat/>
    <w:uiPriority w:val="0"/>
    <w:rPr>
      <w:sz w:val="22"/>
      <w:szCs w:val="22"/>
    </w:rPr>
  </w:style>
  <w:style w:type="character" w:customStyle="1" w:styleId="248">
    <w:name w:val="ft-hanggao1"/>
    <w:qFormat/>
    <w:uiPriority w:val="0"/>
    <w:rPr>
      <w:color w:val="000000"/>
      <w:sz w:val="21"/>
      <w:szCs w:val="21"/>
    </w:rPr>
  </w:style>
  <w:style w:type="character" w:customStyle="1" w:styleId="249">
    <w:name w:val="at_1"/>
    <w:basedOn w:val="91"/>
    <w:qFormat/>
    <w:uiPriority w:val="0"/>
  </w:style>
  <w:style w:type="character" w:customStyle="1" w:styleId="250">
    <w:name w:val="high1"/>
    <w:basedOn w:val="91"/>
    <w:qFormat/>
    <w:uiPriority w:val="0"/>
  </w:style>
  <w:style w:type="character" w:customStyle="1" w:styleId="251">
    <w:name w:val="WW8Num7z0"/>
    <w:qFormat/>
    <w:uiPriority w:val="0"/>
    <w:rPr>
      <w:rFonts w:ascii="Wingdings" w:hAnsi="Wingdings"/>
    </w:rPr>
  </w:style>
  <w:style w:type="character" w:customStyle="1" w:styleId="252">
    <w:name w:val="WW8Num14z0"/>
    <w:qFormat/>
    <w:uiPriority w:val="0"/>
    <w:rPr>
      <w:rFonts w:ascii="Wingdings" w:hAnsi="Wingdings"/>
    </w:rPr>
  </w:style>
  <w:style w:type="character" w:customStyle="1" w:styleId="253">
    <w:name w:val="font91"/>
    <w:qFormat/>
    <w:uiPriority w:val="0"/>
    <w:rPr>
      <w:sz w:val="18"/>
      <w:szCs w:val="18"/>
    </w:rPr>
  </w:style>
  <w:style w:type="character" w:customStyle="1" w:styleId="254">
    <w:name w:val="WW8Num5z0"/>
    <w:qFormat/>
    <w:uiPriority w:val="0"/>
    <w:rPr>
      <w:rFonts w:ascii="Wingdings" w:hAnsi="Wingdings"/>
    </w:rPr>
  </w:style>
  <w:style w:type="character" w:customStyle="1" w:styleId="255">
    <w:name w:val="签名 Char1"/>
    <w:qFormat/>
    <w:uiPriority w:val="0"/>
    <w:rPr>
      <w:kern w:val="2"/>
      <w:sz w:val="21"/>
      <w:szCs w:val="24"/>
    </w:rPr>
  </w:style>
  <w:style w:type="character" w:customStyle="1" w:styleId="256">
    <w:name w:val="copyright"/>
    <w:qFormat/>
    <w:uiPriority w:val="0"/>
  </w:style>
  <w:style w:type="character" w:customStyle="1" w:styleId="257">
    <w:name w:val="WW8Num8z1"/>
    <w:qFormat/>
    <w:uiPriority w:val="0"/>
    <w:rPr>
      <w:rFonts w:ascii="Wingdings" w:hAnsi="Wingdings"/>
    </w:rPr>
  </w:style>
  <w:style w:type="character" w:customStyle="1" w:styleId="258">
    <w:name w:val="a21"/>
    <w:qFormat/>
    <w:uiPriority w:val="0"/>
    <w:rPr>
      <w:rFonts w:ascii="??" w:hAnsi="??" w:cs="??"/>
      <w:sz w:val="18"/>
      <w:szCs w:val="18"/>
    </w:rPr>
  </w:style>
  <w:style w:type="character" w:customStyle="1" w:styleId="259">
    <w:name w:val="normalfont1"/>
    <w:qFormat/>
    <w:uiPriority w:val="0"/>
    <w:rPr>
      <w:rFonts w:hint="default" w:ascii="ˎ̥" w:hAnsi="ˎ̥"/>
      <w:color w:val="000472"/>
      <w:sz w:val="18"/>
      <w:szCs w:val="18"/>
    </w:rPr>
  </w:style>
  <w:style w:type="character" w:customStyle="1" w:styleId="260">
    <w:name w:val="Hyperlink1"/>
    <w:qFormat/>
    <w:uiPriority w:val="0"/>
    <w:rPr>
      <w:rFonts w:ascii="Arial" w:hAnsi="Arial" w:eastAsia="黑体"/>
      <w:color w:val="0000FF"/>
      <w:kern w:val="2"/>
      <w:sz w:val="21"/>
      <w:szCs w:val="21"/>
      <w:u w:val="single"/>
      <w:lang w:val="en-US" w:eastAsia="zh-CN" w:bidi="ar-SA"/>
    </w:rPr>
  </w:style>
  <w:style w:type="character" w:customStyle="1" w:styleId="261">
    <w:name w:val="超链接1"/>
    <w:qFormat/>
    <w:uiPriority w:val="0"/>
    <w:rPr>
      <w:rFonts w:ascii="Arial" w:hAnsi="Arial" w:eastAsia="黑体"/>
      <w:color w:val="0000FF"/>
      <w:kern w:val="2"/>
      <w:sz w:val="21"/>
      <w:szCs w:val="21"/>
      <w:u w:val="single"/>
      <w:lang w:val="en-US" w:eastAsia="zh-CN" w:bidi="ar-SA"/>
    </w:rPr>
  </w:style>
  <w:style w:type="character" w:customStyle="1" w:styleId="262">
    <w:name w:val="style4"/>
    <w:basedOn w:val="91"/>
    <w:qFormat/>
    <w:uiPriority w:val="0"/>
  </w:style>
  <w:style w:type="character" w:customStyle="1" w:styleId="263">
    <w:name w:val="la1"/>
    <w:qFormat/>
    <w:uiPriority w:val="0"/>
    <w:rPr>
      <w:sz w:val="21"/>
      <w:szCs w:val="21"/>
    </w:rPr>
  </w:style>
  <w:style w:type="character" w:customStyle="1" w:styleId="264">
    <w:name w:val="fs1"/>
    <w:qFormat/>
    <w:uiPriority w:val="0"/>
    <w:rPr>
      <w:dstrike/>
      <w:color w:val="093F7C"/>
      <w:sz w:val="18"/>
      <w:u w:val="none"/>
    </w:rPr>
  </w:style>
  <w:style w:type="character" w:customStyle="1" w:styleId="265">
    <w:name w:val="HTML Markup"/>
    <w:qFormat/>
    <w:uiPriority w:val="0"/>
    <w:rPr>
      <w:vanish/>
      <w:color w:val="FF0000"/>
    </w:rPr>
  </w:style>
  <w:style w:type="character" w:customStyle="1" w:styleId="266">
    <w:name w:val="批注框文本 字符"/>
    <w:semiHidden/>
    <w:qFormat/>
    <w:uiPriority w:val="99"/>
    <w:rPr>
      <w:sz w:val="18"/>
      <w:szCs w:val="18"/>
    </w:rPr>
  </w:style>
  <w:style w:type="character" w:customStyle="1" w:styleId="267">
    <w:name w:val="f101"/>
    <w:qFormat/>
    <w:uiPriority w:val="0"/>
    <w:rPr>
      <w:sz w:val="21"/>
      <w:szCs w:val="21"/>
    </w:rPr>
  </w:style>
  <w:style w:type="character" w:customStyle="1" w:styleId="268">
    <w:name w:val="WW8Num13z0"/>
    <w:qFormat/>
    <w:uiPriority w:val="0"/>
    <w:rPr>
      <w:rFonts w:ascii="Wingdings" w:hAnsi="Wingdings"/>
    </w:rPr>
  </w:style>
  <w:style w:type="character" w:customStyle="1" w:styleId="269">
    <w:name w:val="a91"/>
    <w:qFormat/>
    <w:uiPriority w:val="0"/>
    <w:rPr>
      <w:sz w:val="18"/>
      <w:szCs w:val="18"/>
    </w:rPr>
  </w:style>
  <w:style w:type="character" w:customStyle="1" w:styleId="270">
    <w:name w:val="z-窗体顶端 字符"/>
    <w:link w:val="271"/>
    <w:qFormat/>
    <w:uiPriority w:val="0"/>
    <w:rPr>
      <w:rFonts w:ascii="Arial" w:hAnsi="Arial"/>
      <w:vanish/>
      <w:sz w:val="16"/>
    </w:rPr>
  </w:style>
  <w:style w:type="paragraph" w:customStyle="1" w:styleId="271">
    <w:name w:val="z-窗体顶端1"/>
    <w:basedOn w:val="1"/>
    <w:next w:val="1"/>
    <w:link w:val="270"/>
    <w:qFormat/>
    <w:uiPriority w:val="0"/>
    <w:pPr>
      <w:widowControl/>
      <w:pBdr>
        <w:bottom w:val="single" w:color="auto" w:sz="6" w:space="1"/>
      </w:pBdr>
      <w:jc w:val="center"/>
    </w:pPr>
    <w:rPr>
      <w:rFonts w:ascii="Arial" w:hAnsi="Arial"/>
      <w:vanish/>
      <w:sz w:val="16"/>
    </w:rPr>
  </w:style>
  <w:style w:type="character" w:customStyle="1" w:styleId="272">
    <w:name w:val="WW-Absatz-Standardschriftart"/>
    <w:qFormat/>
    <w:uiPriority w:val="0"/>
  </w:style>
  <w:style w:type="character" w:customStyle="1" w:styleId="273">
    <w:name w:val="副标题 Char1"/>
    <w:qFormat/>
    <w:uiPriority w:val="0"/>
    <w:rPr>
      <w:rFonts w:ascii="Cambria" w:hAnsi="Cambria" w:cs="Times New Roman"/>
      <w:b/>
      <w:bCs/>
      <w:kern w:val="28"/>
      <w:sz w:val="32"/>
      <w:szCs w:val="32"/>
    </w:rPr>
  </w:style>
  <w:style w:type="character" w:customStyle="1" w:styleId="274">
    <w:name w:val="普通文字 Char Char2"/>
    <w:qFormat/>
    <w:uiPriority w:val="0"/>
    <w:rPr>
      <w:rFonts w:ascii="宋体" w:hAnsi="Courier New" w:eastAsia="宋体"/>
      <w:kern w:val="2"/>
      <w:sz w:val="21"/>
      <w:lang w:val="en-US" w:eastAsia="zh-CN" w:bidi="ar-SA"/>
    </w:rPr>
  </w:style>
  <w:style w:type="character" w:customStyle="1" w:styleId="275">
    <w:name w:val="WW8Num9z0"/>
    <w:qFormat/>
    <w:uiPriority w:val="0"/>
    <w:rPr>
      <w:rFonts w:ascii="Wingdings" w:hAnsi="Wingdings"/>
    </w:rPr>
  </w:style>
  <w:style w:type="character" w:customStyle="1" w:styleId="276">
    <w:name w:val="引用 Char1"/>
    <w:qFormat/>
    <w:uiPriority w:val="29"/>
    <w:rPr>
      <w:i/>
      <w:iCs/>
      <w:color w:val="000000"/>
      <w:kern w:val="2"/>
      <w:sz w:val="21"/>
      <w:szCs w:val="24"/>
    </w:rPr>
  </w:style>
  <w:style w:type="character" w:customStyle="1" w:styleId="277">
    <w:name w:val="标题 2 Char1"/>
    <w:qFormat/>
    <w:locked/>
    <w:uiPriority w:val="99"/>
    <w:rPr>
      <w:rFonts w:ascii="Arial" w:hAnsi="Arial" w:eastAsia="黑体" w:cs="Arial"/>
      <w:b/>
      <w:bCs/>
      <w:sz w:val="32"/>
      <w:szCs w:val="32"/>
    </w:rPr>
  </w:style>
  <w:style w:type="character" w:customStyle="1" w:styleId="278">
    <w:name w:val="z9unnamed2"/>
    <w:basedOn w:val="91"/>
    <w:qFormat/>
    <w:uiPriority w:val="0"/>
  </w:style>
  <w:style w:type="character" w:customStyle="1" w:styleId="279">
    <w:name w:val="WW8Num6z0"/>
    <w:qFormat/>
    <w:uiPriority w:val="0"/>
    <w:rPr>
      <w:rFonts w:ascii="Wingdings" w:hAnsi="Wingdings"/>
    </w:rPr>
  </w:style>
  <w:style w:type="character" w:customStyle="1" w:styleId="280">
    <w:name w:val="WW8Num10z0"/>
    <w:qFormat/>
    <w:uiPriority w:val="0"/>
    <w:rPr>
      <w:rFonts w:ascii="Wingdings" w:hAnsi="Wingdings"/>
    </w:rPr>
  </w:style>
  <w:style w:type="character" w:customStyle="1" w:styleId="281">
    <w:name w:val="type1"/>
    <w:qFormat/>
    <w:uiPriority w:val="0"/>
    <w:rPr>
      <w:rFonts w:hint="default" w:ascii="Arial" w:hAnsi="Arial" w:cs="Arial"/>
      <w:color w:val="666666"/>
      <w:sz w:val="18"/>
      <w:szCs w:val="18"/>
    </w:rPr>
  </w:style>
  <w:style w:type="character" w:customStyle="1" w:styleId="282">
    <w:name w:val="标题 Char1"/>
    <w:qFormat/>
    <w:uiPriority w:val="0"/>
    <w:rPr>
      <w:rFonts w:ascii="Cambria" w:hAnsi="Cambria" w:cs="Times New Roman"/>
      <w:b/>
      <w:bCs/>
      <w:kern w:val="2"/>
      <w:sz w:val="32"/>
      <w:szCs w:val="32"/>
    </w:rPr>
  </w:style>
  <w:style w:type="character" w:customStyle="1" w:styleId="283">
    <w:name w:val="正文首行缩进 Char1"/>
    <w:basedOn w:val="160"/>
    <w:qFormat/>
    <w:uiPriority w:val="99"/>
    <w:rPr>
      <w:rFonts w:ascii="Times New Roman" w:hAnsi="Times New Roman" w:eastAsia="宋体" w:cs="Times New Roman"/>
      <w:szCs w:val="24"/>
    </w:rPr>
  </w:style>
  <w:style w:type="character" w:customStyle="1" w:styleId="284">
    <w:name w:val="正文文本 (2)_"/>
    <w:link w:val="285"/>
    <w:unhideWhenUsed/>
    <w:qFormat/>
    <w:locked/>
    <w:uiPriority w:val="99"/>
    <w:rPr>
      <w:rFonts w:ascii="MingLiU" w:eastAsia="MingLiU"/>
      <w:spacing w:val="20"/>
      <w:shd w:val="clear" w:color="auto" w:fill="FFFFFF"/>
    </w:rPr>
  </w:style>
  <w:style w:type="paragraph" w:customStyle="1" w:styleId="285">
    <w:name w:val="正文文本 (2)1"/>
    <w:basedOn w:val="1"/>
    <w:link w:val="284"/>
    <w:unhideWhenUsed/>
    <w:qFormat/>
    <w:uiPriority w:val="99"/>
    <w:pPr>
      <w:shd w:val="clear" w:color="auto" w:fill="FFFFFF"/>
      <w:spacing w:before="300" w:after="300" w:line="240" w:lineRule="atLeast"/>
      <w:jc w:val="distribute"/>
    </w:pPr>
    <w:rPr>
      <w:rFonts w:ascii="MingLiU" w:eastAsia="MingLiU"/>
      <w:spacing w:val="20"/>
    </w:rPr>
  </w:style>
  <w:style w:type="character" w:customStyle="1" w:styleId="286">
    <w:name w:val="（符号）三标题1.1 Char Char"/>
    <w:link w:val="287"/>
    <w:qFormat/>
    <w:uiPriority w:val="0"/>
    <w:rPr>
      <w:rFonts w:ascii="宋体" w:hAnsi="宋体" w:eastAsia="宋体"/>
      <w:sz w:val="24"/>
      <w:szCs w:val="24"/>
    </w:rPr>
  </w:style>
  <w:style w:type="paragraph" w:customStyle="1" w:styleId="287">
    <w:name w:val="（符号）三标题1.1 Char"/>
    <w:basedOn w:val="1"/>
    <w:link w:val="286"/>
    <w:qFormat/>
    <w:uiPriority w:val="0"/>
    <w:pPr>
      <w:tabs>
        <w:tab w:val="left" w:pos="700"/>
      </w:tabs>
      <w:spacing w:line="500" w:lineRule="exact"/>
      <w:ind w:left="700" w:hanging="700"/>
    </w:pPr>
    <w:rPr>
      <w:rFonts w:ascii="宋体" w:hAnsi="宋体" w:eastAsia="宋体"/>
      <w:sz w:val="24"/>
      <w:szCs w:val="24"/>
    </w:rPr>
  </w:style>
  <w:style w:type="character" w:customStyle="1" w:styleId="288">
    <w:name w:val="unnamed21"/>
    <w:basedOn w:val="91"/>
    <w:qFormat/>
    <w:uiPriority w:val="0"/>
  </w:style>
  <w:style w:type="character" w:customStyle="1" w:styleId="289">
    <w:name w:val="文档结构图 字符"/>
    <w:semiHidden/>
    <w:qFormat/>
    <w:uiPriority w:val="99"/>
    <w:rPr>
      <w:rFonts w:ascii="宋体" w:eastAsia="宋体"/>
      <w:sz w:val="18"/>
      <w:szCs w:val="18"/>
    </w:rPr>
  </w:style>
  <w:style w:type="character" w:customStyle="1" w:styleId="290">
    <w:name w:val="linkun1"/>
    <w:qFormat/>
    <w:uiPriority w:val="0"/>
    <w:rPr>
      <w:sz w:val="18"/>
      <w:szCs w:val="18"/>
    </w:rPr>
  </w:style>
  <w:style w:type="character" w:customStyle="1" w:styleId="291">
    <w:name w:val="正文首行缩进 2 Char1"/>
    <w:basedOn w:val="159"/>
    <w:qFormat/>
    <w:uiPriority w:val="0"/>
    <w:rPr>
      <w:rFonts w:ascii="Times New Roman" w:hAnsi="Times New Roman" w:eastAsia="宋体" w:cs="Times New Roman"/>
      <w:sz w:val="28"/>
      <w:szCs w:val="24"/>
    </w:rPr>
  </w:style>
  <w:style w:type="character" w:customStyle="1" w:styleId="292">
    <w:name w:val="unnamed31"/>
    <w:qFormat/>
    <w:uiPriority w:val="0"/>
    <w:rPr>
      <w:sz w:val="22"/>
      <w:szCs w:val="22"/>
    </w:rPr>
  </w:style>
  <w:style w:type="character" w:customStyle="1" w:styleId="293">
    <w:name w:val="明显引用 Char"/>
    <w:qFormat/>
    <w:uiPriority w:val="0"/>
    <w:rPr>
      <w:b/>
      <w:bCs/>
      <w:i/>
      <w:iCs/>
      <w:color w:val="4F81BD"/>
    </w:rPr>
  </w:style>
  <w:style w:type="paragraph" w:styleId="294">
    <w:name w:val="Intense Quote"/>
    <w:basedOn w:val="1"/>
    <w:next w:val="1"/>
    <w:link w:val="295"/>
    <w:qFormat/>
    <w:uiPriority w:val="0"/>
    <w:pPr>
      <w:pBdr>
        <w:bottom w:val="single" w:color="4F81BD" w:sz="4" w:space="4"/>
      </w:pBdr>
      <w:spacing w:before="200" w:after="280"/>
      <w:ind w:left="936" w:right="936"/>
    </w:pPr>
    <w:rPr>
      <w:b/>
      <w:bCs/>
      <w:i/>
      <w:iCs/>
      <w:color w:val="4F81BD"/>
    </w:rPr>
  </w:style>
  <w:style w:type="character" w:customStyle="1" w:styleId="295">
    <w:name w:val="明显引用 Char1"/>
    <w:basedOn w:val="91"/>
    <w:link w:val="294"/>
    <w:qFormat/>
    <w:uiPriority w:val="0"/>
    <w:rPr>
      <w:b/>
      <w:bCs/>
      <w:i/>
      <w:iCs/>
      <w:color w:val="4F81BD"/>
    </w:rPr>
  </w:style>
  <w:style w:type="character" w:customStyle="1" w:styleId="296">
    <w:name w:val="宏文本 Char1"/>
    <w:qFormat/>
    <w:uiPriority w:val="0"/>
    <w:rPr>
      <w:rFonts w:ascii="Courier New" w:hAnsi="Courier New" w:cs="Courier New"/>
      <w:kern w:val="2"/>
      <w:sz w:val="24"/>
      <w:szCs w:val="24"/>
    </w:rPr>
  </w:style>
  <w:style w:type="character" w:customStyle="1" w:styleId="297">
    <w:name w:val="16"/>
    <w:qFormat/>
    <w:uiPriority w:val="0"/>
    <w:rPr>
      <w:rFonts w:hint="default" w:ascii="Times New Roman" w:hAnsi="Times New Roman" w:cs="Times New Roman"/>
      <w:color w:val="0000FF"/>
      <w:u w:val="single"/>
    </w:rPr>
  </w:style>
  <w:style w:type="character" w:customStyle="1" w:styleId="298">
    <w:name w:val="15"/>
    <w:qFormat/>
    <w:uiPriority w:val="0"/>
    <w:rPr>
      <w:rFonts w:hint="default" w:ascii="Times New Roman" w:hAnsi="Times New Roman" w:cs="Times New Roman"/>
      <w:color w:val="0000FF"/>
      <w:u w:val="single"/>
    </w:rPr>
  </w:style>
  <w:style w:type="character" w:customStyle="1" w:styleId="299">
    <w:name w:val="apple-converted-space"/>
    <w:basedOn w:val="91"/>
    <w:qFormat/>
    <w:uiPriority w:val="0"/>
  </w:style>
  <w:style w:type="character" w:customStyle="1" w:styleId="300">
    <w:name w:val="（符号）邀请函中一、"/>
    <w:qFormat/>
    <w:uiPriority w:val="0"/>
    <w:rPr>
      <w:rFonts w:ascii="黑体" w:hAnsi="黑体" w:eastAsia="黑体"/>
      <w:b/>
      <w:bCs/>
      <w:sz w:val="24"/>
    </w:rPr>
  </w:style>
  <w:style w:type="character" w:customStyle="1" w:styleId="301">
    <w:name w:val="defaultbold1"/>
    <w:qFormat/>
    <w:uiPriority w:val="0"/>
    <w:rPr>
      <w:rFonts w:hint="default" w:ascii="ˎ̥" w:hAnsi="ˎ̥"/>
      <w:b/>
      <w:bCs/>
      <w:color w:val="000000"/>
      <w:sz w:val="15"/>
      <w:szCs w:val="15"/>
      <w:u w:val="none"/>
    </w:rPr>
  </w:style>
  <w:style w:type="character" w:customStyle="1" w:styleId="302">
    <w:name w:val="枣阳样式四 Char"/>
    <w:link w:val="303"/>
    <w:qFormat/>
    <w:uiPriority w:val="0"/>
    <w:rPr>
      <w:sz w:val="28"/>
      <w:szCs w:val="24"/>
    </w:rPr>
  </w:style>
  <w:style w:type="paragraph" w:customStyle="1" w:styleId="303">
    <w:name w:val="枣阳样式四"/>
    <w:basedOn w:val="1"/>
    <w:link w:val="302"/>
    <w:qFormat/>
    <w:uiPriority w:val="0"/>
    <w:pPr>
      <w:spacing w:line="324" w:lineRule="auto"/>
      <w:ind w:firstLine="527" w:firstLineChars="200"/>
    </w:pPr>
    <w:rPr>
      <w:sz w:val="28"/>
      <w:szCs w:val="24"/>
    </w:rPr>
  </w:style>
  <w:style w:type="character" w:customStyle="1" w:styleId="304">
    <w:name w:val="引用 Char"/>
    <w:qFormat/>
    <w:uiPriority w:val="29"/>
    <w:rPr>
      <w:i/>
      <w:iCs/>
      <w:color w:val="000000"/>
    </w:rPr>
  </w:style>
  <w:style w:type="paragraph" w:styleId="305">
    <w:name w:val="Quote"/>
    <w:basedOn w:val="1"/>
    <w:next w:val="1"/>
    <w:link w:val="306"/>
    <w:qFormat/>
    <w:uiPriority w:val="29"/>
    <w:rPr>
      <w:i/>
      <w:iCs/>
      <w:color w:val="000000"/>
    </w:rPr>
  </w:style>
  <w:style w:type="character" w:customStyle="1" w:styleId="306">
    <w:name w:val="引用 Char2"/>
    <w:basedOn w:val="91"/>
    <w:link w:val="305"/>
    <w:qFormat/>
    <w:uiPriority w:val="29"/>
    <w:rPr>
      <w:i/>
      <w:iCs/>
      <w:color w:val="000000"/>
    </w:rPr>
  </w:style>
  <w:style w:type="character" w:customStyle="1" w:styleId="307">
    <w:name w:val="电子邮件签名 Char1"/>
    <w:qFormat/>
    <w:uiPriority w:val="0"/>
    <w:rPr>
      <w:kern w:val="2"/>
      <w:sz w:val="21"/>
      <w:szCs w:val="24"/>
    </w:rPr>
  </w:style>
  <w:style w:type="character" w:customStyle="1" w:styleId="308">
    <w:name w:val="a71"/>
    <w:qFormat/>
    <w:uiPriority w:val="0"/>
    <w:rPr>
      <w:rFonts w:ascii="??" w:hAnsi="??" w:cs="??"/>
      <w:sz w:val="20"/>
      <w:szCs w:val="20"/>
    </w:rPr>
  </w:style>
  <w:style w:type="character" w:customStyle="1" w:styleId="309">
    <w:name w:val="正文文本 (26)_"/>
    <w:link w:val="310"/>
    <w:qFormat/>
    <w:locked/>
    <w:uiPriority w:val="0"/>
    <w:rPr>
      <w:rFonts w:ascii="黑体" w:eastAsia="黑体"/>
      <w:sz w:val="29"/>
      <w:szCs w:val="29"/>
      <w:shd w:val="clear" w:color="auto" w:fill="FFFFFF"/>
    </w:rPr>
  </w:style>
  <w:style w:type="paragraph" w:customStyle="1" w:styleId="310">
    <w:name w:val="正文文本 (26)"/>
    <w:basedOn w:val="1"/>
    <w:link w:val="309"/>
    <w:qFormat/>
    <w:uiPriority w:val="0"/>
    <w:pPr>
      <w:widowControl/>
      <w:shd w:val="clear" w:color="auto" w:fill="FFFFFF"/>
      <w:spacing w:after="60" w:line="504" w:lineRule="exact"/>
      <w:jc w:val="distribute"/>
    </w:pPr>
    <w:rPr>
      <w:rFonts w:ascii="黑体" w:eastAsia="黑体"/>
      <w:sz w:val="29"/>
      <w:szCs w:val="29"/>
    </w:rPr>
  </w:style>
  <w:style w:type="character" w:customStyle="1" w:styleId="311">
    <w:name w:val="一般文字 字元 Char"/>
    <w:qFormat/>
    <w:uiPriority w:val="0"/>
    <w:rPr>
      <w:rFonts w:ascii="宋体" w:hAnsi="Courier New" w:eastAsia="宋体" w:cs="Courier New"/>
      <w:kern w:val="2"/>
      <w:sz w:val="21"/>
      <w:szCs w:val="21"/>
      <w:lang w:val="en-US" w:eastAsia="zh-CN" w:bidi="ar-SA"/>
    </w:rPr>
  </w:style>
  <w:style w:type="character" w:customStyle="1" w:styleId="312">
    <w:name w:val="HTML 地址 Char1"/>
    <w:qFormat/>
    <w:uiPriority w:val="0"/>
    <w:rPr>
      <w:i/>
      <w:iCs/>
      <w:kern w:val="2"/>
      <w:sz w:val="21"/>
      <w:szCs w:val="24"/>
    </w:rPr>
  </w:style>
  <w:style w:type="character" w:customStyle="1" w:styleId="313">
    <w:name w:val="(符号)标书正文 Char"/>
    <w:qFormat/>
    <w:uiPriority w:val="0"/>
    <w:rPr>
      <w:rFonts w:ascii="黑体" w:hAnsi="宋体" w:eastAsia="黑体"/>
      <w:b/>
      <w:kern w:val="2"/>
      <w:sz w:val="24"/>
      <w:szCs w:val="24"/>
      <w:lang w:val="en-US" w:eastAsia="zh-CN" w:bidi="ar-SA"/>
    </w:rPr>
  </w:style>
  <w:style w:type="character" w:customStyle="1" w:styleId="314">
    <w:name w:val="脚注文本 Char1"/>
    <w:qFormat/>
    <w:uiPriority w:val="0"/>
    <w:rPr>
      <w:kern w:val="2"/>
      <w:sz w:val="18"/>
      <w:szCs w:val="18"/>
    </w:rPr>
  </w:style>
  <w:style w:type="character" w:customStyle="1" w:styleId="315">
    <w:name w:val="B 条款一 Char"/>
    <w:link w:val="316"/>
    <w:qFormat/>
    <w:uiPriority w:val="0"/>
    <w:rPr>
      <w:rFonts w:ascii="Arial" w:hAnsi="Arial" w:cs="Arial"/>
      <w:b/>
      <w:sz w:val="30"/>
      <w:szCs w:val="30"/>
    </w:rPr>
  </w:style>
  <w:style w:type="paragraph" w:customStyle="1" w:styleId="316">
    <w:name w:val="B 条款一"/>
    <w:basedOn w:val="5"/>
    <w:next w:val="1"/>
    <w:link w:val="315"/>
    <w:qFormat/>
    <w:uiPriority w:val="0"/>
    <w:pPr>
      <w:tabs>
        <w:tab w:val="left" w:pos="720"/>
      </w:tabs>
      <w:adjustRightInd w:val="0"/>
      <w:spacing w:beforeLines="50" w:afterLines="50" w:line="240" w:lineRule="atLeast"/>
      <w:ind w:left="0"/>
    </w:pPr>
    <w:rPr>
      <w:rFonts w:ascii="Arial" w:hAnsi="Arial" w:cs="Arial" w:eastAsiaTheme="minorEastAsia"/>
      <w:kern w:val="2"/>
      <w:szCs w:val="30"/>
    </w:rPr>
  </w:style>
  <w:style w:type="character" w:customStyle="1" w:styleId="317">
    <w:name w:val="z-窗体底端 字符"/>
    <w:link w:val="318"/>
    <w:qFormat/>
    <w:uiPriority w:val="0"/>
    <w:rPr>
      <w:rFonts w:ascii="Arial" w:hAnsi="Arial"/>
      <w:vanish/>
      <w:sz w:val="16"/>
    </w:rPr>
  </w:style>
  <w:style w:type="paragraph" w:customStyle="1" w:styleId="318">
    <w:name w:val="z-窗体底端1"/>
    <w:basedOn w:val="1"/>
    <w:next w:val="1"/>
    <w:link w:val="317"/>
    <w:qFormat/>
    <w:uiPriority w:val="0"/>
    <w:pPr>
      <w:widowControl/>
      <w:pBdr>
        <w:top w:val="single" w:color="auto" w:sz="6" w:space="1"/>
      </w:pBdr>
      <w:jc w:val="center"/>
    </w:pPr>
    <w:rPr>
      <w:rFonts w:ascii="Arial" w:hAnsi="Arial"/>
      <w:vanish/>
      <w:sz w:val="16"/>
    </w:rPr>
  </w:style>
  <w:style w:type="character" w:customStyle="1" w:styleId="319">
    <w:name w:val="正文+首行缩进2 Char Char"/>
    <w:link w:val="320"/>
    <w:qFormat/>
    <w:uiPriority w:val="0"/>
    <w:rPr>
      <w:szCs w:val="24"/>
    </w:rPr>
  </w:style>
  <w:style w:type="paragraph" w:customStyle="1" w:styleId="320">
    <w:name w:val="正文+首行缩进2"/>
    <w:basedOn w:val="1"/>
    <w:link w:val="319"/>
    <w:qFormat/>
    <w:uiPriority w:val="0"/>
    <w:pPr>
      <w:spacing w:line="480" w:lineRule="exact"/>
      <w:ind w:firstLine="200" w:firstLineChars="200"/>
    </w:pPr>
    <w:rPr>
      <w:szCs w:val="24"/>
    </w:rPr>
  </w:style>
  <w:style w:type="character" w:customStyle="1" w:styleId="321">
    <w:name w:val="zw"/>
    <w:basedOn w:val="91"/>
    <w:qFormat/>
    <w:uiPriority w:val="0"/>
  </w:style>
  <w:style w:type="character" w:customStyle="1" w:styleId="322">
    <w:name w:val="项目符号"/>
    <w:qFormat/>
    <w:uiPriority w:val="0"/>
    <w:rPr>
      <w:rFonts w:ascii="StarSymbol" w:hAnsi="StarSymbol" w:eastAsia="StarSymbol" w:cs="StarSymbol"/>
      <w:sz w:val="18"/>
      <w:szCs w:val="18"/>
    </w:rPr>
  </w:style>
  <w:style w:type="character" w:customStyle="1" w:styleId="323">
    <w:name w:val="WW-Absatz-Standardschriftart1"/>
    <w:qFormat/>
    <w:uiPriority w:val="0"/>
  </w:style>
  <w:style w:type="character" w:customStyle="1" w:styleId="324">
    <w:name w:val="页脚 字符1"/>
    <w:qFormat/>
    <w:uiPriority w:val="99"/>
    <w:rPr>
      <w:kern w:val="2"/>
      <w:sz w:val="18"/>
      <w:szCs w:val="18"/>
    </w:rPr>
  </w:style>
  <w:style w:type="character" w:customStyle="1" w:styleId="325">
    <w:name w:val="f12_05321"/>
    <w:qFormat/>
    <w:uiPriority w:val="0"/>
    <w:rPr>
      <w:color w:val="053299"/>
      <w:sz w:val="20"/>
      <w:szCs w:val="20"/>
    </w:rPr>
  </w:style>
  <w:style w:type="character" w:customStyle="1" w:styleId="326">
    <w:name w:val="cn1"/>
    <w:qFormat/>
    <w:uiPriority w:val="0"/>
    <w:rPr>
      <w:sz w:val="18"/>
      <w:szCs w:val="18"/>
    </w:rPr>
  </w:style>
  <w:style w:type="character" w:customStyle="1" w:styleId="327">
    <w:name w:val="批注文字 字符"/>
    <w:qFormat/>
    <w:uiPriority w:val="0"/>
    <w:rPr>
      <w:rFonts w:ascii="Calibri" w:hAnsi="Calibri" w:eastAsia="宋体" w:cs="Times New Roman"/>
      <w:kern w:val="2"/>
      <w:sz w:val="21"/>
      <w:szCs w:val="24"/>
    </w:rPr>
  </w:style>
  <w:style w:type="character" w:customStyle="1" w:styleId="328">
    <w:name w:val="样式 宋体 小四 红色 下划线"/>
    <w:qFormat/>
    <w:uiPriority w:val="0"/>
    <w:rPr>
      <w:color w:val="FF0000"/>
      <w:sz w:val="24"/>
      <w:u w:val="single"/>
    </w:rPr>
  </w:style>
  <w:style w:type="character" w:customStyle="1" w:styleId="329">
    <w:name w:val="尾注文本 Char1"/>
    <w:qFormat/>
    <w:uiPriority w:val="0"/>
    <w:rPr>
      <w:kern w:val="2"/>
      <w:sz w:val="21"/>
      <w:szCs w:val="24"/>
    </w:rPr>
  </w:style>
  <w:style w:type="character" w:customStyle="1" w:styleId="330">
    <w:name w:val="WW8Num2z0"/>
    <w:qFormat/>
    <w:uiPriority w:val="0"/>
    <w:rPr>
      <w:rFonts w:ascii="Wingdings" w:hAnsi="Wingdings"/>
    </w:rPr>
  </w:style>
  <w:style w:type="character" w:customStyle="1" w:styleId="331">
    <w:name w:val="Absatz-Standardschriftart"/>
    <w:qFormat/>
    <w:uiPriority w:val="0"/>
  </w:style>
  <w:style w:type="character" w:customStyle="1" w:styleId="332">
    <w:name w:val="at_0"/>
    <w:basedOn w:val="91"/>
    <w:qFormat/>
    <w:uiPriority w:val="0"/>
  </w:style>
  <w:style w:type="character" w:customStyle="1" w:styleId="333">
    <w:name w:val="未处理的提及1"/>
    <w:unhideWhenUsed/>
    <w:qFormat/>
    <w:uiPriority w:val="99"/>
    <w:rPr>
      <w:color w:val="808080"/>
      <w:shd w:val="clear" w:color="auto" w:fill="E6E6E6"/>
    </w:rPr>
  </w:style>
  <w:style w:type="character" w:customStyle="1" w:styleId="334">
    <w:name w:val="WW8Num4z0"/>
    <w:qFormat/>
    <w:uiPriority w:val="0"/>
    <w:rPr>
      <w:rFonts w:ascii="Wingdings" w:hAnsi="Wingdings"/>
    </w:rPr>
  </w:style>
  <w:style w:type="character" w:customStyle="1" w:styleId="335">
    <w:name w:val="WW8Num3z0"/>
    <w:qFormat/>
    <w:uiPriority w:val="0"/>
    <w:rPr>
      <w:rFonts w:ascii="Wingdings" w:hAnsi="Wingdings"/>
    </w:rPr>
  </w:style>
  <w:style w:type="character" w:customStyle="1" w:styleId="336">
    <w:name w:val="页眉 字符1"/>
    <w:qFormat/>
    <w:uiPriority w:val="0"/>
    <w:rPr>
      <w:kern w:val="2"/>
      <w:sz w:val="18"/>
      <w:szCs w:val="18"/>
    </w:rPr>
  </w:style>
  <w:style w:type="character" w:customStyle="1" w:styleId="337">
    <w:name w:val="正文缩进 Char1"/>
    <w:qFormat/>
    <w:uiPriority w:val="0"/>
    <w:rPr>
      <w:color w:val="000000"/>
      <w:sz w:val="28"/>
    </w:rPr>
  </w:style>
  <w:style w:type="character" w:customStyle="1" w:styleId="338">
    <w:name w:val="信息标题 Char1"/>
    <w:qFormat/>
    <w:uiPriority w:val="0"/>
    <w:rPr>
      <w:rFonts w:ascii="Cambria" w:hAnsi="Cambria" w:eastAsia="宋体" w:cs="Times New Roman"/>
      <w:kern w:val="2"/>
      <w:sz w:val="24"/>
      <w:szCs w:val="24"/>
      <w:shd w:val="pct20" w:color="auto" w:fill="auto"/>
    </w:rPr>
  </w:style>
  <w:style w:type="character" w:customStyle="1" w:styleId="339">
    <w:name w:val="默认段落字体1"/>
    <w:qFormat/>
    <w:uiPriority w:val="0"/>
  </w:style>
  <w:style w:type="character" w:customStyle="1" w:styleId="340">
    <w:name w:val="电子邮件签名 字符1"/>
    <w:basedOn w:val="91"/>
    <w:semiHidden/>
    <w:qFormat/>
    <w:uiPriority w:val="99"/>
  </w:style>
  <w:style w:type="character" w:customStyle="1" w:styleId="341">
    <w:name w:val="正文文本 字符1"/>
    <w:basedOn w:val="91"/>
    <w:semiHidden/>
    <w:qFormat/>
    <w:uiPriority w:val="99"/>
  </w:style>
  <w:style w:type="character" w:customStyle="1" w:styleId="342">
    <w:name w:val="正文文本 3 字符1"/>
    <w:basedOn w:val="91"/>
    <w:semiHidden/>
    <w:qFormat/>
    <w:uiPriority w:val="99"/>
    <w:rPr>
      <w:sz w:val="16"/>
      <w:szCs w:val="16"/>
    </w:rPr>
  </w:style>
  <w:style w:type="character" w:customStyle="1" w:styleId="343">
    <w:name w:val="注释标题 字符1"/>
    <w:basedOn w:val="91"/>
    <w:semiHidden/>
    <w:qFormat/>
    <w:uiPriority w:val="99"/>
  </w:style>
  <w:style w:type="character" w:customStyle="1" w:styleId="344">
    <w:name w:val="正文文本缩进 字符1"/>
    <w:basedOn w:val="91"/>
    <w:semiHidden/>
    <w:qFormat/>
    <w:uiPriority w:val="99"/>
  </w:style>
  <w:style w:type="character" w:customStyle="1" w:styleId="345">
    <w:name w:val="纯文本 字符1"/>
    <w:basedOn w:val="91"/>
    <w:semiHidden/>
    <w:qFormat/>
    <w:uiPriority w:val="99"/>
    <w:rPr>
      <w:rFonts w:ascii="等线" w:hAnsi="Courier New" w:cs="Courier New"/>
    </w:rPr>
  </w:style>
  <w:style w:type="character" w:customStyle="1" w:styleId="346">
    <w:name w:val="文档结构图 字符2"/>
    <w:basedOn w:val="91"/>
    <w:semiHidden/>
    <w:qFormat/>
    <w:uiPriority w:val="99"/>
    <w:rPr>
      <w:rFonts w:ascii="Microsoft YaHei UI" w:eastAsia="Microsoft YaHei UI"/>
      <w:sz w:val="18"/>
      <w:szCs w:val="18"/>
    </w:rPr>
  </w:style>
  <w:style w:type="character" w:customStyle="1" w:styleId="347">
    <w:name w:val="HTML 地址 字符1"/>
    <w:basedOn w:val="91"/>
    <w:semiHidden/>
    <w:qFormat/>
    <w:uiPriority w:val="99"/>
    <w:rPr>
      <w:i/>
      <w:iCs/>
    </w:rPr>
  </w:style>
  <w:style w:type="character" w:customStyle="1" w:styleId="348">
    <w:name w:val="结束语 字符1"/>
    <w:basedOn w:val="91"/>
    <w:semiHidden/>
    <w:qFormat/>
    <w:uiPriority w:val="99"/>
  </w:style>
  <w:style w:type="character" w:customStyle="1" w:styleId="349">
    <w:name w:val="宏文本 字符1"/>
    <w:basedOn w:val="91"/>
    <w:semiHidden/>
    <w:qFormat/>
    <w:uiPriority w:val="99"/>
    <w:rPr>
      <w:rFonts w:ascii="Courier New" w:hAnsi="Courier New" w:eastAsia="宋体" w:cs="Courier New"/>
      <w:sz w:val="24"/>
      <w:szCs w:val="24"/>
    </w:rPr>
  </w:style>
  <w:style w:type="character" w:customStyle="1" w:styleId="350">
    <w:name w:val="称呼 字符1"/>
    <w:basedOn w:val="91"/>
    <w:semiHidden/>
    <w:qFormat/>
    <w:uiPriority w:val="99"/>
  </w:style>
  <w:style w:type="character" w:customStyle="1" w:styleId="351">
    <w:name w:val="批注文字 字符2"/>
    <w:basedOn w:val="91"/>
    <w:semiHidden/>
    <w:qFormat/>
    <w:uiPriority w:val="99"/>
  </w:style>
  <w:style w:type="character" w:customStyle="1" w:styleId="352">
    <w:name w:val="日期 字符1"/>
    <w:basedOn w:val="91"/>
    <w:semiHidden/>
    <w:qFormat/>
    <w:uiPriority w:val="99"/>
  </w:style>
  <w:style w:type="character" w:customStyle="1" w:styleId="353">
    <w:name w:val="副标题 字符1"/>
    <w:basedOn w:val="91"/>
    <w:qFormat/>
    <w:uiPriority w:val="11"/>
    <w:rPr>
      <w:b/>
      <w:bCs/>
      <w:kern w:val="28"/>
      <w:sz w:val="32"/>
      <w:szCs w:val="32"/>
    </w:rPr>
  </w:style>
  <w:style w:type="character" w:customStyle="1" w:styleId="354">
    <w:name w:val="正文文本缩进 2 字符1"/>
    <w:basedOn w:val="91"/>
    <w:semiHidden/>
    <w:qFormat/>
    <w:uiPriority w:val="99"/>
  </w:style>
  <w:style w:type="character" w:customStyle="1" w:styleId="355">
    <w:name w:val="签名 字符1"/>
    <w:basedOn w:val="91"/>
    <w:semiHidden/>
    <w:qFormat/>
    <w:uiPriority w:val="99"/>
  </w:style>
  <w:style w:type="character" w:customStyle="1" w:styleId="356">
    <w:name w:val="尾注文本 字符1"/>
    <w:basedOn w:val="91"/>
    <w:semiHidden/>
    <w:qFormat/>
    <w:uiPriority w:val="99"/>
  </w:style>
  <w:style w:type="character" w:customStyle="1" w:styleId="357">
    <w:name w:val="批注框文本 字符2"/>
    <w:basedOn w:val="91"/>
    <w:semiHidden/>
    <w:qFormat/>
    <w:uiPriority w:val="99"/>
    <w:rPr>
      <w:sz w:val="18"/>
      <w:szCs w:val="18"/>
    </w:rPr>
  </w:style>
  <w:style w:type="character" w:customStyle="1" w:styleId="358">
    <w:name w:val="脚注文本 字符1"/>
    <w:basedOn w:val="91"/>
    <w:semiHidden/>
    <w:qFormat/>
    <w:uiPriority w:val="99"/>
    <w:rPr>
      <w:sz w:val="18"/>
      <w:szCs w:val="18"/>
    </w:rPr>
  </w:style>
  <w:style w:type="character" w:customStyle="1" w:styleId="359">
    <w:name w:val="正文文本缩进 3 字符1"/>
    <w:basedOn w:val="91"/>
    <w:semiHidden/>
    <w:qFormat/>
    <w:uiPriority w:val="99"/>
    <w:rPr>
      <w:sz w:val="16"/>
      <w:szCs w:val="16"/>
    </w:rPr>
  </w:style>
  <w:style w:type="character" w:customStyle="1" w:styleId="360">
    <w:name w:val="正文文本 2 字符1"/>
    <w:basedOn w:val="91"/>
    <w:semiHidden/>
    <w:qFormat/>
    <w:uiPriority w:val="99"/>
  </w:style>
  <w:style w:type="character" w:customStyle="1" w:styleId="361">
    <w:name w:val="信息标题 字符1"/>
    <w:basedOn w:val="91"/>
    <w:semiHidden/>
    <w:qFormat/>
    <w:uiPriority w:val="99"/>
    <w:rPr>
      <w:rFonts w:ascii="等线 Light" w:hAnsi="等线 Light" w:eastAsia="等线 Light" w:cs="Times New Roman"/>
      <w:sz w:val="24"/>
      <w:szCs w:val="24"/>
      <w:shd w:val="pct20" w:color="auto" w:fill="auto"/>
    </w:rPr>
  </w:style>
  <w:style w:type="character" w:customStyle="1" w:styleId="362">
    <w:name w:val="HTML 预设格式 字符1"/>
    <w:basedOn w:val="91"/>
    <w:semiHidden/>
    <w:qFormat/>
    <w:uiPriority w:val="99"/>
    <w:rPr>
      <w:rFonts w:ascii="Courier New" w:hAnsi="Courier New" w:cs="Courier New"/>
      <w:sz w:val="20"/>
      <w:szCs w:val="20"/>
    </w:rPr>
  </w:style>
  <w:style w:type="character" w:customStyle="1" w:styleId="363">
    <w:name w:val="标题 字符1"/>
    <w:basedOn w:val="91"/>
    <w:qFormat/>
    <w:uiPriority w:val="10"/>
    <w:rPr>
      <w:rFonts w:ascii="等线 Light" w:hAnsi="等线 Light" w:eastAsia="等线 Light" w:cs="Times New Roman"/>
      <w:b/>
      <w:bCs/>
      <w:sz w:val="32"/>
      <w:szCs w:val="32"/>
    </w:rPr>
  </w:style>
  <w:style w:type="character" w:customStyle="1" w:styleId="364">
    <w:name w:val="批注主题 字符1"/>
    <w:basedOn w:val="351"/>
    <w:semiHidden/>
    <w:qFormat/>
    <w:uiPriority w:val="99"/>
    <w:rPr>
      <w:b/>
      <w:bCs/>
    </w:rPr>
  </w:style>
  <w:style w:type="character" w:customStyle="1" w:styleId="365">
    <w:name w:val="正文文本首行缩进 字符1"/>
    <w:basedOn w:val="341"/>
    <w:semiHidden/>
    <w:qFormat/>
    <w:uiPriority w:val="99"/>
  </w:style>
  <w:style w:type="character" w:customStyle="1" w:styleId="366">
    <w:name w:val="正文文本首行缩进 2 字符1"/>
    <w:basedOn w:val="344"/>
    <w:semiHidden/>
    <w:qFormat/>
    <w:uiPriority w:val="99"/>
  </w:style>
  <w:style w:type="paragraph" w:customStyle="1" w:styleId="367">
    <w:name w:val="（符号）目录3"/>
    <w:basedOn w:val="1"/>
    <w:qFormat/>
    <w:uiPriority w:val="0"/>
    <w:pPr>
      <w:spacing w:line="500" w:lineRule="exact"/>
      <w:ind w:left="1000"/>
    </w:pPr>
    <w:rPr>
      <w:rFonts w:ascii="Times New Roman" w:hAnsi="Times New Roman" w:eastAsia="宋体" w:cs="宋体"/>
      <w:sz w:val="24"/>
      <w:szCs w:val="20"/>
    </w:rPr>
  </w:style>
  <w:style w:type="paragraph" w:customStyle="1" w:styleId="368">
    <w:name w:val="（符号）内容四标题1.1.1"/>
    <w:basedOn w:val="1"/>
    <w:qFormat/>
    <w:uiPriority w:val="0"/>
    <w:pPr>
      <w:tabs>
        <w:tab w:val="left" w:pos="1000"/>
      </w:tabs>
      <w:spacing w:line="500" w:lineRule="exact"/>
      <w:ind w:left="1000" w:hanging="1000"/>
    </w:pPr>
    <w:rPr>
      <w:rFonts w:ascii="宋体" w:hAnsi="宋体" w:eastAsia="宋体" w:cs="Times New Roman"/>
      <w:sz w:val="24"/>
      <w:szCs w:val="24"/>
    </w:rPr>
  </w:style>
  <w:style w:type="paragraph" w:customStyle="1" w:styleId="369">
    <w:name w:val="Pa4"/>
    <w:basedOn w:val="1"/>
    <w:next w:val="1"/>
    <w:qFormat/>
    <w:uiPriority w:val="0"/>
    <w:pPr>
      <w:autoSpaceDE w:val="0"/>
      <w:autoSpaceDN w:val="0"/>
      <w:adjustRightInd w:val="0"/>
      <w:spacing w:before="80" w:line="136" w:lineRule="auto"/>
      <w:jc w:val="left"/>
    </w:pPr>
    <w:rPr>
      <w:rFonts w:hint="eastAsia" w:ascii="Helvetica-Condensed-Bold" w:hAnsi="Times New Roman" w:eastAsia="Helvetica-Condensed-Bold" w:cs="Times New Roman"/>
      <w:kern w:val="0"/>
      <w:sz w:val="20"/>
      <w:szCs w:val="24"/>
    </w:rPr>
  </w:style>
  <w:style w:type="paragraph" w:customStyle="1" w:styleId="370">
    <w:name w:val="Table Paragraph"/>
    <w:basedOn w:val="1"/>
    <w:qFormat/>
    <w:uiPriority w:val="1"/>
    <w:rPr>
      <w:rFonts w:ascii="宋体" w:hAnsi="宋体" w:eastAsia="宋体" w:cs="宋体"/>
      <w:szCs w:val="24"/>
      <w:lang w:val="zh-CN" w:bidi="zh-CN"/>
    </w:rPr>
  </w:style>
  <w:style w:type="paragraph" w:customStyle="1" w:styleId="371">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细黑" w:hAnsi="华文细黑" w:eastAsia="华文细黑" w:cs="宋体"/>
      <w:color w:val="000000"/>
      <w:kern w:val="0"/>
      <w:sz w:val="24"/>
      <w:szCs w:val="24"/>
    </w:rPr>
  </w:style>
  <w:style w:type="paragraph" w:customStyle="1" w:styleId="372">
    <w:name w:val="表格内容"/>
    <w:basedOn w:val="1"/>
    <w:qFormat/>
    <w:uiPriority w:val="0"/>
    <w:pPr>
      <w:suppressLineNumbers/>
      <w:suppressAutoHyphens/>
    </w:pPr>
    <w:rPr>
      <w:rFonts w:ascii="Times New Roman" w:hAnsi="Times New Roman" w:eastAsia="宋体" w:cs="Times New Roman"/>
      <w:kern w:val="1"/>
      <w:szCs w:val="24"/>
      <w:lang w:eastAsia="ar-SA"/>
    </w:rPr>
  </w:style>
  <w:style w:type="paragraph" w:customStyle="1" w:styleId="373">
    <w:name w:val="样式 标题 2 + (西文) Times New Roman (中文) 宋体 小四"/>
    <w:basedOn w:val="5"/>
    <w:qFormat/>
    <w:uiPriority w:val="0"/>
    <w:pPr>
      <w:spacing w:beforeLines="100" w:after="0" w:line="500" w:lineRule="exact"/>
      <w:ind w:left="0"/>
      <w:jc w:val="both"/>
    </w:pPr>
    <w:rPr>
      <w:rFonts w:ascii="Times New Roman" w:hAnsi="Times New Roman"/>
      <w:b w:val="0"/>
      <w:bCs/>
      <w:kern w:val="2"/>
      <w:sz w:val="24"/>
      <w:szCs w:val="32"/>
    </w:rPr>
  </w:style>
  <w:style w:type="paragraph" w:customStyle="1" w:styleId="374">
    <w:name w:val="正文1"/>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375">
    <w:name w:val="xl40"/>
    <w:basedOn w:val="1"/>
    <w:qFormat/>
    <w:uiPriority w:val="0"/>
    <w:pPr>
      <w:widowControl/>
      <w:spacing w:before="100" w:beforeAutospacing="1" w:after="100" w:afterAutospacing="1"/>
      <w:jc w:val="center"/>
    </w:pPr>
    <w:rPr>
      <w:rFonts w:ascii="Times New Roman" w:hAnsi="Times New Roman" w:eastAsia="宋体" w:cs="Times New Roman"/>
      <w:kern w:val="0"/>
      <w:szCs w:val="21"/>
    </w:rPr>
  </w:style>
  <w:style w:type="paragraph" w:customStyle="1" w:styleId="376">
    <w:name w:val="（符号）二标题1."/>
    <w:basedOn w:val="1"/>
    <w:qFormat/>
    <w:uiPriority w:val="0"/>
    <w:rPr>
      <w:rFonts w:ascii="Times New Roman" w:hAnsi="Times New Roman" w:eastAsia="宋体" w:cs="Times New Roman"/>
      <w:szCs w:val="24"/>
    </w:rPr>
  </w:style>
  <w:style w:type="paragraph" w:customStyle="1" w:styleId="377">
    <w:name w:val="表格文本"/>
    <w:basedOn w:val="1"/>
    <w:qFormat/>
    <w:uiPriority w:val="0"/>
    <w:pPr>
      <w:tabs>
        <w:tab w:val="decimal" w:pos="0"/>
      </w:tabs>
      <w:autoSpaceDE w:val="0"/>
      <w:autoSpaceDN w:val="0"/>
      <w:adjustRightInd w:val="0"/>
      <w:jc w:val="left"/>
    </w:pPr>
    <w:rPr>
      <w:rFonts w:ascii="Arial" w:hAnsi="Arial" w:eastAsia="宋体" w:cs="Times New Roman"/>
      <w:kern w:val="0"/>
      <w:szCs w:val="21"/>
    </w:rPr>
  </w:style>
  <w:style w:type="paragraph" w:customStyle="1" w:styleId="378">
    <w:name w:val="样式 标题 3 + 段前: 0 磅 段后: 0 磅 行距: 固定值 18 磅"/>
    <w:basedOn w:val="6"/>
    <w:qFormat/>
    <w:uiPriority w:val="0"/>
    <w:pPr>
      <w:tabs>
        <w:tab w:val="clear" w:pos="5852"/>
      </w:tabs>
      <w:snapToGrid/>
      <w:spacing w:before="0" w:line="500" w:lineRule="exact"/>
      <w:ind w:left="0" w:firstLine="0"/>
    </w:pPr>
    <w:rPr>
      <w:bCs/>
      <w:kern w:val="2"/>
      <w:sz w:val="24"/>
    </w:rPr>
  </w:style>
  <w:style w:type="paragraph" w:customStyle="1" w:styleId="379">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380">
    <w:name w:val="xl3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381">
    <w:name w:val="（符号）二标题1"/>
    <w:basedOn w:val="1"/>
    <w:qFormat/>
    <w:uiPriority w:val="0"/>
    <w:pPr>
      <w:spacing w:before="140" w:after="140" w:line="500" w:lineRule="exact"/>
      <w:outlineLvl w:val="1"/>
    </w:pPr>
    <w:rPr>
      <w:rFonts w:ascii="楷体_GB2312" w:hAnsi="Times New Roman" w:eastAsia="楷体_GB2312" w:cs="宋体"/>
      <w:b/>
      <w:bCs/>
      <w:sz w:val="28"/>
      <w:szCs w:val="20"/>
    </w:rPr>
  </w:style>
  <w:style w:type="paragraph" w:customStyle="1" w:styleId="382">
    <w:name w:val="MM Topic 1"/>
    <w:basedOn w:val="4"/>
    <w:qFormat/>
    <w:uiPriority w:val="99"/>
    <w:pPr>
      <w:ind w:left="0"/>
      <w:jc w:val="both"/>
    </w:pPr>
    <w:rPr>
      <w:rFonts w:eastAsia="仿宋_GB2312"/>
      <w:b w:val="0"/>
      <w:sz w:val="32"/>
      <w:szCs w:val="32"/>
    </w:rPr>
  </w:style>
  <w:style w:type="paragraph" w:customStyle="1" w:styleId="383">
    <w:name w:val="Char Char Char Char Char Char Char Char Char Char Char1 Char Char Char Char Char Char Char Char Char Char Char Char"/>
    <w:basedOn w:val="1"/>
    <w:qFormat/>
    <w:uiPriority w:val="0"/>
    <w:rPr>
      <w:rFonts w:ascii="Tahoma" w:hAnsi="Tahoma" w:eastAsia="宋体" w:cs="Times New Roman"/>
      <w:sz w:val="24"/>
      <w:szCs w:val="24"/>
    </w:rPr>
  </w:style>
  <w:style w:type="paragraph" w:customStyle="1" w:styleId="384">
    <w:name w:val="xl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38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386">
    <w:name w:val="列表段落1"/>
    <w:basedOn w:val="1"/>
    <w:qFormat/>
    <w:uiPriority w:val="99"/>
    <w:pPr>
      <w:ind w:firstLine="420" w:firstLineChars="200"/>
    </w:pPr>
    <w:rPr>
      <w:rFonts w:ascii="Calibri" w:hAnsi="Calibri" w:eastAsia="宋体" w:cs="Times New Roman"/>
    </w:rPr>
  </w:style>
  <w:style w:type="paragraph" w:customStyle="1" w:styleId="387">
    <w:name w:val="文档结构图1"/>
    <w:basedOn w:val="1"/>
    <w:qFormat/>
    <w:uiPriority w:val="0"/>
    <w:pPr>
      <w:shd w:val="clear" w:color="auto" w:fill="000080"/>
      <w:suppressAutoHyphens/>
    </w:pPr>
    <w:rPr>
      <w:rFonts w:ascii="Times New Roman" w:hAnsi="Times New Roman" w:eastAsia="宋体" w:cs="Times New Roman"/>
      <w:kern w:val="1"/>
      <w:szCs w:val="24"/>
      <w:lang w:eastAsia="ar-SA"/>
    </w:rPr>
  </w:style>
  <w:style w:type="character" w:customStyle="1" w:styleId="388">
    <w:name w:val="明显引用 字符1"/>
    <w:basedOn w:val="91"/>
    <w:qFormat/>
    <w:uiPriority w:val="30"/>
    <w:rPr>
      <w:i/>
      <w:iCs/>
      <w:color w:val="4472C4"/>
    </w:rPr>
  </w:style>
  <w:style w:type="paragraph" w:customStyle="1" w:styleId="389">
    <w:name w:val="重点"/>
    <w:basedOn w:val="1"/>
    <w:qFormat/>
    <w:uiPriority w:val="0"/>
    <w:pPr>
      <w:spacing w:line="360" w:lineRule="auto"/>
      <w:ind w:left="284"/>
    </w:pPr>
    <w:rPr>
      <w:rFonts w:ascii="Arial Black" w:hAnsi="Arial Black" w:eastAsia="楷体_GB2312" w:cs="Arial Black"/>
      <w:b/>
      <w:bCs/>
      <w:sz w:val="28"/>
      <w:szCs w:val="28"/>
    </w:rPr>
  </w:style>
  <w:style w:type="paragraph" w:customStyle="1" w:styleId="3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9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92">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393">
    <w:name w:val="xl4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394">
    <w:name w:val="xiao b"/>
    <w:basedOn w:val="1"/>
    <w:qFormat/>
    <w:uiPriority w:val="0"/>
    <w:pPr>
      <w:jc w:val="center"/>
    </w:pPr>
    <w:rPr>
      <w:rFonts w:ascii="Times New Roman" w:hAnsi="Times New Roman" w:eastAsia="黑体" w:cs="Times New Roman"/>
      <w:sz w:val="24"/>
      <w:szCs w:val="20"/>
    </w:rPr>
  </w:style>
  <w:style w:type="paragraph" w:customStyle="1" w:styleId="395">
    <w:name w:val="_Style 24"/>
    <w:basedOn w:val="1"/>
    <w:next w:val="8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396">
    <w:name w:val="框内容"/>
    <w:basedOn w:val="2"/>
    <w:qFormat/>
    <w:uiPriority w:val="0"/>
    <w:pPr>
      <w:suppressAutoHyphens/>
    </w:pPr>
    <w:rPr>
      <w:rFonts w:ascii="等线" w:hAnsi="等线" w:eastAsia="等线"/>
      <w:kern w:val="1"/>
      <w:sz w:val="21"/>
      <w:lang w:eastAsia="ar-SA"/>
    </w:rPr>
  </w:style>
  <w:style w:type="paragraph" w:customStyle="1" w:styleId="397">
    <w:name w:val="（符号）内容二标题1"/>
    <w:basedOn w:val="1"/>
    <w:qFormat/>
    <w:uiPriority w:val="0"/>
    <w:pPr>
      <w:tabs>
        <w:tab w:val="left" w:pos="420"/>
      </w:tabs>
      <w:spacing w:before="140" w:after="140" w:line="500" w:lineRule="exact"/>
      <w:ind w:left="430" w:hanging="430"/>
      <w:outlineLvl w:val="1"/>
    </w:pPr>
    <w:rPr>
      <w:rFonts w:ascii="楷体_GB2312" w:hAnsi="Times New Roman" w:eastAsia="楷体_GB2312" w:cs="宋体"/>
      <w:b/>
      <w:bCs/>
      <w:sz w:val="28"/>
      <w:szCs w:val="20"/>
    </w:rPr>
  </w:style>
  <w:style w:type="paragraph" w:customStyle="1" w:styleId="398">
    <w:name w:val="样式 小四 行距: 固定值 25 磅"/>
    <w:basedOn w:val="1"/>
    <w:next w:val="399"/>
    <w:qFormat/>
    <w:uiPriority w:val="0"/>
    <w:pPr>
      <w:spacing w:line="500" w:lineRule="exact"/>
    </w:pPr>
    <w:rPr>
      <w:rFonts w:ascii="Times New Roman" w:hAnsi="Times New Roman" w:eastAsia="宋体" w:cs="宋体"/>
      <w:sz w:val="24"/>
      <w:szCs w:val="20"/>
    </w:rPr>
  </w:style>
  <w:style w:type="paragraph" w:customStyle="1" w:styleId="399">
    <w:name w:val="（符号）目录1"/>
    <w:basedOn w:val="1"/>
    <w:qFormat/>
    <w:uiPriority w:val="0"/>
    <w:pPr>
      <w:spacing w:line="500" w:lineRule="exact"/>
    </w:pPr>
    <w:rPr>
      <w:rFonts w:ascii="Times New Roman" w:hAnsi="Times New Roman" w:eastAsia="宋体" w:cs="宋体"/>
      <w:sz w:val="24"/>
      <w:szCs w:val="20"/>
    </w:rPr>
  </w:style>
  <w:style w:type="paragraph" w:customStyle="1" w:styleId="400">
    <w:name w:val="样式 标题 4 + 行距: 多倍行距 1.57 字行"/>
    <w:basedOn w:val="7"/>
    <w:qFormat/>
    <w:uiPriority w:val="0"/>
    <w:pPr>
      <w:widowControl/>
      <w:tabs>
        <w:tab w:val="left" w:pos="864"/>
        <w:tab w:val="clear" w:pos="425"/>
      </w:tabs>
      <w:spacing w:before="280" w:after="290" w:line="377" w:lineRule="auto"/>
      <w:ind w:left="150" w:leftChars="50" w:firstLine="0"/>
      <w:jc w:val="left"/>
    </w:pPr>
    <w:rPr>
      <w:rFonts w:ascii="Arial" w:hAnsi="Arial" w:eastAsia="仿宋_GB2312" w:cs="Arial"/>
      <w:bCs/>
      <w:kern w:val="2"/>
      <w:sz w:val="30"/>
      <w:szCs w:val="30"/>
    </w:rPr>
  </w:style>
  <w:style w:type="paragraph" w:customStyle="1" w:styleId="401">
    <w:name w:val="目录"/>
    <w:basedOn w:val="1"/>
    <w:qFormat/>
    <w:uiPriority w:val="0"/>
    <w:pPr>
      <w:suppressLineNumbers/>
      <w:suppressAutoHyphens/>
    </w:pPr>
    <w:rPr>
      <w:rFonts w:ascii="Times New Roman" w:hAnsi="Times New Roman" w:eastAsia="宋体" w:cs="Times New Roman"/>
      <w:kern w:val="1"/>
      <w:szCs w:val="24"/>
      <w:lang w:eastAsia="ar-SA"/>
    </w:rPr>
  </w:style>
  <w:style w:type="character" w:customStyle="1" w:styleId="402">
    <w:name w:val="z-窗体顶端 字符1"/>
    <w:basedOn w:val="91"/>
    <w:semiHidden/>
    <w:qFormat/>
    <w:uiPriority w:val="99"/>
    <w:rPr>
      <w:rFonts w:ascii="Arial" w:hAnsi="Arial" w:cs="Arial"/>
      <w:vanish/>
      <w:sz w:val="16"/>
      <w:szCs w:val="16"/>
    </w:rPr>
  </w:style>
  <w:style w:type="paragraph" w:customStyle="1" w:styleId="403">
    <w:name w:val="(符号)三标题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404">
    <w:name w:val="font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06">
    <w:name w:val="样式 首行缩进:  0.85 厘米"/>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407">
    <w:name w:val="正文缩进1"/>
    <w:basedOn w:val="1"/>
    <w:qFormat/>
    <w:uiPriority w:val="0"/>
    <w:pPr>
      <w:ind w:firstLine="420"/>
    </w:pPr>
    <w:rPr>
      <w:rFonts w:ascii="Times New Roman" w:hAnsi="Times New Roman" w:eastAsia="宋体" w:cs="Times New Roman"/>
      <w:szCs w:val="20"/>
    </w:rPr>
  </w:style>
  <w:style w:type="paragraph" w:customStyle="1" w:styleId="408">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409">
    <w:name w:val="普通(网站)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10">
    <w:name w:val="表格标题"/>
    <w:basedOn w:val="372"/>
    <w:qFormat/>
    <w:uiPriority w:val="0"/>
    <w:pPr>
      <w:jc w:val="center"/>
    </w:pPr>
    <w:rPr>
      <w:b/>
      <w:bCs/>
      <w:i/>
      <w:iCs/>
    </w:rPr>
  </w:style>
  <w:style w:type="paragraph" w:customStyle="1" w:styleId="411">
    <w:name w:val="文档正文首行缩进"/>
    <w:basedOn w:val="1"/>
    <w:qFormat/>
    <w:uiPriority w:val="0"/>
    <w:pPr>
      <w:spacing w:line="360" w:lineRule="auto"/>
      <w:ind w:firstLine="420"/>
    </w:pPr>
    <w:rPr>
      <w:rFonts w:ascii="Times New Roman" w:hAnsi="Times New Roman" w:eastAsia="宋体" w:cs="宋体"/>
      <w:sz w:val="24"/>
      <w:szCs w:val="20"/>
    </w:rPr>
  </w:style>
  <w:style w:type="paragraph" w:customStyle="1" w:styleId="412">
    <w:name w:val="Char Char1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 w:val="28"/>
      <w:szCs w:val="24"/>
    </w:rPr>
  </w:style>
  <w:style w:type="paragraph" w:customStyle="1" w:styleId="413">
    <w:name w:val="章标题"/>
    <w:next w:val="414"/>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41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5">
    <w:name w:val="列表－视讯"/>
    <w:basedOn w:val="22"/>
    <w:qFormat/>
    <w:uiPriority w:val="0"/>
    <w:pPr>
      <w:adjustRightInd w:val="0"/>
      <w:spacing w:line="360" w:lineRule="atLeast"/>
      <w:ind w:left="0" w:firstLine="0"/>
      <w:textAlignment w:val="baseline"/>
    </w:pPr>
    <w:rPr>
      <w:sz w:val="24"/>
    </w:rPr>
  </w:style>
  <w:style w:type="paragraph" w:customStyle="1" w:styleId="416">
    <w:name w:val="Char Char"/>
    <w:basedOn w:val="1"/>
    <w:qFormat/>
    <w:uiPriority w:val="0"/>
    <w:rPr>
      <w:rFonts w:ascii="Tahoma" w:hAnsi="Tahoma" w:eastAsia="宋体" w:cs="Times New Roman"/>
      <w:sz w:val="24"/>
      <w:szCs w:val="20"/>
    </w:rPr>
  </w:style>
  <w:style w:type="paragraph" w:customStyle="1" w:styleId="417">
    <w:name w:val="(符号)三标题1.1"/>
    <w:basedOn w:val="1"/>
    <w:qFormat/>
    <w:uiPriority w:val="0"/>
    <w:pPr>
      <w:numPr>
        <w:ilvl w:val="0"/>
        <w:numId w:val="1"/>
      </w:numPr>
      <w:spacing w:before="140" w:after="140" w:line="500" w:lineRule="exact"/>
      <w:outlineLvl w:val="2"/>
    </w:pPr>
    <w:rPr>
      <w:rFonts w:ascii="楷体_GB2312" w:hAnsi="宋体" w:eastAsia="楷体_GB2312" w:cs="宋体"/>
      <w:b/>
      <w:bCs/>
      <w:sz w:val="28"/>
      <w:szCs w:val="20"/>
    </w:rPr>
  </w:style>
  <w:style w:type="paragraph" w:customStyle="1" w:styleId="418">
    <w:name w:val="样式 标题 3 + (中文) 黑体 小四 非加粗 段前: 7.8 磅 段后: 0 磅 行距: 固定值 20 磅"/>
    <w:basedOn w:val="6"/>
    <w:qFormat/>
    <w:uiPriority w:val="0"/>
    <w:pPr>
      <w:tabs>
        <w:tab w:val="clear" w:pos="5852"/>
      </w:tabs>
      <w:snapToGrid/>
      <w:spacing w:before="0" w:line="400" w:lineRule="exact"/>
      <w:ind w:left="0" w:firstLine="0"/>
    </w:pPr>
    <w:rPr>
      <w:rFonts w:eastAsia="黑体" w:cs="宋体"/>
      <w:b w:val="0"/>
      <w:kern w:val="2"/>
      <w:sz w:val="24"/>
    </w:rPr>
  </w:style>
  <w:style w:type="paragraph" w:customStyle="1" w:styleId="419">
    <w:name w:val="文"/>
    <w:basedOn w:val="46"/>
    <w:qFormat/>
    <w:uiPriority w:val="0"/>
    <w:pPr>
      <w:spacing w:line="360" w:lineRule="auto"/>
      <w:ind w:firstLine="480" w:firstLineChars="200"/>
    </w:pPr>
    <w:rPr>
      <w:rFonts w:hint="eastAsia" w:ascii="黑体" w:hAnsi="Times New Roman" w:eastAsia="黑体"/>
      <w:bCs/>
      <w:kern w:val="2"/>
      <w:sz w:val="24"/>
      <w:szCs w:val="22"/>
    </w:rPr>
  </w:style>
  <w:style w:type="paragraph" w:customStyle="1" w:styleId="420">
    <w:name w:val="1"/>
    <w:basedOn w:val="1"/>
    <w:next w:val="421"/>
    <w:qFormat/>
    <w:uiPriority w:val="99"/>
    <w:pPr>
      <w:suppressAutoHyphens/>
      <w:spacing w:line="360" w:lineRule="auto"/>
      <w:ind w:firstLine="480"/>
    </w:pPr>
    <w:rPr>
      <w:rFonts w:ascii="Times New Roman" w:hAnsi="Times New Roman" w:eastAsia="宋体" w:cs="Times New Roman"/>
      <w:kern w:val="1"/>
      <w:sz w:val="24"/>
      <w:szCs w:val="24"/>
      <w:lang w:eastAsia="ar-SA"/>
    </w:rPr>
  </w:style>
  <w:style w:type="paragraph" w:customStyle="1" w:styleId="421">
    <w:name w:val="正文文字缩进 3"/>
    <w:basedOn w:val="1"/>
    <w:qFormat/>
    <w:uiPriority w:val="0"/>
    <w:pPr>
      <w:suppressAutoHyphens/>
      <w:spacing w:after="120"/>
      <w:ind w:left="420"/>
    </w:pPr>
    <w:rPr>
      <w:rFonts w:ascii="Times New Roman" w:hAnsi="Times New Roman" w:eastAsia="宋体" w:cs="Times New Roman"/>
      <w:kern w:val="1"/>
      <w:sz w:val="16"/>
      <w:szCs w:val="16"/>
      <w:lang w:eastAsia="ar-SA"/>
    </w:rPr>
  </w:style>
  <w:style w:type="paragraph" w:customStyle="1" w:styleId="422">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423">
    <w:name w:val="xl3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424">
    <w:name w:val="List Paragraph1"/>
    <w:basedOn w:val="1"/>
    <w:qFormat/>
    <w:uiPriority w:val="0"/>
    <w:pPr>
      <w:ind w:firstLine="420" w:firstLineChars="200"/>
    </w:pPr>
    <w:rPr>
      <w:rFonts w:ascii="Times New Roman" w:hAnsi="Times New Roman" w:eastAsia="宋体" w:cs="Times New Roman"/>
      <w:szCs w:val="20"/>
    </w:rPr>
  </w:style>
  <w:style w:type="paragraph" w:customStyle="1" w:styleId="425">
    <w:name w:val="Char1 Char Char Char"/>
    <w:basedOn w:val="1"/>
    <w:qFormat/>
    <w:uiPriority w:val="0"/>
    <w:pPr>
      <w:adjustRightInd w:val="0"/>
      <w:spacing w:line="360" w:lineRule="auto"/>
    </w:pPr>
    <w:rPr>
      <w:rFonts w:ascii="Times New Roman" w:hAnsi="Times New Roman" w:eastAsia="宋体" w:cs="Times New Roman"/>
      <w:kern w:val="0"/>
      <w:sz w:val="24"/>
      <w:szCs w:val="20"/>
    </w:rPr>
  </w:style>
  <w:style w:type="paragraph" w:customStyle="1" w:styleId="426">
    <w:name w:val="菱形标号"/>
    <w:basedOn w:val="1"/>
    <w:qFormat/>
    <w:uiPriority w:val="0"/>
    <w:pPr>
      <w:tabs>
        <w:tab w:val="left" w:pos="1125"/>
      </w:tabs>
      <w:spacing w:line="360" w:lineRule="auto"/>
      <w:ind w:left="902" w:hanging="390"/>
    </w:pPr>
    <w:rPr>
      <w:rFonts w:ascii="Times New Roman" w:hAnsi="Times New Roman" w:eastAsia="宋体" w:cs="Times New Roman"/>
      <w:sz w:val="24"/>
      <w:szCs w:val="24"/>
    </w:rPr>
  </w:style>
  <w:style w:type="paragraph" w:customStyle="1" w:styleId="427">
    <w:name w:val="（符号）内容四标题1.1.12"/>
    <w:basedOn w:val="1"/>
    <w:qFormat/>
    <w:uiPriority w:val="0"/>
    <w:pPr>
      <w:tabs>
        <w:tab w:val="left" w:pos="1000"/>
      </w:tabs>
      <w:spacing w:line="500" w:lineRule="exact"/>
      <w:ind w:left="1000" w:hanging="1000"/>
    </w:pPr>
    <w:rPr>
      <w:rFonts w:ascii="Times New Roman" w:hAnsi="Times New Roman" w:eastAsia="宋体" w:cs="Times New Roman"/>
      <w:sz w:val="24"/>
      <w:szCs w:val="24"/>
    </w:rPr>
  </w:style>
  <w:style w:type="paragraph" w:customStyle="1" w:styleId="428">
    <w:name w:val="font7"/>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429">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431">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b/>
      <w:bCs/>
      <w:color w:val="000000"/>
      <w:kern w:val="0"/>
      <w:sz w:val="24"/>
      <w:szCs w:val="24"/>
    </w:rPr>
  </w:style>
  <w:style w:type="paragraph" w:customStyle="1" w:styleId="432">
    <w:name w:val="规范正文"/>
    <w:basedOn w:val="1"/>
    <w:qFormat/>
    <w:uiPriority w:val="0"/>
    <w:pPr>
      <w:suppressAutoHyphens/>
      <w:spacing w:line="360" w:lineRule="auto"/>
      <w:ind w:left="480"/>
      <w:textAlignment w:val="baseline"/>
    </w:pPr>
    <w:rPr>
      <w:rFonts w:ascii="Times New Roman" w:hAnsi="Times New Roman" w:eastAsia="宋体" w:cs="Times New Roman"/>
      <w:kern w:val="1"/>
      <w:sz w:val="24"/>
      <w:szCs w:val="20"/>
      <w:lang w:eastAsia="ar-SA"/>
    </w:rPr>
  </w:style>
  <w:style w:type="paragraph" w:customStyle="1" w:styleId="433">
    <w:name w:val="List Paragraph2"/>
    <w:basedOn w:val="1"/>
    <w:qFormat/>
    <w:uiPriority w:val="0"/>
    <w:pPr>
      <w:ind w:firstLine="420" w:firstLineChars="200"/>
    </w:pPr>
    <w:rPr>
      <w:rFonts w:ascii="Times New Roman" w:hAnsi="Times New Roman" w:eastAsia="宋体" w:cs="Times New Roman"/>
      <w:szCs w:val="20"/>
    </w:rPr>
  </w:style>
  <w:style w:type="paragraph" w:customStyle="1" w:styleId="434">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435">
    <w:name w:val="普通文字"/>
    <w:basedOn w:val="1"/>
    <w:qFormat/>
    <w:uiPriority w:val="0"/>
    <w:pPr>
      <w:suppressAutoHyphens/>
    </w:pPr>
    <w:rPr>
      <w:rFonts w:ascii="宋体" w:hAnsi="宋体" w:eastAsia="宋体" w:cs="Courier New"/>
      <w:kern w:val="1"/>
      <w:szCs w:val="21"/>
      <w:lang w:eastAsia="ar-SA"/>
    </w:rPr>
  </w:style>
  <w:style w:type="paragraph" w:customStyle="1" w:styleId="436">
    <w:name w:val="三级条标题"/>
    <w:basedOn w:val="437"/>
    <w:next w:val="414"/>
    <w:qFormat/>
    <w:uiPriority w:val="0"/>
    <w:pPr>
      <w:tabs>
        <w:tab w:val="left" w:pos="1740"/>
        <w:tab w:val="left" w:pos="2160"/>
        <w:tab w:val="left" w:pos="2580"/>
      </w:tabs>
      <w:ind w:left="2580"/>
      <w:outlineLvl w:val="4"/>
    </w:pPr>
  </w:style>
  <w:style w:type="paragraph" w:customStyle="1" w:styleId="437">
    <w:name w:val="二级条标题"/>
    <w:basedOn w:val="438"/>
    <w:next w:val="414"/>
    <w:qFormat/>
    <w:uiPriority w:val="0"/>
    <w:pPr>
      <w:tabs>
        <w:tab w:val="left" w:pos="1740"/>
        <w:tab w:val="left" w:pos="2160"/>
      </w:tabs>
      <w:ind w:left="0"/>
      <w:outlineLvl w:val="3"/>
    </w:pPr>
  </w:style>
  <w:style w:type="paragraph" w:customStyle="1" w:styleId="438">
    <w:name w:val="一级条标题"/>
    <w:basedOn w:val="413"/>
    <w:next w:val="414"/>
    <w:qFormat/>
    <w:uiPriority w:val="0"/>
    <w:pPr>
      <w:tabs>
        <w:tab w:val="left" w:pos="1740"/>
        <w:tab w:val="clear" w:pos="360"/>
      </w:tabs>
      <w:spacing w:beforeLines="0" w:afterLines="0"/>
      <w:ind w:left="1740" w:hanging="420"/>
      <w:outlineLvl w:val="2"/>
    </w:pPr>
  </w:style>
  <w:style w:type="paragraph" w:customStyle="1" w:styleId="439">
    <w:name w:val="（符号）内容三标题1."/>
    <w:basedOn w:val="1"/>
    <w:qFormat/>
    <w:uiPriority w:val="0"/>
    <w:pPr>
      <w:tabs>
        <w:tab w:val="left" w:pos="420"/>
      </w:tabs>
      <w:spacing w:before="140" w:after="140" w:line="500" w:lineRule="exact"/>
      <w:ind w:left="430" w:hanging="430"/>
      <w:outlineLvl w:val="1"/>
    </w:pPr>
    <w:rPr>
      <w:rFonts w:ascii="Times New Roman" w:hAnsi="Times New Roman" w:eastAsia="楷体_GB2312" w:cs="Times New Roman"/>
      <w:b/>
      <w:sz w:val="28"/>
      <w:szCs w:val="24"/>
    </w:rPr>
  </w:style>
  <w:style w:type="paragraph" w:customStyle="1" w:styleId="440">
    <w:name w:val="(符号)一标题第一部分"/>
    <w:basedOn w:val="1"/>
    <w:qFormat/>
    <w:uiPriority w:val="0"/>
    <w:pPr>
      <w:spacing w:beforeLines="100" w:afterLines="100" w:line="500" w:lineRule="exact"/>
      <w:jc w:val="center"/>
      <w:outlineLvl w:val="1"/>
    </w:pPr>
    <w:rPr>
      <w:rFonts w:ascii="黑体" w:hAnsi="Times New Roman" w:eastAsia="黑体" w:cs="宋体"/>
      <w:b/>
      <w:bCs/>
      <w:sz w:val="32"/>
      <w:szCs w:val="32"/>
    </w:rPr>
  </w:style>
  <w:style w:type="paragraph" w:customStyle="1" w:styleId="441">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442">
    <w:name w:val="目次、标准名称标题"/>
    <w:basedOn w:val="443"/>
    <w:next w:val="414"/>
    <w:qFormat/>
    <w:uiPriority w:val="0"/>
    <w:pPr>
      <w:tabs>
        <w:tab w:val="left" w:pos="360"/>
      </w:tabs>
      <w:spacing w:line="460" w:lineRule="exact"/>
    </w:pPr>
  </w:style>
  <w:style w:type="paragraph" w:customStyle="1" w:styleId="44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444">
    <w:name w:val="xl4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color w:val="000000"/>
      <w:kern w:val="0"/>
      <w:sz w:val="24"/>
      <w:szCs w:val="24"/>
    </w:rPr>
  </w:style>
  <w:style w:type="paragraph" w:customStyle="1" w:styleId="445">
    <w:name w:val="标题1"/>
    <w:basedOn w:val="1"/>
    <w:next w:val="2"/>
    <w:qFormat/>
    <w:uiPriority w:val="0"/>
    <w:pPr>
      <w:keepNext/>
      <w:suppressAutoHyphens/>
      <w:spacing w:before="240" w:after="120"/>
    </w:pPr>
    <w:rPr>
      <w:rFonts w:ascii="AR PL ShanHeiSun Uni" w:hAnsi="AR PL ShanHeiSun Uni" w:eastAsia="AR PL ShanHeiSun Uni" w:cs="AR PL ShanHeiSun Uni"/>
      <w:kern w:val="1"/>
      <w:sz w:val="28"/>
      <w:szCs w:val="28"/>
      <w:lang w:eastAsia="ar-SA"/>
    </w:rPr>
  </w:style>
  <w:style w:type="paragraph" w:customStyle="1" w:styleId="446">
    <w:name w:val="xl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47">
    <w:name w:val="样式5"/>
    <w:basedOn w:val="1"/>
    <w:qFormat/>
    <w:uiPriority w:val="0"/>
    <w:pPr>
      <w:adjustRightInd w:val="0"/>
      <w:snapToGrid w:val="0"/>
      <w:spacing w:line="520" w:lineRule="exact"/>
      <w:ind w:firstLine="480" w:firstLineChars="200"/>
    </w:pPr>
    <w:rPr>
      <w:rFonts w:ascii="仿宋_GB2312" w:hAnsi="Times New Roman" w:eastAsia="仿宋_GB2312" w:cs="Times New Roman"/>
      <w:sz w:val="24"/>
      <w:szCs w:val="20"/>
    </w:rPr>
  </w:style>
  <w:style w:type="paragraph" w:customStyle="1" w:styleId="448">
    <w:name w:val="纯文本3"/>
    <w:basedOn w:val="1"/>
    <w:qFormat/>
    <w:uiPriority w:val="0"/>
    <w:rPr>
      <w:rFonts w:ascii="宋体" w:hAnsi="Courier New" w:eastAsia="宋体" w:cs="Times New Roman"/>
      <w:szCs w:val="20"/>
    </w:rPr>
  </w:style>
  <w:style w:type="paragraph" w:customStyle="1" w:styleId="4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450">
    <w:name w:val="部分1"/>
    <w:basedOn w:val="1"/>
    <w:qFormat/>
    <w:uiPriority w:val="0"/>
    <w:pPr>
      <w:keepNext/>
      <w:pageBreakBefore/>
      <w:tabs>
        <w:tab w:val="left" w:pos="1272"/>
      </w:tabs>
      <w:spacing w:line="360" w:lineRule="auto"/>
      <w:ind w:left="1272" w:hanging="1272"/>
      <w:jc w:val="center"/>
      <w:outlineLvl w:val="0"/>
    </w:pPr>
    <w:rPr>
      <w:rFonts w:ascii="Times New Roman" w:hAnsi="Times New Roman" w:eastAsia="黑体" w:cs="Times New Roman"/>
      <w:b/>
      <w:bCs/>
      <w:kern w:val="44"/>
      <w:sz w:val="36"/>
      <w:szCs w:val="36"/>
    </w:rPr>
  </w:style>
  <w:style w:type="paragraph" w:customStyle="1" w:styleId="4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4"/>
      <w:szCs w:val="24"/>
    </w:rPr>
  </w:style>
  <w:style w:type="paragraph" w:customStyle="1" w:styleId="452">
    <w:name w:val="TOC 标题1"/>
    <w:basedOn w:val="4"/>
    <w:next w:val="1"/>
    <w:qFormat/>
    <w:uiPriority w:val="39"/>
    <w:pPr>
      <w:widowControl/>
      <w:spacing w:before="480" w:after="0" w:line="276" w:lineRule="auto"/>
      <w:ind w:left="0"/>
      <w:jc w:val="left"/>
      <w:outlineLvl w:val="9"/>
    </w:pPr>
    <w:rPr>
      <w:rFonts w:ascii="Cambria" w:hAnsi="Cambria" w:eastAsia="宋体" w:cs="Cambria"/>
      <w:bCs/>
      <w:color w:val="365F91"/>
      <w:kern w:val="0"/>
      <w:sz w:val="28"/>
      <w:szCs w:val="28"/>
    </w:rPr>
  </w:style>
  <w:style w:type="paragraph" w:customStyle="1" w:styleId="453">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54">
    <w:name w:val="样式 标题 1 + 四号 居中 段前: 12 磅 段后: 12 磅 行距: 单倍行距"/>
    <w:basedOn w:val="4"/>
    <w:qFormat/>
    <w:uiPriority w:val="0"/>
    <w:pPr>
      <w:tabs>
        <w:tab w:val="left" w:pos="810"/>
      </w:tabs>
      <w:adjustRightInd w:val="0"/>
      <w:spacing w:before="240" w:after="240" w:line="240" w:lineRule="auto"/>
      <w:ind w:left="810" w:hanging="390"/>
      <w:textAlignment w:val="baseline"/>
    </w:pPr>
    <w:rPr>
      <w:rFonts w:eastAsia="宋体" w:cs="黑体"/>
      <w:bCs/>
      <w:sz w:val="28"/>
    </w:rPr>
  </w:style>
  <w:style w:type="paragraph" w:customStyle="1" w:styleId="455">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56">
    <w:name w:val="五级条标题"/>
    <w:basedOn w:val="457"/>
    <w:next w:val="414"/>
    <w:qFormat/>
    <w:uiPriority w:val="0"/>
    <w:pPr>
      <w:tabs>
        <w:tab w:val="left" w:pos="1740"/>
        <w:tab w:val="left" w:pos="2160"/>
        <w:tab w:val="left" w:pos="3000"/>
        <w:tab w:val="left" w:pos="3420"/>
      </w:tabs>
      <w:ind w:left="3420"/>
      <w:outlineLvl w:val="6"/>
    </w:pPr>
  </w:style>
  <w:style w:type="paragraph" w:customStyle="1" w:styleId="457">
    <w:name w:val="四级条标题"/>
    <w:basedOn w:val="436"/>
    <w:next w:val="414"/>
    <w:qFormat/>
    <w:uiPriority w:val="0"/>
    <w:pPr>
      <w:tabs>
        <w:tab w:val="left" w:pos="3000"/>
        <w:tab w:val="clear" w:pos="2580"/>
      </w:tabs>
      <w:ind w:left="3000"/>
      <w:outlineLvl w:val="5"/>
    </w:pPr>
  </w:style>
  <w:style w:type="paragraph" w:customStyle="1" w:styleId="458">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4"/>
      <w:szCs w:val="24"/>
    </w:rPr>
  </w:style>
  <w:style w:type="paragraph" w:customStyle="1" w:styleId="459">
    <w:name w:val="书目1"/>
    <w:basedOn w:val="1"/>
    <w:next w:val="1"/>
    <w:unhideWhenUsed/>
    <w:qFormat/>
    <w:uiPriority w:val="37"/>
    <w:rPr>
      <w:rFonts w:ascii="Times New Roman" w:hAnsi="Times New Roman" w:eastAsia="宋体" w:cs="Times New Roman"/>
      <w:szCs w:val="20"/>
    </w:rPr>
  </w:style>
  <w:style w:type="paragraph" w:customStyle="1" w:styleId="460">
    <w:name w:val="（符号）内容四标题1.1"/>
    <w:basedOn w:val="1"/>
    <w:qFormat/>
    <w:uiPriority w:val="0"/>
    <w:pPr>
      <w:tabs>
        <w:tab w:val="left" w:pos="420"/>
      </w:tabs>
      <w:spacing w:line="500" w:lineRule="exact"/>
      <w:ind w:left="430" w:hanging="430"/>
    </w:pPr>
    <w:rPr>
      <w:rFonts w:ascii="黑体" w:hAnsi="Times New Roman" w:eastAsia="宋体" w:cs="Times New Roman"/>
      <w:sz w:val="24"/>
      <w:szCs w:val="21"/>
    </w:rPr>
  </w:style>
  <w:style w:type="paragraph" w:customStyle="1" w:styleId="461">
    <w:name w:val="日期1"/>
    <w:basedOn w:val="1"/>
    <w:next w:val="1"/>
    <w:qFormat/>
    <w:uiPriority w:val="0"/>
    <w:pPr>
      <w:suppressAutoHyphens/>
      <w:ind w:left="100"/>
    </w:pPr>
    <w:rPr>
      <w:rFonts w:ascii="Times New Roman" w:hAnsi="Times New Roman" w:eastAsia="楷体_GB2312" w:cs="Times New Roman"/>
      <w:b/>
      <w:kern w:val="1"/>
      <w:sz w:val="36"/>
      <w:szCs w:val="30"/>
      <w:lang w:eastAsia="ar-SA"/>
    </w:rPr>
  </w:style>
  <w:style w:type="paragraph" w:customStyle="1" w:styleId="462">
    <w:name w:val="(符号)五标题1.1.1"/>
    <w:basedOn w:val="1"/>
    <w:qFormat/>
    <w:uiPriority w:val="0"/>
    <w:pPr>
      <w:numPr>
        <w:ilvl w:val="2"/>
        <w:numId w:val="1"/>
      </w:numPr>
      <w:spacing w:line="500" w:lineRule="exact"/>
    </w:pPr>
    <w:rPr>
      <w:rFonts w:ascii="宋体" w:hAnsi="宋体" w:eastAsia="宋体" w:cs="宋体"/>
      <w:color w:val="000000"/>
      <w:sz w:val="24"/>
      <w:szCs w:val="20"/>
    </w:rPr>
  </w:style>
  <w:style w:type="paragraph" w:customStyle="1" w:styleId="463">
    <w:name w:val="（符号）普通正文"/>
    <w:basedOn w:val="1"/>
    <w:qFormat/>
    <w:uiPriority w:val="0"/>
    <w:pPr>
      <w:spacing w:line="460" w:lineRule="exact"/>
      <w:ind w:firstLine="480" w:firstLineChars="200"/>
    </w:pPr>
    <w:rPr>
      <w:rFonts w:ascii="宋体" w:hAnsi="宋体" w:eastAsia="宋体" w:cs="宋体"/>
      <w:sz w:val="24"/>
      <w:szCs w:val="20"/>
    </w:rPr>
  </w:style>
  <w:style w:type="paragraph" w:customStyle="1" w:styleId="464">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465">
    <w:name w:val="样式 宋体 小四 行距: 固定值 25 磅"/>
    <w:basedOn w:val="1"/>
    <w:qFormat/>
    <w:uiPriority w:val="0"/>
    <w:pPr>
      <w:spacing w:line="500" w:lineRule="exact"/>
    </w:pPr>
    <w:rPr>
      <w:rFonts w:ascii="宋体" w:hAnsi="宋体" w:eastAsia="宋体" w:cs="宋体"/>
      <w:sz w:val="24"/>
      <w:szCs w:val="20"/>
    </w:rPr>
  </w:style>
  <w:style w:type="paragraph" w:customStyle="1" w:styleId="466">
    <w:name w:val="Mao正文(五号)"/>
    <w:basedOn w:val="1"/>
    <w:qFormat/>
    <w:uiPriority w:val="99"/>
    <w:pPr>
      <w:spacing w:line="300" w:lineRule="auto"/>
      <w:ind w:firstLine="200" w:firstLineChars="200"/>
    </w:pPr>
    <w:rPr>
      <w:rFonts w:ascii="Times New Roman" w:hAnsi="Times New Roman" w:eastAsia="宋体" w:cs="Times New Roman"/>
      <w:color w:val="000000"/>
      <w:szCs w:val="21"/>
    </w:rPr>
  </w:style>
  <w:style w:type="paragraph" w:customStyle="1" w:styleId="467">
    <w:name w:val="È±Ê¡ÎÄ±¾"/>
    <w:basedOn w:val="1"/>
    <w:qFormat/>
    <w:uiPriority w:val="0"/>
    <w:pPr>
      <w:widowControl/>
      <w:overflowPunct w:val="0"/>
      <w:autoSpaceDE w:val="0"/>
      <w:autoSpaceDN w:val="0"/>
      <w:adjustRightInd w:val="0"/>
      <w:jc w:val="left"/>
    </w:pPr>
    <w:rPr>
      <w:rFonts w:ascii="Times New Roman" w:hAnsi="Times New Roman" w:eastAsia="宋体" w:cs="Times New Roman"/>
      <w:kern w:val="0"/>
      <w:sz w:val="24"/>
      <w:szCs w:val="20"/>
    </w:rPr>
  </w:style>
  <w:style w:type="paragraph" w:customStyle="1" w:styleId="468">
    <w:name w:val="圆点标号"/>
    <w:basedOn w:val="1"/>
    <w:qFormat/>
    <w:uiPriority w:val="0"/>
    <w:pPr>
      <w:tabs>
        <w:tab w:val="left" w:pos="1440"/>
      </w:tabs>
      <w:spacing w:line="360" w:lineRule="auto"/>
      <w:ind w:left="839" w:hanging="357"/>
    </w:pPr>
    <w:rPr>
      <w:rFonts w:ascii="Times New Roman" w:hAnsi="Times New Roman" w:eastAsia="宋体" w:cs="Times New Roman"/>
      <w:sz w:val="24"/>
      <w:szCs w:val="24"/>
    </w:rPr>
  </w:style>
  <w:style w:type="paragraph" w:customStyle="1" w:styleId="469">
    <w:name w:val="标签"/>
    <w:basedOn w:val="1"/>
    <w:qFormat/>
    <w:uiPriority w:val="0"/>
    <w:pPr>
      <w:suppressLineNumbers/>
      <w:suppressAutoHyphens/>
      <w:spacing w:before="120" w:after="120"/>
    </w:pPr>
    <w:rPr>
      <w:rFonts w:ascii="Times New Roman" w:hAnsi="Times New Roman" w:eastAsia="宋体" w:cs="Times New Roman"/>
      <w:i/>
      <w:iCs/>
      <w:kern w:val="1"/>
      <w:sz w:val="24"/>
      <w:szCs w:val="24"/>
      <w:lang w:eastAsia="ar-SA"/>
    </w:rPr>
  </w:style>
  <w:style w:type="paragraph" w:customStyle="1" w:styleId="470">
    <w:name w:val="列出段落{858D7CFB-ED40-4347-BF05-701D383B685F}{858D7CFB-ED40-4347-BF05-701D383B685F}"/>
    <w:basedOn w:val="1"/>
    <w:qFormat/>
    <w:uiPriority w:val="0"/>
    <w:pPr>
      <w:ind w:firstLine="420" w:firstLineChars="200"/>
    </w:pPr>
    <w:rPr>
      <w:rFonts w:ascii="Times New Roman" w:hAnsi="Times New Roman" w:eastAsia="宋体" w:cs="Times New Roman"/>
      <w:szCs w:val="24"/>
    </w:rPr>
  </w:style>
  <w:style w:type="paragraph" w:customStyle="1" w:styleId="471">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472">
    <w:name w:val="(符号)四标题1.1"/>
    <w:basedOn w:val="1"/>
    <w:qFormat/>
    <w:uiPriority w:val="0"/>
    <w:pPr>
      <w:tabs>
        <w:tab w:val="left" w:pos="567"/>
      </w:tabs>
      <w:spacing w:line="500" w:lineRule="exact"/>
      <w:ind w:left="567" w:hanging="567"/>
    </w:pPr>
    <w:rPr>
      <w:rFonts w:ascii="宋体" w:hAnsi="宋体" w:eastAsia="宋体" w:cs="宋体"/>
      <w:color w:val="000000"/>
      <w:kern w:val="0"/>
      <w:sz w:val="24"/>
      <w:szCs w:val="20"/>
    </w:rPr>
  </w:style>
  <w:style w:type="paragraph" w:customStyle="1" w:styleId="473">
    <w:name w:val="我的重点"/>
    <w:basedOn w:val="389"/>
    <w:qFormat/>
    <w:uiPriority w:val="0"/>
    <w:pPr>
      <w:ind w:left="0"/>
    </w:pPr>
    <w:rPr>
      <w:rFonts w:eastAsia="华文楷体"/>
      <w:i/>
      <w:iCs/>
    </w:rPr>
  </w:style>
  <w:style w:type="paragraph" w:customStyle="1" w:styleId="474">
    <w:name w:val="（符号）二标题总则"/>
    <w:basedOn w:val="440"/>
    <w:qFormat/>
    <w:uiPriority w:val="0"/>
    <w:pPr>
      <w:spacing w:beforeLines="50" w:afterLines="50" w:line="440" w:lineRule="atLeast"/>
    </w:pPr>
  </w:style>
  <w:style w:type="paragraph" w:customStyle="1" w:styleId="475">
    <w:name w:val="(符号)标书正文"/>
    <w:basedOn w:val="1"/>
    <w:qFormat/>
    <w:uiPriority w:val="0"/>
    <w:pPr>
      <w:spacing w:line="500" w:lineRule="exact"/>
      <w:ind w:left="420"/>
    </w:pPr>
    <w:rPr>
      <w:rFonts w:ascii="宋体" w:hAnsi="宋体" w:eastAsia="宋体" w:cs="宋体"/>
      <w:sz w:val="24"/>
      <w:szCs w:val="20"/>
    </w:rPr>
  </w:style>
  <w:style w:type="paragraph" w:customStyle="1" w:styleId="476">
    <w:name w:val="2"/>
    <w:basedOn w:val="1"/>
    <w:next w:val="46"/>
    <w:qFormat/>
    <w:uiPriority w:val="0"/>
    <w:rPr>
      <w:rFonts w:hint="eastAsia" w:ascii="宋体" w:hAnsi="Courier New" w:eastAsia="宋体" w:cs="Times New Roman"/>
      <w:szCs w:val="20"/>
    </w:rPr>
  </w:style>
  <w:style w:type="paragraph" w:customStyle="1" w:styleId="477">
    <w:name w:val="xl4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color w:val="000000"/>
      <w:kern w:val="0"/>
      <w:sz w:val="24"/>
      <w:szCs w:val="24"/>
    </w:rPr>
  </w:style>
  <w:style w:type="paragraph" w:customStyle="1" w:styleId="478">
    <w:name w:val="p17"/>
    <w:basedOn w:val="1"/>
    <w:qFormat/>
    <w:uiPriority w:val="0"/>
    <w:pPr>
      <w:widowControl/>
      <w:ind w:firstLine="630"/>
    </w:pPr>
    <w:rPr>
      <w:rFonts w:ascii="宋体" w:hAnsi="宋体" w:eastAsia="宋体" w:cs="宋体"/>
      <w:kern w:val="0"/>
      <w:sz w:val="32"/>
      <w:szCs w:val="32"/>
    </w:rPr>
  </w:style>
  <w:style w:type="paragraph" w:customStyle="1" w:styleId="479">
    <w:name w:val="Char Char1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8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81">
    <w:name w:val="样式章节"/>
    <w:basedOn w:val="4"/>
    <w:qFormat/>
    <w:uiPriority w:val="99"/>
    <w:pPr>
      <w:keepLines w:val="0"/>
      <w:tabs>
        <w:tab w:val="left" w:pos="432"/>
      </w:tabs>
      <w:autoSpaceDE w:val="0"/>
      <w:autoSpaceDN w:val="0"/>
      <w:adjustRightInd w:val="0"/>
      <w:spacing w:before="0" w:after="0" w:line="240" w:lineRule="auto"/>
      <w:ind w:left="432" w:hanging="432"/>
    </w:pPr>
    <w:rPr>
      <w:rFonts w:eastAsia="宋体"/>
      <w:b w:val="0"/>
      <w:kern w:val="2"/>
      <w:sz w:val="32"/>
      <w:szCs w:val="32"/>
      <w:lang w:val="zh-CN"/>
    </w:rPr>
  </w:style>
  <w:style w:type="paragraph" w:customStyle="1" w:styleId="482">
    <w:name w:val="font5"/>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3">
    <w:name w:val="样式 样式 样式 样式 标题 2 + 宋体 五号 非加粗 黑色 + 段前: 6 磅 段后: 0 磅 行距: 单倍行距 + 段前:..."/>
    <w:basedOn w:val="1"/>
    <w:qFormat/>
    <w:uiPriority w:val="0"/>
    <w:pPr>
      <w:keepNext/>
      <w:keepLines/>
      <w:tabs>
        <w:tab w:val="left" w:pos="1440"/>
      </w:tabs>
      <w:adjustRightInd w:val="0"/>
      <w:spacing w:before="240"/>
      <w:ind w:left="1440" w:hanging="360"/>
      <w:jc w:val="left"/>
      <w:textAlignment w:val="baseline"/>
      <w:outlineLvl w:val="1"/>
    </w:pPr>
    <w:rPr>
      <w:rFonts w:ascii="宋体" w:hAnsi="宋体" w:eastAsia="宋体" w:cs="宋体"/>
      <w:b/>
      <w:bCs/>
      <w:color w:val="000000"/>
      <w:kern w:val="0"/>
      <w:szCs w:val="20"/>
    </w:rPr>
  </w:style>
  <w:style w:type="paragraph" w:customStyle="1" w:styleId="484">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b/>
      <w:bCs/>
      <w:color w:val="000000"/>
      <w:kern w:val="0"/>
      <w:sz w:val="24"/>
      <w:szCs w:val="24"/>
    </w:rPr>
  </w:style>
  <w:style w:type="paragraph" w:customStyle="1" w:styleId="485">
    <w:name w:val="样式7"/>
    <w:basedOn w:val="1"/>
    <w:qFormat/>
    <w:uiPriority w:val="0"/>
    <w:pPr>
      <w:suppressAutoHyphens/>
      <w:autoSpaceDE w:val="0"/>
      <w:spacing w:line="440" w:lineRule="atLeast"/>
      <w:ind w:firstLine="601"/>
      <w:textAlignment w:val="baseline"/>
    </w:pPr>
    <w:rPr>
      <w:rFonts w:ascii="宋体" w:hAnsi="宋体" w:eastAsia="宋体" w:cs="Times New Roman"/>
      <w:kern w:val="1"/>
      <w:sz w:val="24"/>
      <w:szCs w:val="20"/>
      <w:lang w:eastAsia="ar-SA"/>
    </w:rPr>
  </w:style>
  <w:style w:type="paragraph" w:customStyle="1" w:styleId="486">
    <w:name w:val="xl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87">
    <w:name w:val="样式 标题 4 + 左侧:  1.11 厘米"/>
    <w:basedOn w:val="7"/>
    <w:qFormat/>
    <w:uiPriority w:val="0"/>
    <w:pPr>
      <w:widowControl/>
      <w:tabs>
        <w:tab w:val="left" w:pos="864"/>
        <w:tab w:val="clear" w:pos="425"/>
      </w:tabs>
      <w:spacing w:before="280" w:after="290" w:line="377" w:lineRule="auto"/>
      <w:ind w:left="0" w:firstLine="0"/>
      <w:jc w:val="left"/>
    </w:pPr>
    <w:rPr>
      <w:rFonts w:ascii="Arial" w:hAnsi="Arial" w:eastAsia="黑体" w:cs="Arial"/>
      <w:bCs/>
      <w:kern w:val="2"/>
      <w:sz w:val="30"/>
      <w:szCs w:val="30"/>
    </w:rPr>
  </w:style>
  <w:style w:type="paragraph" w:customStyle="1" w:styleId="488">
    <w:name w:val="（符号）投标一、"/>
    <w:basedOn w:val="1"/>
    <w:qFormat/>
    <w:uiPriority w:val="0"/>
    <w:pPr>
      <w:tabs>
        <w:tab w:val="left" w:pos="980"/>
      </w:tabs>
      <w:spacing w:line="460" w:lineRule="exact"/>
      <w:ind w:left="980" w:hanging="498"/>
    </w:pPr>
    <w:rPr>
      <w:rFonts w:ascii="Times New Roman" w:hAnsi="Times New Roman" w:eastAsia="宋体" w:cs="Times New Roman"/>
      <w:szCs w:val="24"/>
    </w:rPr>
  </w:style>
  <w:style w:type="paragraph" w:customStyle="1" w:styleId="489">
    <w:name w:val="A2"/>
    <w:basedOn w:val="5"/>
    <w:next w:val="1"/>
    <w:qFormat/>
    <w:uiPriority w:val="0"/>
    <w:pPr>
      <w:spacing w:line="416" w:lineRule="auto"/>
      <w:ind w:left="1021"/>
      <w:jc w:val="left"/>
    </w:pPr>
    <w:rPr>
      <w:rFonts w:ascii="Cambria" w:hAnsi="Cambria"/>
      <w:bCs/>
      <w:kern w:val="2"/>
      <w:sz w:val="32"/>
      <w:szCs w:val="32"/>
    </w:rPr>
  </w:style>
  <w:style w:type="paragraph" w:customStyle="1" w:styleId="490">
    <w:name w:val="内容目录 10"/>
    <w:basedOn w:val="401"/>
    <w:qFormat/>
    <w:uiPriority w:val="0"/>
    <w:pPr>
      <w:tabs>
        <w:tab w:val="right" w:leader="dot" w:pos="9637"/>
      </w:tabs>
      <w:ind w:left="2547"/>
    </w:pPr>
  </w:style>
  <w:style w:type="character" w:customStyle="1" w:styleId="491">
    <w:name w:val="z-窗体底端 字符1"/>
    <w:basedOn w:val="91"/>
    <w:semiHidden/>
    <w:qFormat/>
    <w:uiPriority w:val="99"/>
    <w:rPr>
      <w:rFonts w:ascii="Arial" w:hAnsi="Arial" w:cs="Arial"/>
      <w:vanish/>
      <w:sz w:val="16"/>
      <w:szCs w:val="16"/>
    </w:rPr>
  </w:style>
  <w:style w:type="paragraph" w:customStyle="1" w:styleId="492">
    <w:name w:val="xl4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4"/>
      <w:szCs w:val="24"/>
    </w:rPr>
  </w:style>
  <w:style w:type="paragraph" w:customStyle="1" w:styleId="493">
    <w:name w:val="正文文字 3"/>
    <w:basedOn w:val="1"/>
    <w:qFormat/>
    <w:uiPriority w:val="0"/>
    <w:pPr>
      <w:suppressAutoHyphens/>
      <w:spacing w:after="120"/>
    </w:pPr>
    <w:rPr>
      <w:rFonts w:ascii="Times New Roman" w:hAnsi="Times New Roman" w:eastAsia="宋体" w:cs="Times New Roman"/>
      <w:kern w:val="1"/>
      <w:sz w:val="16"/>
      <w:szCs w:val="16"/>
      <w:lang w:eastAsia="ar-SA"/>
    </w:rPr>
  </w:style>
  <w:style w:type="paragraph" w:customStyle="1" w:styleId="494">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5">
    <w:name w:val="_Style 36"/>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496">
    <w:name w:val="表"/>
    <w:basedOn w:val="1"/>
    <w:qFormat/>
    <w:uiPriority w:val="0"/>
    <w:pPr>
      <w:adjustRightInd w:val="0"/>
      <w:snapToGrid w:val="0"/>
    </w:pPr>
    <w:rPr>
      <w:rFonts w:ascii="Times New Roman" w:hAnsi="Times New Roman" w:eastAsia="宋体" w:cs="Times New Roman"/>
      <w:color w:val="000000"/>
      <w:kern w:val="0"/>
      <w:szCs w:val="21"/>
    </w:rPr>
  </w:style>
  <w:style w:type="paragraph" w:customStyle="1" w:styleId="497">
    <w:name w:val="（符号）内容三标题1.1"/>
    <w:basedOn w:val="1"/>
    <w:qFormat/>
    <w:uiPriority w:val="0"/>
    <w:pPr>
      <w:spacing w:line="500" w:lineRule="exact"/>
    </w:pPr>
    <w:rPr>
      <w:rFonts w:ascii="黑体" w:hAnsi="宋体" w:eastAsia="黑体" w:cs="Times New Roman"/>
      <w:b/>
      <w:bCs/>
      <w:sz w:val="24"/>
      <w:szCs w:val="24"/>
    </w:rPr>
  </w:style>
  <w:style w:type="paragraph" w:customStyle="1" w:styleId="498">
    <w:name w:val="（符号）目录2"/>
    <w:basedOn w:val="1"/>
    <w:qFormat/>
    <w:uiPriority w:val="0"/>
    <w:pPr>
      <w:spacing w:line="500" w:lineRule="exact"/>
      <w:ind w:left="480"/>
    </w:pPr>
    <w:rPr>
      <w:rFonts w:ascii="Times New Roman" w:hAnsi="Times New Roman" w:eastAsia="宋体" w:cs="宋体"/>
      <w:sz w:val="24"/>
      <w:szCs w:val="20"/>
    </w:rPr>
  </w:style>
  <w:style w:type="character" w:customStyle="1" w:styleId="499">
    <w:name w:val="引用 字符1"/>
    <w:basedOn w:val="91"/>
    <w:qFormat/>
    <w:uiPriority w:val="29"/>
    <w:rPr>
      <w:i/>
      <w:iCs/>
      <w:color w:val="404040"/>
    </w:rPr>
  </w:style>
  <w:style w:type="paragraph" w:customStyle="1" w:styleId="500">
    <w:name w:val="论文正文(教授"/>
    <w:basedOn w:val="1"/>
    <w:qFormat/>
    <w:uiPriority w:val="0"/>
    <w:pPr>
      <w:snapToGrid w:val="0"/>
      <w:spacing w:line="320" w:lineRule="atLeast"/>
      <w:ind w:firstLine="200" w:firstLineChars="200"/>
    </w:pPr>
    <w:rPr>
      <w:rFonts w:ascii="仿宋_GB2312" w:hAnsi="仿宋_GB2312" w:eastAsia="宋体" w:cs="Times New Roman"/>
      <w:spacing w:val="12"/>
      <w:szCs w:val="24"/>
    </w:rPr>
  </w:style>
  <w:style w:type="paragraph" w:customStyle="1" w:styleId="501">
    <w:name w:val="(符号)内容1五标题1.1.1"/>
    <w:basedOn w:val="1"/>
    <w:qFormat/>
    <w:uiPriority w:val="0"/>
    <w:rPr>
      <w:rFonts w:ascii="Times New Roman" w:hAnsi="Times New Roman" w:eastAsia="宋体" w:cs="Times New Roman"/>
      <w:szCs w:val="24"/>
    </w:rPr>
  </w:style>
  <w:style w:type="paragraph" w:customStyle="1" w:styleId="502">
    <w:name w:val="xl33"/>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table" w:customStyle="1" w:styleId="503">
    <w:name w:val="网格型11"/>
    <w:basedOn w:val="8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4">
    <w:name w:val="宏文本 Char2"/>
    <w:basedOn w:val="91"/>
    <w:link w:val="3"/>
    <w:semiHidden/>
    <w:qFormat/>
    <w:uiPriority w:val="99"/>
    <w:rPr>
      <w:rFonts w:ascii="Courier New" w:hAnsi="Courier New" w:eastAsia="宋体" w:cs="Courier New"/>
      <w:sz w:val="24"/>
      <w:szCs w:val="24"/>
    </w:rPr>
  </w:style>
  <w:style w:type="character" w:customStyle="1" w:styleId="505">
    <w:name w:val="font31"/>
    <w:basedOn w:val="91"/>
    <w:qFormat/>
    <w:uiPriority w:val="0"/>
    <w:rPr>
      <w:rFonts w:hint="eastAsia" w:ascii="宋体" w:hAnsi="宋体" w:eastAsia="宋体" w:cs="宋体"/>
      <w:color w:val="FF0000"/>
      <w:sz w:val="16"/>
      <w:szCs w:val="16"/>
      <w:u w:val="none"/>
    </w:rPr>
  </w:style>
  <w:style w:type="character" w:customStyle="1" w:styleId="506">
    <w:name w:val="font41"/>
    <w:basedOn w:val="91"/>
    <w:qFormat/>
    <w:uiPriority w:val="0"/>
    <w:rPr>
      <w:rFonts w:hint="eastAsia" w:ascii="宋体" w:hAnsi="宋体" w:eastAsia="宋体" w:cs="宋体"/>
      <w:color w:val="FF0000"/>
      <w:sz w:val="16"/>
      <w:szCs w:val="16"/>
      <w:u w:val="none"/>
    </w:rPr>
  </w:style>
  <w:style w:type="character" w:customStyle="1" w:styleId="507">
    <w:name w:val="font51"/>
    <w:basedOn w:val="91"/>
    <w:qFormat/>
    <w:uiPriority w:val="0"/>
    <w:rPr>
      <w:rFonts w:hint="eastAsia" w:ascii="宋体" w:hAnsi="宋体" w:eastAsia="宋体" w:cs="宋体"/>
      <w:b/>
      <w:color w:val="FF0000"/>
      <w:sz w:val="16"/>
      <w:szCs w:val="16"/>
      <w:u w:val="none"/>
    </w:rPr>
  </w:style>
  <w:style w:type="paragraph" w:customStyle="1" w:styleId="508">
    <w:name w:val="默认段落字体 Para Char"/>
    <w:basedOn w:val="1"/>
    <w:qFormat/>
    <w:uiPriority w:val="0"/>
    <w:rPr>
      <w:rFonts w:ascii="Times New Roman" w:hAnsi="Times New Roman" w:eastAsia="宋体" w:cs="Times New Roman"/>
      <w:szCs w:val="20"/>
    </w:rPr>
  </w:style>
  <w:style w:type="character" w:customStyle="1" w:styleId="509">
    <w:name w:val="页眉 字符"/>
    <w:qFormat/>
    <w:uiPriority w:val="0"/>
    <w:rPr>
      <w:sz w:val="18"/>
      <w:szCs w:val="18"/>
    </w:rPr>
  </w:style>
  <w:style w:type="character" w:customStyle="1" w:styleId="510">
    <w:name w:val="页脚 字符"/>
    <w:qFormat/>
    <w:uiPriority w:val="0"/>
    <w:rPr>
      <w:sz w:val="18"/>
      <w:szCs w:val="18"/>
    </w:rPr>
  </w:style>
  <w:style w:type="character" w:customStyle="1" w:styleId="511">
    <w:name w:val="Char Char6"/>
    <w:qFormat/>
    <w:uiPriority w:val="0"/>
    <w:rPr>
      <w:rFonts w:ascii="Century" w:hAnsi="Century" w:eastAsia="MS Mincho"/>
      <w:kern w:val="2"/>
      <w:sz w:val="18"/>
      <w:szCs w:val="18"/>
      <w:lang w:val="en-US" w:eastAsia="ja-JP" w:bidi="ar-SA"/>
    </w:rPr>
  </w:style>
  <w:style w:type="character" w:customStyle="1" w:styleId="512">
    <w:name w:val="Char Char7"/>
    <w:qFormat/>
    <w:uiPriority w:val="0"/>
    <w:rPr>
      <w:rFonts w:ascii="Century" w:hAnsi="Century" w:eastAsia="MS Mincho"/>
      <w:kern w:val="2"/>
      <w:sz w:val="18"/>
      <w:szCs w:val="18"/>
      <w:lang w:val="en-US" w:eastAsia="ja-JP" w:bidi="ar-SA"/>
    </w:rPr>
  </w:style>
  <w:style w:type="character" w:customStyle="1" w:styleId="513">
    <w:name w:val="A正文小四 Char"/>
    <w:link w:val="514"/>
    <w:qFormat/>
    <w:uiPriority w:val="0"/>
    <w:rPr>
      <w:sz w:val="24"/>
      <w:szCs w:val="24"/>
    </w:rPr>
  </w:style>
  <w:style w:type="paragraph" w:customStyle="1" w:styleId="514">
    <w:name w:val="A正文小四"/>
    <w:basedOn w:val="1"/>
    <w:link w:val="513"/>
    <w:qFormat/>
    <w:uiPriority w:val="0"/>
    <w:pPr>
      <w:spacing w:line="360" w:lineRule="auto"/>
      <w:ind w:firstLine="200" w:firstLineChars="200"/>
    </w:pPr>
    <w:rPr>
      <w:sz w:val="24"/>
      <w:szCs w:val="24"/>
    </w:rPr>
  </w:style>
  <w:style w:type="character" w:customStyle="1" w:styleId="515">
    <w:name w:val="正文样式2 Char1"/>
    <w:link w:val="516"/>
    <w:qFormat/>
    <w:uiPriority w:val="0"/>
    <w:rPr>
      <w:rFonts w:eastAsia="宋体"/>
      <w:sz w:val="28"/>
    </w:rPr>
  </w:style>
  <w:style w:type="paragraph" w:customStyle="1" w:styleId="516">
    <w:name w:val="正文样式2"/>
    <w:basedOn w:val="1"/>
    <w:link w:val="515"/>
    <w:qFormat/>
    <w:uiPriority w:val="0"/>
    <w:pPr>
      <w:spacing w:line="560" w:lineRule="exact"/>
      <w:ind w:firstLine="601"/>
    </w:pPr>
    <w:rPr>
      <w:rFonts w:eastAsia="宋体"/>
      <w:sz w:val="28"/>
    </w:rPr>
  </w:style>
  <w:style w:type="character" w:customStyle="1" w:styleId="517">
    <w:name w:val="列表段落 字符"/>
    <w:qFormat/>
    <w:uiPriority w:val="99"/>
    <w:rPr>
      <w:kern w:val="2"/>
      <w:sz w:val="21"/>
      <w:szCs w:val="24"/>
    </w:rPr>
  </w:style>
  <w:style w:type="paragraph" w:customStyle="1" w:styleId="518">
    <w:name w:val="_Style 508"/>
    <w:basedOn w:val="1"/>
    <w:next w:val="172"/>
    <w:qFormat/>
    <w:uiPriority w:val="34"/>
    <w:pPr>
      <w:ind w:firstLine="420" w:firstLineChars="200"/>
    </w:pPr>
    <w:rPr>
      <w:rFonts w:ascii="Calibri" w:hAnsi="Calibri" w:eastAsia="宋体" w:cs="Times New Roman"/>
      <w:szCs w:val="24"/>
    </w:rPr>
  </w:style>
  <w:style w:type="character" w:customStyle="1" w:styleId="519">
    <w:name w:val="first-child"/>
    <w:basedOn w:val="91"/>
    <w:qFormat/>
    <w:uiPriority w:val="0"/>
  </w:style>
  <w:style w:type="character" w:customStyle="1" w:styleId="520">
    <w:name w:val="layui-laypage-curr"/>
    <w:basedOn w:val="91"/>
    <w:qFormat/>
    <w:uiPriority w:val="0"/>
  </w:style>
  <w:style w:type="character" w:customStyle="1" w:styleId="521">
    <w:name w:val="mail-contents"/>
    <w:basedOn w:val="91"/>
    <w:qFormat/>
    <w:uiPriority w:val="0"/>
  </w:style>
  <w:style w:type="character" w:customStyle="1" w:styleId="522">
    <w:name w:val="s5"/>
    <w:basedOn w:val="91"/>
    <w:qFormat/>
    <w:uiPriority w:val="0"/>
    <w:rPr>
      <w:spacing w:val="125"/>
    </w:rPr>
  </w:style>
  <w:style w:type="character" w:customStyle="1" w:styleId="523">
    <w:name w:val="hover26"/>
    <w:basedOn w:val="91"/>
    <w:qFormat/>
    <w:uiPriority w:val="0"/>
    <w:rPr>
      <w:color w:val="5FB878"/>
    </w:rPr>
  </w:style>
  <w:style w:type="character" w:customStyle="1" w:styleId="524">
    <w:name w:val="hover27"/>
    <w:basedOn w:val="91"/>
    <w:qFormat/>
    <w:uiPriority w:val="0"/>
    <w:rPr>
      <w:color w:val="5FB878"/>
    </w:rPr>
  </w:style>
  <w:style w:type="character" w:customStyle="1" w:styleId="525">
    <w:name w:val="hover28"/>
    <w:basedOn w:val="91"/>
    <w:qFormat/>
    <w:uiPriority w:val="0"/>
    <w:rPr>
      <w:color w:val="FFFFFF"/>
    </w:rPr>
  </w:style>
  <w:style w:type="character" w:customStyle="1" w:styleId="526">
    <w:name w:val="layui-this4"/>
    <w:basedOn w:val="91"/>
    <w:qFormat/>
    <w:uiPriority w:val="0"/>
    <w:rPr>
      <w:bdr w:val="single" w:color="EEEEEE" w:sz="6" w:space="0"/>
      <w:shd w:val="clear" w:color="auto" w:fill="FFFFFF"/>
    </w:rPr>
  </w:style>
  <w:style w:type="character" w:customStyle="1" w:styleId="527">
    <w:name w:val="layui-this"/>
    <w:basedOn w:val="91"/>
    <w:qFormat/>
    <w:uiPriority w:val="0"/>
    <w:rPr>
      <w:bdr w:val="single" w:color="EEEEEE" w:sz="6" w:space="0"/>
      <w:shd w:val="clear" w:color="auto" w:fill="FFFFFF"/>
    </w:rPr>
  </w:style>
  <w:style w:type="character" w:customStyle="1" w:styleId="528">
    <w:name w:val="hover34"/>
    <w:basedOn w:val="91"/>
    <w:qFormat/>
    <w:uiPriority w:val="0"/>
    <w:rPr>
      <w:color w:val="5FB878"/>
    </w:rPr>
  </w:style>
  <w:style w:type="character" w:customStyle="1" w:styleId="529">
    <w:name w:val="hover35"/>
    <w:basedOn w:val="91"/>
    <w:qFormat/>
    <w:uiPriority w:val="0"/>
    <w:rPr>
      <w:color w:val="5FB878"/>
    </w:rPr>
  </w:style>
  <w:style w:type="character" w:customStyle="1" w:styleId="530">
    <w:name w:val="hover36"/>
    <w:basedOn w:val="91"/>
    <w:qFormat/>
    <w:uiPriority w:val="0"/>
    <w:rPr>
      <w:color w:val="FFFFFF"/>
    </w:rPr>
  </w:style>
  <w:style w:type="character" w:customStyle="1" w:styleId="531">
    <w:name w:val="layui-this3"/>
    <w:basedOn w:val="91"/>
    <w:qFormat/>
    <w:uiPriority w:val="0"/>
    <w:rPr>
      <w:bdr w:val="single" w:color="EEEEEE" w:sz="6" w:space="0"/>
      <w:shd w:val="clear" w:color="auto" w:fill="FFFFFF"/>
    </w:rPr>
  </w:style>
  <w:style w:type="character" w:customStyle="1" w:styleId="532">
    <w:name w:val="hover33"/>
    <w:basedOn w:val="91"/>
    <w:qFormat/>
    <w:uiPriority w:val="0"/>
    <w:rPr>
      <w:color w:val="FFFFFF"/>
    </w:rPr>
  </w:style>
  <w:style w:type="character" w:customStyle="1" w:styleId="533">
    <w:name w:val="hover"/>
    <w:basedOn w:val="91"/>
    <w:qFormat/>
    <w:uiPriority w:val="0"/>
    <w:rPr>
      <w:color w:val="5FB878"/>
    </w:rPr>
  </w:style>
  <w:style w:type="character" w:customStyle="1" w:styleId="534">
    <w:name w:val="hover1"/>
    <w:basedOn w:val="91"/>
    <w:qFormat/>
    <w:uiPriority w:val="0"/>
    <w:rPr>
      <w:color w:val="5FB878"/>
    </w:rPr>
  </w:style>
  <w:style w:type="character" w:customStyle="1" w:styleId="535">
    <w:name w:val="hover2"/>
    <w:basedOn w:val="91"/>
    <w:qFormat/>
    <w:uiPriority w:val="0"/>
    <w:rPr>
      <w:color w:val="FFFFFF"/>
    </w:rPr>
  </w:style>
  <w:style w:type="character" w:customStyle="1" w:styleId="536">
    <w:name w:val="hover24"/>
    <w:basedOn w:val="91"/>
    <w:qFormat/>
    <w:uiPriority w:val="0"/>
    <w:rPr>
      <w:color w:val="5FB878"/>
    </w:rPr>
  </w:style>
  <w:style w:type="character" w:customStyle="1" w:styleId="537">
    <w:name w:val="hover25"/>
    <w:basedOn w:val="91"/>
    <w:qFormat/>
    <w:uiPriority w:val="0"/>
    <w:rPr>
      <w:color w:val="FFFFFF"/>
    </w:rPr>
  </w:style>
  <w:style w:type="paragraph" w:customStyle="1" w:styleId="538">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39">
    <w:name w:val="NormalCharacter"/>
    <w:qFormat/>
    <w:uiPriority w:val="0"/>
    <w:rPr>
      <w:lang w:val="en-US" w:eastAsia="zh-CN" w:bidi="ar-SA"/>
    </w:rPr>
  </w:style>
  <w:style w:type="character" w:customStyle="1" w:styleId="540">
    <w:name w:val="hover3"/>
    <w:basedOn w:val="91"/>
    <w:qFormat/>
    <w:uiPriority w:val="0"/>
  </w:style>
  <w:style w:type="character" w:customStyle="1" w:styleId="541">
    <w:name w:val="mini-outputtext1"/>
    <w:basedOn w:val="91"/>
    <w:qFormat/>
    <w:uiPriority w:val="0"/>
  </w:style>
  <w:style w:type="character" w:customStyle="1" w:styleId="542">
    <w:name w:val="layui-layer-tabnow"/>
    <w:basedOn w:val="91"/>
    <w:qFormat/>
    <w:uiPriority w:val="0"/>
    <w:rPr>
      <w:bdr w:val="single" w:color="CCCCCC" w:sz="4" w:space="0"/>
      <w:shd w:val="clear" w:color="auto" w:fill="FFFFFF"/>
    </w:rPr>
  </w:style>
  <w:style w:type="character" w:customStyle="1" w:styleId="543">
    <w:name w:val="s1"/>
    <w:basedOn w:val="91"/>
    <w:qFormat/>
    <w:uiPriority w:val="0"/>
    <w:rPr>
      <w:color w:val="DDDDDD"/>
      <w:sz w:val="12"/>
      <w:szCs w:val="12"/>
    </w:rPr>
  </w:style>
  <w:style w:type="character" w:customStyle="1" w:styleId="544">
    <w:name w:val="btn-auto-11"/>
    <w:basedOn w:val="91"/>
    <w:qFormat/>
    <w:uiPriority w:val="0"/>
  </w:style>
  <w:style w:type="character" w:customStyle="1" w:styleId="545">
    <w:name w:val="btn-task-gray1"/>
    <w:basedOn w:val="91"/>
    <w:qFormat/>
    <w:uiPriority w:val="0"/>
    <w:rPr>
      <w:color w:val="FFFFFF"/>
      <w:u w:val="none"/>
      <w:shd w:val="clear" w:color="auto" w:fill="CCCCCC"/>
    </w:rPr>
  </w:style>
  <w:style w:type="character" w:customStyle="1" w:styleId="546">
    <w:name w:val="btn-task-gray2"/>
    <w:basedOn w:val="91"/>
    <w:qFormat/>
    <w:uiPriority w:val="0"/>
  </w:style>
  <w:style w:type="character" w:customStyle="1" w:styleId="547">
    <w:name w:val="btn-auto-1"/>
    <w:basedOn w:val="91"/>
    <w:qFormat/>
    <w:uiPriority w:val="0"/>
  </w:style>
  <w:style w:type="character" w:customStyle="1" w:styleId="548">
    <w:name w:val="btn-task-gray"/>
    <w:basedOn w:val="91"/>
    <w:qFormat/>
    <w:uiPriority w:val="0"/>
  </w:style>
  <w:style w:type="character" w:customStyle="1" w:styleId="549">
    <w:name w:val="l-btn-empty"/>
    <w:basedOn w:val="91"/>
    <w:qFormat/>
    <w:uiPriority w:val="0"/>
  </w:style>
  <w:style w:type="character" w:customStyle="1" w:styleId="550">
    <w:name w:val="l-btn-icon-right"/>
    <w:basedOn w:val="91"/>
    <w:qFormat/>
    <w:uiPriority w:val="0"/>
  </w:style>
  <w:style w:type="character" w:customStyle="1" w:styleId="551">
    <w:name w:val="l-btn-left"/>
    <w:basedOn w:val="91"/>
    <w:qFormat/>
    <w:uiPriority w:val="0"/>
  </w:style>
  <w:style w:type="character" w:customStyle="1" w:styleId="552">
    <w:name w:val="l-btn-left1"/>
    <w:basedOn w:val="91"/>
    <w:qFormat/>
    <w:uiPriority w:val="0"/>
  </w:style>
  <w:style w:type="character" w:customStyle="1" w:styleId="553">
    <w:name w:val="l-btn-left2"/>
    <w:basedOn w:val="91"/>
    <w:qFormat/>
    <w:uiPriority w:val="0"/>
  </w:style>
  <w:style w:type="character" w:customStyle="1" w:styleId="554">
    <w:name w:val="l-btn-left3"/>
    <w:basedOn w:val="91"/>
    <w:qFormat/>
    <w:uiPriority w:val="0"/>
  </w:style>
  <w:style w:type="character" w:customStyle="1" w:styleId="555">
    <w:name w:val="l-btn-icon-left"/>
    <w:basedOn w:val="91"/>
    <w:qFormat/>
    <w:uiPriority w:val="0"/>
  </w:style>
  <w:style w:type="character" w:customStyle="1" w:styleId="556">
    <w:name w:val="l-btn-text"/>
    <w:basedOn w:val="91"/>
    <w:qFormat/>
    <w:uiPriority w:val="0"/>
    <w:rPr>
      <w:sz w:val="12"/>
      <w:szCs w:val="12"/>
      <w:vertAlign w:val="baseli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78E7F5-0D32-41CA-959A-598A78A30BD0}">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120</Pages>
  <Words>46678</Words>
  <Characters>53103</Characters>
  <Lines>509</Lines>
  <Paragraphs>143</Paragraphs>
  <TotalTime>255</TotalTime>
  <ScaleCrop>false</ScaleCrop>
  <LinksUpToDate>false</LinksUpToDate>
  <CharactersWithSpaces>68666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2024-08-19T01:27:00Z</dcterms:created>
  <dc:creator>Windows User</dc:creator>
  <cp:lastModifiedBy>三门峡-曾丹丹</cp:lastModifiedBy>
  <cp:lastPrinted>2024-09-12T07:04:00Z</cp:lastPrinted>
  <dcterms:modified xsi:type="dcterms:W3CDTF">2024-10-17T15:01:06Z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E70A8C43F9E543EABD080EF1F393888C_13</vt:lpwstr>
  </property>
</Properties>
</file>