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7C7C1">
      <w:pPr>
        <w:spacing w:before="195" w:line="222" w:lineRule="auto"/>
        <w:ind w:left="2236"/>
        <w:rPr>
          <w:rFonts w:ascii="宋体" w:hAnsi="宋体" w:eastAsia="宋体" w:cs="宋体"/>
          <w:color w:val="auto"/>
          <w:sz w:val="55"/>
          <w:szCs w:val="55"/>
          <w:highlight w:val="none"/>
        </w:rPr>
      </w:pPr>
      <w:r>
        <w:rPr>
          <w:rFonts w:ascii="宋体" w:hAnsi="宋体" w:eastAsia="宋体" w:cs="宋体"/>
          <w:color w:val="auto"/>
          <w:spacing w:val="5"/>
          <w:sz w:val="55"/>
          <w:szCs w:val="55"/>
          <w:highlight w:val="none"/>
        </w:rPr>
        <w:t>建安区政府采购</w:t>
      </w:r>
    </w:p>
    <w:p w14:paraId="215F93E1">
      <w:pPr>
        <w:pStyle w:val="5"/>
        <w:rPr>
          <w:color w:val="auto"/>
          <w:highlight w:val="none"/>
        </w:rPr>
      </w:pPr>
    </w:p>
    <w:p w14:paraId="1C9E4646">
      <w:pPr>
        <w:pStyle w:val="5"/>
        <w:rPr>
          <w:color w:val="auto"/>
          <w:highlight w:val="none"/>
        </w:rPr>
      </w:pPr>
    </w:p>
    <w:p w14:paraId="5DDBF2D6">
      <w:pPr>
        <w:pStyle w:val="5"/>
        <w:rPr>
          <w:color w:val="auto"/>
          <w:highlight w:val="none"/>
        </w:rPr>
      </w:pPr>
    </w:p>
    <w:p w14:paraId="08786772">
      <w:pPr>
        <w:pStyle w:val="5"/>
        <w:rPr>
          <w:color w:val="auto"/>
          <w:highlight w:val="none"/>
        </w:rPr>
      </w:pPr>
    </w:p>
    <w:p w14:paraId="03CBC702">
      <w:pPr>
        <w:pStyle w:val="5"/>
        <w:rPr>
          <w:color w:val="auto"/>
          <w:highlight w:val="none"/>
        </w:rPr>
      </w:pPr>
    </w:p>
    <w:p w14:paraId="517BAACF">
      <w:pPr>
        <w:pStyle w:val="5"/>
        <w:rPr>
          <w:color w:val="auto"/>
          <w:highlight w:val="none"/>
        </w:rPr>
      </w:pPr>
    </w:p>
    <w:p w14:paraId="38436686">
      <w:pPr>
        <w:pStyle w:val="5"/>
        <w:rPr>
          <w:color w:val="auto"/>
          <w:highlight w:val="none"/>
        </w:rPr>
      </w:pPr>
    </w:p>
    <w:p w14:paraId="4F0F0986">
      <w:pPr>
        <w:pStyle w:val="5"/>
        <w:rPr>
          <w:color w:val="auto"/>
          <w:highlight w:val="none"/>
        </w:rPr>
      </w:pPr>
    </w:p>
    <w:p w14:paraId="73D3487D">
      <w:pPr>
        <w:pStyle w:val="5"/>
        <w:rPr>
          <w:color w:val="auto"/>
          <w:highlight w:val="none"/>
        </w:rPr>
      </w:pPr>
    </w:p>
    <w:p w14:paraId="51398ADF">
      <w:pPr>
        <w:pStyle w:val="5"/>
        <w:rPr>
          <w:color w:val="auto"/>
          <w:highlight w:val="none"/>
        </w:rPr>
      </w:pPr>
      <w:r>
        <w:rPr>
          <w:color w:val="auto"/>
          <w:highlight w:val="none"/>
        </w:rPr>
        <w:pict>
          <v:shape id="_x0000_s1026" o:spid="_x0000_s1026" o:spt="202" type="#_x0000_t202" style="position:absolute;left:0pt;margin-left:188.9pt;margin-top:6.35pt;height:170.35pt;width:34.45pt;z-index:251660288;mso-width-relative:page;mso-height-relative:page;" filled="f" stroked="f" coordsize="21600,21600">
            <v:path/>
            <v:fill on="f" focussize="0,0"/>
            <v:stroke on="f"/>
            <v:imagedata o:title=""/>
            <o:lock v:ext="edit" aspectratio="f"/>
            <v:textbox inset="0mm,0mm,0mm,0mm" style="layout-flow:vertical-ideographic;">
              <w:txbxContent>
                <w:p w14:paraId="7C08D114">
                  <w:pPr>
                    <w:spacing w:before="21" w:line="211" w:lineRule="auto"/>
                    <w:ind w:left="20"/>
                    <w:rPr>
                      <w:rFonts w:ascii="宋体" w:hAnsi="宋体" w:eastAsia="宋体" w:cs="宋体"/>
                      <w:sz w:val="55"/>
                      <w:szCs w:val="55"/>
                    </w:rPr>
                  </w:pPr>
                  <w:r>
                    <w:rPr>
                      <w:rFonts w:ascii="宋体" w:hAnsi="宋体" w:eastAsia="宋体" w:cs="宋体"/>
                      <w:spacing w:val="8"/>
                      <w:sz w:val="55"/>
                      <w:szCs w:val="55"/>
                    </w:rPr>
                    <w:t>磋</w:t>
                  </w:r>
                  <w:r>
                    <w:rPr>
                      <w:rFonts w:ascii="宋体" w:hAnsi="宋体" w:eastAsia="宋体" w:cs="宋体"/>
                      <w:spacing w:val="103"/>
                      <w:sz w:val="55"/>
                      <w:szCs w:val="55"/>
                    </w:rPr>
                    <w:t xml:space="preserve"> </w:t>
                  </w:r>
                  <w:r>
                    <w:rPr>
                      <w:rFonts w:ascii="宋体" w:hAnsi="宋体" w:eastAsia="宋体" w:cs="宋体"/>
                      <w:spacing w:val="8"/>
                      <w:sz w:val="55"/>
                      <w:szCs w:val="55"/>
                    </w:rPr>
                    <w:t>商</w:t>
                  </w:r>
                  <w:r>
                    <w:rPr>
                      <w:rFonts w:ascii="宋体" w:hAnsi="宋体" w:eastAsia="宋体" w:cs="宋体"/>
                      <w:spacing w:val="102"/>
                      <w:sz w:val="55"/>
                      <w:szCs w:val="55"/>
                    </w:rPr>
                    <w:t xml:space="preserve"> </w:t>
                  </w:r>
                  <w:r>
                    <w:rPr>
                      <w:rFonts w:ascii="宋体" w:hAnsi="宋体" w:eastAsia="宋体" w:cs="宋体"/>
                      <w:spacing w:val="8"/>
                      <w:sz w:val="55"/>
                      <w:szCs w:val="55"/>
                    </w:rPr>
                    <w:t>文</w:t>
                  </w:r>
                  <w:r>
                    <w:rPr>
                      <w:rFonts w:ascii="宋体" w:hAnsi="宋体" w:eastAsia="宋体" w:cs="宋体"/>
                      <w:spacing w:val="103"/>
                      <w:sz w:val="55"/>
                      <w:szCs w:val="55"/>
                    </w:rPr>
                    <w:t xml:space="preserve"> </w:t>
                  </w:r>
                  <w:r>
                    <w:rPr>
                      <w:rFonts w:ascii="宋体" w:hAnsi="宋体" w:eastAsia="宋体" w:cs="宋体"/>
                      <w:spacing w:val="8"/>
                      <w:sz w:val="55"/>
                      <w:szCs w:val="55"/>
                    </w:rPr>
                    <w:t>件</w:t>
                  </w:r>
                </w:p>
              </w:txbxContent>
            </v:textbox>
          </v:shape>
        </w:pict>
      </w:r>
    </w:p>
    <w:p w14:paraId="14D02B9D">
      <w:pPr>
        <w:pStyle w:val="5"/>
        <w:rPr>
          <w:color w:val="auto"/>
          <w:highlight w:val="none"/>
        </w:rPr>
      </w:pPr>
    </w:p>
    <w:p w14:paraId="665801A5">
      <w:pPr>
        <w:pStyle w:val="5"/>
        <w:rPr>
          <w:color w:val="auto"/>
          <w:highlight w:val="none"/>
        </w:rPr>
      </w:pPr>
    </w:p>
    <w:p w14:paraId="0B4E9D8B">
      <w:pPr>
        <w:pStyle w:val="5"/>
        <w:rPr>
          <w:color w:val="auto"/>
          <w:highlight w:val="none"/>
        </w:rPr>
      </w:pPr>
    </w:p>
    <w:p w14:paraId="1303DAF1">
      <w:pPr>
        <w:pStyle w:val="5"/>
        <w:rPr>
          <w:color w:val="auto"/>
          <w:highlight w:val="none"/>
        </w:rPr>
      </w:pPr>
    </w:p>
    <w:p w14:paraId="65BD740A">
      <w:pPr>
        <w:pStyle w:val="5"/>
        <w:rPr>
          <w:color w:val="auto"/>
          <w:highlight w:val="none"/>
        </w:rPr>
      </w:pPr>
    </w:p>
    <w:p w14:paraId="0B095405">
      <w:pPr>
        <w:pStyle w:val="5"/>
        <w:rPr>
          <w:color w:val="auto"/>
          <w:highlight w:val="none"/>
        </w:rPr>
      </w:pPr>
    </w:p>
    <w:p w14:paraId="2C1C66D8">
      <w:pPr>
        <w:pStyle w:val="5"/>
        <w:rPr>
          <w:color w:val="auto"/>
          <w:highlight w:val="none"/>
        </w:rPr>
      </w:pPr>
    </w:p>
    <w:p w14:paraId="0930B993">
      <w:pPr>
        <w:pStyle w:val="5"/>
        <w:rPr>
          <w:color w:val="auto"/>
          <w:highlight w:val="none"/>
        </w:rPr>
      </w:pPr>
    </w:p>
    <w:p w14:paraId="66CCBAA7">
      <w:pPr>
        <w:pStyle w:val="5"/>
        <w:rPr>
          <w:color w:val="auto"/>
          <w:highlight w:val="none"/>
        </w:rPr>
      </w:pPr>
    </w:p>
    <w:p w14:paraId="7998F75E">
      <w:pPr>
        <w:pStyle w:val="5"/>
        <w:rPr>
          <w:color w:val="auto"/>
          <w:highlight w:val="none"/>
        </w:rPr>
      </w:pPr>
    </w:p>
    <w:p w14:paraId="15946FF0">
      <w:pPr>
        <w:pStyle w:val="5"/>
        <w:rPr>
          <w:color w:val="auto"/>
          <w:highlight w:val="none"/>
        </w:rPr>
      </w:pPr>
    </w:p>
    <w:p w14:paraId="63C14A09">
      <w:pPr>
        <w:pStyle w:val="5"/>
        <w:rPr>
          <w:color w:val="auto"/>
          <w:highlight w:val="none"/>
        </w:rPr>
      </w:pPr>
    </w:p>
    <w:p w14:paraId="264F431E">
      <w:pPr>
        <w:pStyle w:val="5"/>
        <w:rPr>
          <w:color w:val="auto"/>
          <w:highlight w:val="none"/>
        </w:rPr>
      </w:pPr>
    </w:p>
    <w:p w14:paraId="78B83624">
      <w:pPr>
        <w:pStyle w:val="5"/>
        <w:rPr>
          <w:color w:val="auto"/>
          <w:highlight w:val="none"/>
        </w:rPr>
      </w:pPr>
    </w:p>
    <w:p w14:paraId="5375C28B">
      <w:pPr>
        <w:pStyle w:val="5"/>
        <w:rPr>
          <w:color w:val="auto"/>
          <w:highlight w:val="none"/>
        </w:rPr>
      </w:pPr>
    </w:p>
    <w:p w14:paraId="247E797E">
      <w:pPr>
        <w:pStyle w:val="5"/>
        <w:rPr>
          <w:color w:val="auto"/>
          <w:highlight w:val="none"/>
        </w:rPr>
      </w:pPr>
    </w:p>
    <w:p w14:paraId="090A09EF">
      <w:pPr>
        <w:pStyle w:val="5"/>
        <w:spacing w:line="241" w:lineRule="auto"/>
        <w:rPr>
          <w:color w:val="auto"/>
          <w:highlight w:val="none"/>
        </w:rPr>
      </w:pPr>
    </w:p>
    <w:p w14:paraId="1B55763B">
      <w:pPr>
        <w:pStyle w:val="5"/>
        <w:spacing w:line="241" w:lineRule="auto"/>
        <w:rPr>
          <w:color w:val="auto"/>
          <w:highlight w:val="none"/>
        </w:rPr>
      </w:pPr>
    </w:p>
    <w:p w14:paraId="425DFDE2">
      <w:pPr>
        <w:pStyle w:val="5"/>
        <w:spacing w:line="241" w:lineRule="auto"/>
        <w:rPr>
          <w:color w:val="auto"/>
          <w:highlight w:val="none"/>
        </w:rPr>
      </w:pPr>
    </w:p>
    <w:p w14:paraId="1C791717">
      <w:pPr>
        <w:pStyle w:val="5"/>
        <w:spacing w:line="241" w:lineRule="auto"/>
        <w:rPr>
          <w:color w:val="auto"/>
          <w:highlight w:val="none"/>
        </w:rPr>
      </w:pPr>
    </w:p>
    <w:p w14:paraId="2D0D2A08">
      <w:pPr>
        <w:pStyle w:val="5"/>
        <w:spacing w:line="241" w:lineRule="auto"/>
        <w:rPr>
          <w:color w:val="auto"/>
          <w:highlight w:val="none"/>
        </w:rPr>
      </w:pPr>
    </w:p>
    <w:p w14:paraId="34716894">
      <w:pPr>
        <w:pStyle w:val="5"/>
        <w:spacing w:line="241" w:lineRule="auto"/>
        <w:rPr>
          <w:color w:val="auto"/>
          <w:highlight w:val="none"/>
        </w:rPr>
      </w:pPr>
    </w:p>
    <w:p w14:paraId="565789E1">
      <w:pPr>
        <w:pStyle w:val="5"/>
        <w:spacing w:line="241" w:lineRule="auto"/>
        <w:rPr>
          <w:color w:val="auto"/>
          <w:highlight w:val="none"/>
        </w:rPr>
      </w:pPr>
    </w:p>
    <w:p w14:paraId="4CEC1CF3">
      <w:pPr>
        <w:pStyle w:val="5"/>
        <w:spacing w:line="241" w:lineRule="auto"/>
        <w:rPr>
          <w:color w:val="auto"/>
          <w:highlight w:val="none"/>
        </w:rPr>
      </w:pPr>
    </w:p>
    <w:p w14:paraId="57F3AC1E">
      <w:pPr>
        <w:pStyle w:val="5"/>
        <w:spacing w:line="241" w:lineRule="auto"/>
        <w:rPr>
          <w:color w:val="auto"/>
          <w:highlight w:val="none"/>
        </w:rPr>
      </w:pPr>
    </w:p>
    <w:p w14:paraId="1CE8EB39">
      <w:pPr>
        <w:pStyle w:val="5"/>
        <w:spacing w:line="241" w:lineRule="auto"/>
        <w:rPr>
          <w:color w:val="auto"/>
          <w:highlight w:val="none"/>
        </w:rPr>
      </w:pPr>
    </w:p>
    <w:p w14:paraId="677902B7">
      <w:pPr>
        <w:pStyle w:val="5"/>
        <w:spacing w:line="241" w:lineRule="auto"/>
        <w:rPr>
          <w:color w:val="auto"/>
          <w:highlight w:val="none"/>
        </w:rPr>
      </w:pPr>
    </w:p>
    <w:p w14:paraId="50D52737">
      <w:pPr>
        <w:pStyle w:val="5"/>
        <w:spacing w:line="241" w:lineRule="auto"/>
        <w:rPr>
          <w:color w:val="auto"/>
          <w:highlight w:val="none"/>
        </w:rPr>
      </w:pPr>
    </w:p>
    <w:p w14:paraId="2B665607">
      <w:pPr>
        <w:pStyle w:val="5"/>
        <w:spacing w:line="241" w:lineRule="auto"/>
        <w:rPr>
          <w:rFonts w:ascii="宋体" w:hAnsi="宋体" w:eastAsia="宋体" w:cs="宋体"/>
          <w:snapToGrid w:val="0"/>
          <w:color w:val="auto"/>
          <w:spacing w:val="7"/>
          <w:kern w:val="0"/>
          <w:sz w:val="31"/>
          <w:szCs w:val="31"/>
          <w:highlight w:val="none"/>
          <w:lang w:val="en-US" w:eastAsia="en-US" w:bidi="ar-SA"/>
        </w:rPr>
      </w:pPr>
    </w:p>
    <w:p w14:paraId="238478B6">
      <w:pPr>
        <w:spacing w:line="360" w:lineRule="auto"/>
        <w:ind w:firstLine="620" w:firstLineChars="200"/>
        <w:jc w:val="left"/>
        <w:rPr>
          <w:rFonts w:hint="eastAsia" w:ascii="宋体" w:hAnsi="宋体" w:eastAsia="宋体" w:cs="宋体"/>
          <w:color w:val="auto"/>
          <w:spacing w:val="5"/>
          <w:kern w:val="0"/>
          <w:sz w:val="30"/>
          <w:szCs w:val="30"/>
          <w:highlight w:val="none"/>
          <w:lang w:val="en-US" w:eastAsia="en-US"/>
        </w:rPr>
      </w:pPr>
      <w:r>
        <w:rPr>
          <w:rFonts w:hint="eastAsia" w:ascii="宋体" w:hAnsi="宋体" w:eastAsia="宋体" w:cs="宋体"/>
          <w:color w:val="auto"/>
          <w:spacing w:val="5"/>
          <w:kern w:val="0"/>
          <w:sz w:val="30"/>
          <w:szCs w:val="30"/>
          <w:highlight w:val="none"/>
          <w:lang w:val="en-US" w:eastAsia="en-US"/>
        </w:rPr>
        <w:t>项目编号：建安政采竞磋商字〔2026〕</w:t>
      </w:r>
      <w:r>
        <w:rPr>
          <w:rFonts w:hint="eastAsia" w:ascii="宋体" w:hAnsi="宋体" w:eastAsia="宋体" w:cs="宋体"/>
          <w:color w:val="auto"/>
          <w:spacing w:val="5"/>
          <w:kern w:val="0"/>
          <w:sz w:val="30"/>
          <w:szCs w:val="30"/>
          <w:highlight w:val="none"/>
          <w:lang w:val="en-US" w:eastAsia="zh-CN"/>
        </w:rPr>
        <w:t>21</w:t>
      </w:r>
      <w:r>
        <w:rPr>
          <w:rFonts w:hint="eastAsia" w:ascii="宋体" w:hAnsi="宋体" w:eastAsia="宋体" w:cs="宋体"/>
          <w:color w:val="auto"/>
          <w:spacing w:val="5"/>
          <w:kern w:val="0"/>
          <w:sz w:val="30"/>
          <w:szCs w:val="30"/>
          <w:highlight w:val="none"/>
          <w:lang w:val="en-US" w:eastAsia="en-US"/>
        </w:rPr>
        <w:t>号</w:t>
      </w:r>
    </w:p>
    <w:p w14:paraId="6EEF09BE">
      <w:pPr>
        <w:spacing w:line="360" w:lineRule="auto"/>
        <w:ind w:firstLine="620" w:firstLineChars="200"/>
        <w:jc w:val="left"/>
        <w:rPr>
          <w:rFonts w:hint="eastAsia" w:ascii="宋体" w:hAnsi="宋体" w:eastAsia="宋体" w:cs="宋体"/>
          <w:color w:val="auto"/>
          <w:spacing w:val="5"/>
          <w:kern w:val="0"/>
          <w:sz w:val="30"/>
          <w:szCs w:val="30"/>
          <w:highlight w:val="none"/>
          <w:lang w:val="en-US" w:eastAsia="en-US"/>
        </w:rPr>
      </w:pPr>
      <w:r>
        <w:rPr>
          <w:rFonts w:hint="eastAsia" w:ascii="宋体" w:hAnsi="宋体" w:eastAsia="宋体" w:cs="宋体"/>
          <w:color w:val="auto"/>
          <w:spacing w:val="5"/>
          <w:kern w:val="0"/>
          <w:sz w:val="30"/>
          <w:szCs w:val="30"/>
          <w:highlight w:val="none"/>
          <w:lang w:val="en-US" w:eastAsia="en-US"/>
        </w:rPr>
        <w:t>项目名称：许昌市建安区新城区站前水系十条道路环卫、</w:t>
      </w:r>
    </w:p>
    <w:p w14:paraId="66BC0F14">
      <w:pPr>
        <w:spacing w:line="360" w:lineRule="auto"/>
        <w:ind w:firstLine="2170" w:firstLineChars="700"/>
        <w:jc w:val="left"/>
        <w:rPr>
          <w:rFonts w:hint="eastAsia" w:ascii="宋体" w:hAnsi="宋体" w:eastAsia="宋体" w:cs="宋体"/>
          <w:color w:val="auto"/>
          <w:spacing w:val="5"/>
          <w:kern w:val="0"/>
          <w:sz w:val="30"/>
          <w:szCs w:val="30"/>
          <w:highlight w:val="none"/>
          <w:lang w:val="en-US" w:eastAsia="en-US"/>
        </w:rPr>
      </w:pPr>
      <w:r>
        <w:rPr>
          <w:rFonts w:hint="eastAsia" w:ascii="宋体" w:hAnsi="宋体" w:eastAsia="宋体" w:cs="宋体"/>
          <w:color w:val="auto"/>
          <w:spacing w:val="5"/>
          <w:kern w:val="0"/>
          <w:sz w:val="30"/>
          <w:szCs w:val="30"/>
          <w:highlight w:val="none"/>
          <w:lang w:val="en-US" w:eastAsia="en-US"/>
        </w:rPr>
        <w:t>绿化管护项目</w:t>
      </w:r>
    </w:p>
    <w:p w14:paraId="36184B79">
      <w:pPr>
        <w:spacing w:line="360" w:lineRule="auto"/>
        <w:ind w:firstLine="620" w:firstLineChars="200"/>
        <w:jc w:val="left"/>
        <w:rPr>
          <w:rFonts w:hint="eastAsia" w:ascii="宋体" w:hAnsi="宋体" w:eastAsia="宋体" w:cs="宋体"/>
          <w:color w:val="auto"/>
          <w:spacing w:val="5"/>
          <w:kern w:val="0"/>
          <w:sz w:val="30"/>
          <w:szCs w:val="30"/>
          <w:highlight w:val="none"/>
          <w:lang w:val="en-US" w:eastAsia="en-US"/>
        </w:rPr>
      </w:pPr>
      <w:r>
        <w:rPr>
          <w:rFonts w:hint="eastAsia" w:ascii="宋体" w:hAnsi="宋体" w:eastAsia="宋体" w:cs="宋体"/>
          <w:color w:val="auto"/>
          <w:spacing w:val="5"/>
          <w:kern w:val="0"/>
          <w:sz w:val="30"/>
          <w:szCs w:val="30"/>
          <w:highlight w:val="none"/>
          <w:lang w:val="en-US" w:eastAsia="en-US"/>
        </w:rPr>
        <w:t>采购单位：</w:t>
      </w:r>
      <w:r>
        <w:rPr>
          <w:rFonts w:hint="eastAsia" w:ascii="宋体" w:hAnsi="宋体" w:eastAsia="宋体" w:cs="宋体"/>
          <w:color w:val="auto"/>
          <w:spacing w:val="5"/>
          <w:kern w:val="0"/>
          <w:sz w:val="30"/>
          <w:szCs w:val="30"/>
          <w:highlight w:val="none"/>
          <w:lang w:val="en-US" w:eastAsia="zh-CN"/>
        </w:rPr>
        <w:t>许昌市</w:t>
      </w:r>
      <w:r>
        <w:rPr>
          <w:rFonts w:hint="eastAsia" w:ascii="宋体" w:hAnsi="宋体" w:eastAsia="宋体" w:cs="宋体"/>
          <w:color w:val="auto"/>
          <w:spacing w:val="5"/>
          <w:kern w:val="0"/>
          <w:sz w:val="30"/>
          <w:szCs w:val="30"/>
          <w:highlight w:val="none"/>
          <w:lang w:val="en-US" w:eastAsia="en-US"/>
        </w:rPr>
        <w:t>建安区城市管理局</w:t>
      </w:r>
    </w:p>
    <w:p w14:paraId="270DA43E">
      <w:pPr>
        <w:spacing w:line="360" w:lineRule="auto"/>
        <w:ind w:firstLine="620" w:firstLineChars="200"/>
        <w:jc w:val="left"/>
        <w:rPr>
          <w:rFonts w:hint="eastAsia" w:ascii="宋体" w:hAnsi="宋体" w:eastAsia="宋体" w:cs="宋体"/>
          <w:color w:val="auto"/>
          <w:spacing w:val="5"/>
          <w:kern w:val="0"/>
          <w:sz w:val="30"/>
          <w:szCs w:val="30"/>
          <w:highlight w:val="none"/>
          <w:lang w:val="en-US" w:eastAsia="en-US"/>
        </w:rPr>
      </w:pPr>
      <w:r>
        <w:rPr>
          <w:rFonts w:hint="eastAsia" w:ascii="宋体" w:hAnsi="宋体" w:eastAsia="宋体" w:cs="宋体"/>
          <w:color w:val="auto"/>
          <w:spacing w:val="5"/>
          <w:kern w:val="0"/>
          <w:sz w:val="30"/>
          <w:szCs w:val="30"/>
          <w:highlight w:val="none"/>
          <w:lang w:val="en-US" w:eastAsia="en-US"/>
        </w:rPr>
        <w:t>代理机构：河南</w:t>
      </w:r>
      <w:r>
        <w:rPr>
          <w:rFonts w:hint="eastAsia" w:ascii="宋体" w:hAnsi="宋体" w:eastAsia="宋体" w:cs="宋体"/>
          <w:color w:val="auto"/>
          <w:spacing w:val="5"/>
          <w:kern w:val="0"/>
          <w:sz w:val="30"/>
          <w:szCs w:val="30"/>
          <w:highlight w:val="none"/>
          <w:lang w:val="en-US" w:eastAsia="zh-CN"/>
        </w:rPr>
        <w:t>巨岩工程</w:t>
      </w:r>
      <w:r>
        <w:rPr>
          <w:rFonts w:hint="eastAsia" w:ascii="宋体" w:hAnsi="宋体" w:eastAsia="宋体" w:cs="宋体"/>
          <w:color w:val="auto"/>
          <w:spacing w:val="5"/>
          <w:kern w:val="0"/>
          <w:sz w:val="30"/>
          <w:szCs w:val="30"/>
          <w:highlight w:val="none"/>
          <w:lang w:val="en-US" w:eastAsia="en-US"/>
        </w:rPr>
        <w:t>管理有限公司</w:t>
      </w:r>
    </w:p>
    <w:p w14:paraId="68F91D53">
      <w:pPr>
        <w:spacing w:before="171" w:line="225" w:lineRule="auto"/>
        <w:ind w:left="3065"/>
        <w:rPr>
          <w:rFonts w:ascii="宋体" w:hAnsi="宋体" w:eastAsia="宋体" w:cs="宋体"/>
          <w:snapToGrid w:val="0"/>
          <w:color w:val="auto"/>
          <w:spacing w:val="7"/>
          <w:kern w:val="0"/>
          <w:sz w:val="31"/>
          <w:szCs w:val="31"/>
          <w:highlight w:val="none"/>
          <w:lang w:val="en-US" w:eastAsia="en-US" w:bidi="ar-SA"/>
        </w:rPr>
      </w:pPr>
      <w:r>
        <w:rPr>
          <w:rFonts w:ascii="宋体" w:hAnsi="宋体" w:eastAsia="宋体" w:cs="宋体"/>
          <w:snapToGrid w:val="0"/>
          <w:color w:val="auto"/>
          <w:spacing w:val="7"/>
          <w:kern w:val="0"/>
          <w:sz w:val="31"/>
          <w:szCs w:val="31"/>
          <w:highlight w:val="none"/>
          <w:lang w:val="en-US" w:eastAsia="en-US" w:bidi="ar-SA"/>
        </w:rPr>
        <w:t>二〇二六年</w:t>
      </w:r>
      <w:r>
        <w:rPr>
          <w:rFonts w:hint="eastAsia" w:ascii="宋体" w:hAnsi="宋体" w:eastAsia="宋体" w:cs="宋体"/>
          <w:snapToGrid w:val="0"/>
          <w:color w:val="auto"/>
          <w:spacing w:val="7"/>
          <w:kern w:val="0"/>
          <w:sz w:val="31"/>
          <w:szCs w:val="31"/>
          <w:highlight w:val="none"/>
          <w:lang w:val="en-US" w:eastAsia="zh-CN" w:bidi="ar-SA"/>
        </w:rPr>
        <w:t>七</w:t>
      </w:r>
      <w:r>
        <w:rPr>
          <w:rFonts w:ascii="宋体" w:hAnsi="宋体" w:eastAsia="宋体" w:cs="宋体"/>
          <w:snapToGrid w:val="0"/>
          <w:color w:val="auto"/>
          <w:spacing w:val="7"/>
          <w:kern w:val="0"/>
          <w:sz w:val="31"/>
          <w:szCs w:val="31"/>
          <w:highlight w:val="none"/>
          <w:lang w:val="en-US" w:eastAsia="en-US" w:bidi="ar-SA"/>
        </w:rPr>
        <w:t>月</w:t>
      </w:r>
    </w:p>
    <w:p w14:paraId="4A417B1A">
      <w:pPr>
        <w:spacing w:before="171" w:line="225" w:lineRule="auto"/>
        <w:ind w:left="3065"/>
        <w:rPr>
          <w:rFonts w:ascii="宋体" w:hAnsi="宋体" w:eastAsia="宋体" w:cs="宋体"/>
          <w:b/>
          <w:bCs/>
          <w:color w:val="auto"/>
          <w:spacing w:val="4"/>
          <w:sz w:val="35"/>
          <w:szCs w:val="35"/>
          <w:highlight w:val="none"/>
        </w:rPr>
        <w:sectPr>
          <w:footerReference r:id="rId5" w:type="default"/>
          <w:pgSz w:w="11906" w:h="16839"/>
          <w:pgMar w:top="1431" w:right="1785" w:bottom="1443" w:left="1785" w:header="0" w:footer="1202" w:gutter="0"/>
          <w:cols w:space="720" w:num="1"/>
        </w:sectPr>
      </w:pPr>
    </w:p>
    <w:p w14:paraId="0B665262">
      <w:pPr>
        <w:spacing w:before="171" w:line="225" w:lineRule="auto"/>
        <w:ind w:left="3065"/>
        <w:rPr>
          <w:rFonts w:ascii="宋体" w:hAnsi="宋体" w:eastAsia="宋体" w:cs="宋体"/>
          <w:color w:val="auto"/>
          <w:sz w:val="35"/>
          <w:szCs w:val="35"/>
          <w:highlight w:val="none"/>
        </w:rPr>
      </w:pPr>
      <w:r>
        <w:rPr>
          <w:rFonts w:ascii="宋体" w:hAnsi="宋体" w:eastAsia="宋体" w:cs="宋体"/>
          <w:b/>
          <w:bCs/>
          <w:color w:val="auto"/>
          <w:spacing w:val="4"/>
          <w:sz w:val="35"/>
          <w:szCs w:val="35"/>
          <w:highlight w:val="none"/>
        </w:rPr>
        <w:t>招标文件目录</w:t>
      </w:r>
    </w:p>
    <w:p w14:paraId="56A79BA2">
      <w:pPr>
        <w:pStyle w:val="5"/>
        <w:spacing w:line="315" w:lineRule="auto"/>
        <w:rPr>
          <w:color w:val="auto"/>
          <w:highlight w:val="none"/>
        </w:rPr>
      </w:pPr>
    </w:p>
    <w:p w14:paraId="72B3463A">
      <w:pPr>
        <w:pStyle w:val="5"/>
        <w:spacing w:line="316" w:lineRule="auto"/>
        <w:rPr>
          <w:color w:val="auto"/>
          <w:highlight w:val="none"/>
        </w:rPr>
      </w:pPr>
    </w:p>
    <w:p w14:paraId="672362FA">
      <w:pPr>
        <w:pStyle w:val="5"/>
        <w:spacing w:line="316" w:lineRule="auto"/>
        <w:rPr>
          <w:color w:val="auto"/>
          <w:highlight w:val="none"/>
        </w:rPr>
      </w:pPr>
    </w:p>
    <w:p w14:paraId="5EC7B307">
      <w:pPr>
        <w:spacing w:before="91" w:line="219" w:lineRule="auto"/>
        <w:ind w:left="363"/>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第一章</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磋商邀请</w:t>
      </w:r>
    </w:p>
    <w:p w14:paraId="6C290CD0">
      <w:pPr>
        <w:pStyle w:val="5"/>
        <w:spacing w:line="273" w:lineRule="auto"/>
        <w:rPr>
          <w:color w:val="auto"/>
          <w:highlight w:val="none"/>
        </w:rPr>
      </w:pPr>
    </w:p>
    <w:p w14:paraId="32D55ADC">
      <w:pPr>
        <w:spacing w:before="91" w:line="219" w:lineRule="auto"/>
        <w:ind w:left="363"/>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第二章</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采购需求</w:t>
      </w:r>
    </w:p>
    <w:p w14:paraId="7AFA0A0B">
      <w:pPr>
        <w:pStyle w:val="5"/>
        <w:spacing w:line="275" w:lineRule="auto"/>
        <w:rPr>
          <w:color w:val="auto"/>
          <w:highlight w:val="none"/>
        </w:rPr>
      </w:pPr>
    </w:p>
    <w:p w14:paraId="1C2BF345">
      <w:pPr>
        <w:spacing w:before="91" w:line="219" w:lineRule="auto"/>
        <w:ind w:left="373"/>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第三章</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供应商须知前附表</w:t>
      </w:r>
    </w:p>
    <w:p w14:paraId="220B86B3">
      <w:pPr>
        <w:pStyle w:val="5"/>
        <w:spacing w:line="275" w:lineRule="auto"/>
        <w:rPr>
          <w:color w:val="auto"/>
          <w:highlight w:val="none"/>
        </w:rPr>
      </w:pPr>
    </w:p>
    <w:p w14:paraId="0A0A6910">
      <w:pPr>
        <w:spacing w:before="92" w:line="219" w:lineRule="auto"/>
        <w:ind w:left="373"/>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第四章</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供应商须知</w:t>
      </w:r>
    </w:p>
    <w:p w14:paraId="1981D6BF">
      <w:pPr>
        <w:pStyle w:val="5"/>
        <w:spacing w:line="273" w:lineRule="auto"/>
        <w:rPr>
          <w:color w:val="auto"/>
          <w:highlight w:val="none"/>
        </w:rPr>
      </w:pPr>
    </w:p>
    <w:p w14:paraId="53D60CBB">
      <w:pPr>
        <w:spacing w:before="91" w:line="220" w:lineRule="auto"/>
        <w:ind w:left="377"/>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一、概念释义</w:t>
      </w:r>
    </w:p>
    <w:p w14:paraId="16F452C1">
      <w:pPr>
        <w:pStyle w:val="5"/>
        <w:spacing w:line="274" w:lineRule="auto"/>
        <w:rPr>
          <w:color w:val="auto"/>
          <w:highlight w:val="none"/>
        </w:rPr>
      </w:pPr>
    </w:p>
    <w:p w14:paraId="2B59888B">
      <w:pPr>
        <w:spacing w:before="92" w:line="220" w:lineRule="auto"/>
        <w:ind w:left="377"/>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二、磋商文件说明</w:t>
      </w:r>
    </w:p>
    <w:p w14:paraId="66F7259D">
      <w:pPr>
        <w:pStyle w:val="5"/>
        <w:spacing w:line="274" w:lineRule="auto"/>
        <w:rPr>
          <w:color w:val="auto"/>
          <w:highlight w:val="none"/>
        </w:rPr>
      </w:pPr>
    </w:p>
    <w:p w14:paraId="3CCCEF44">
      <w:pPr>
        <w:spacing w:before="91" w:line="220" w:lineRule="auto"/>
        <w:ind w:left="373"/>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三、响应文件的编制</w:t>
      </w:r>
    </w:p>
    <w:p w14:paraId="2FD3F7C6">
      <w:pPr>
        <w:pStyle w:val="5"/>
        <w:spacing w:line="272" w:lineRule="auto"/>
        <w:rPr>
          <w:color w:val="auto"/>
          <w:highlight w:val="none"/>
        </w:rPr>
      </w:pPr>
    </w:p>
    <w:p w14:paraId="28C3B446">
      <w:pPr>
        <w:spacing w:before="91" w:line="220" w:lineRule="auto"/>
        <w:ind w:left="399"/>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四、响应文件的递交</w:t>
      </w:r>
    </w:p>
    <w:p w14:paraId="7CE674F8">
      <w:pPr>
        <w:pStyle w:val="5"/>
        <w:spacing w:line="274" w:lineRule="auto"/>
        <w:rPr>
          <w:color w:val="auto"/>
          <w:highlight w:val="none"/>
        </w:rPr>
      </w:pPr>
    </w:p>
    <w:p w14:paraId="6C8A5BD3">
      <w:pPr>
        <w:spacing w:before="91" w:line="221" w:lineRule="auto"/>
        <w:ind w:left="377"/>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五、磋商和评审</w:t>
      </w:r>
    </w:p>
    <w:p w14:paraId="2B2ADB17">
      <w:pPr>
        <w:pStyle w:val="5"/>
        <w:spacing w:line="273" w:lineRule="auto"/>
        <w:rPr>
          <w:color w:val="auto"/>
          <w:highlight w:val="none"/>
        </w:rPr>
      </w:pPr>
    </w:p>
    <w:p w14:paraId="7A143A65">
      <w:pPr>
        <w:spacing w:before="92" w:line="219" w:lineRule="auto"/>
        <w:ind w:left="365"/>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六、确认成交供应商和授予合同</w:t>
      </w:r>
    </w:p>
    <w:p w14:paraId="360EA322">
      <w:pPr>
        <w:pStyle w:val="5"/>
        <w:spacing w:line="273" w:lineRule="auto"/>
        <w:rPr>
          <w:color w:val="auto"/>
          <w:highlight w:val="none"/>
        </w:rPr>
      </w:pPr>
    </w:p>
    <w:p w14:paraId="1D9A8B42">
      <w:pPr>
        <w:spacing w:before="92" w:line="219" w:lineRule="auto"/>
        <w:ind w:left="363"/>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第五章</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政府采购政策功能</w:t>
      </w:r>
    </w:p>
    <w:p w14:paraId="656D27A6">
      <w:pPr>
        <w:pStyle w:val="5"/>
        <w:spacing w:line="275" w:lineRule="auto"/>
        <w:rPr>
          <w:color w:val="auto"/>
          <w:highlight w:val="none"/>
        </w:rPr>
      </w:pPr>
    </w:p>
    <w:p w14:paraId="5BE46A08">
      <w:pPr>
        <w:spacing w:before="92" w:line="219" w:lineRule="auto"/>
        <w:ind w:left="363"/>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第六章</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对响应文件审查与评审</w:t>
      </w:r>
    </w:p>
    <w:p w14:paraId="0811C63B">
      <w:pPr>
        <w:pStyle w:val="5"/>
        <w:spacing w:line="275" w:lineRule="auto"/>
        <w:rPr>
          <w:color w:val="auto"/>
          <w:highlight w:val="none"/>
        </w:rPr>
      </w:pPr>
    </w:p>
    <w:p w14:paraId="74A34895">
      <w:pPr>
        <w:spacing w:before="92" w:line="219" w:lineRule="auto"/>
        <w:ind w:left="363"/>
        <w:outlineLvl w:val="0"/>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第七章</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合同条款及格式</w:t>
      </w:r>
    </w:p>
    <w:p w14:paraId="717930AC">
      <w:pPr>
        <w:pStyle w:val="5"/>
        <w:spacing w:line="273" w:lineRule="auto"/>
        <w:rPr>
          <w:color w:val="auto"/>
          <w:highlight w:val="none"/>
        </w:rPr>
      </w:pPr>
    </w:p>
    <w:p w14:paraId="757CE863">
      <w:pPr>
        <w:spacing w:before="91" w:line="219" w:lineRule="auto"/>
        <w:ind w:left="363"/>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第八章</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响应文件有关格式</w:t>
      </w:r>
    </w:p>
    <w:p w14:paraId="39EF6AC0">
      <w:pPr>
        <w:spacing w:line="219" w:lineRule="auto"/>
        <w:rPr>
          <w:rFonts w:ascii="宋体" w:hAnsi="宋体" w:eastAsia="宋体" w:cs="宋体"/>
          <w:color w:val="auto"/>
          <w:sz w:val="28"/>
          <w:szCs w:val="28"/>
          <w:highlight w:val="none"/>
        </w:rPr>
        <w:sectPr>
          <w:footerReference r:id="rId6" w:type="default"/>
          <w:pgSz w:w="11906" w:h="16839"/>
          <w:pgMar w:top="1431" w:right="1785" w:bottom="1443" w:left="1785" w:header="0" w:footer="1202" w:gutter="0"/>
          <w:pgNumType w:fmt="decimal" w:start="1"/>
          <w:cols w:space="720" w:num="1"/>
        </w:sectPr>
      </w:pPr>
    </w:p>
    <w:p w14:paraId="79A618FA">
      <w:pPr>
        <w:spacing w:before="71" w:line="224" w:lineRule="auto"/>
        <w:ind w:left="2927"/>
        <w:rPr>
          <w:rFonts w:ascii="宋体" w:hAnsi="宋体" w:eastAsia="宋体" w:cs="宋体"/>
          <w:color w:val="auto"/>
          <w:sz w:val="35"/>
          <w:szCs w:val="35"/>
          <w:highlight w:val="none"/>
        </w:rPr>
      </w:pPr>
      <w:r>
        <w:rPr>
          <w:rFonts w:ascii="宋体" w:hAnsi="宋体" w:eastAsia="宋体" w:cs="宋体"/>
          <w:b/>
          <w:bCs/>
          <w:color w:val="auto"/>
          <w:spacing w:val="5"/>
          <w:sz w:val="35"/>
          <w:szCs w:val="35"/>
          <w:highlight w:val="none"/>
        </w:rPr>
        <w:t>第一章</w:t>
      </w:r>
      <w:r>
        <w:rPr>
          <w:rFonts w:ascii="宋体" w:hAnsi="宋体" w:eastAsia="宋体" w:cs="宋体"/>
          <w:color w:val="auto"/>
          <w:spacing w:val="5"/>
          <w:sz w:val="35"/>
          <w:szCs w:val="35"/>
          <w:highlight w:val="none"/>
        </w:rPr>
        <w:t xml:space="preserve">  </w:t>
      </w:r>
      <w:r>
        <w:rPr>
          <w:rFonts w:hint="eastAsia" w:ascii="宋体" w:hAnsi="宋体" w:eastAsia="宋体" w:cs="宋体"/>
          <w:b/>
          <w:bCs/>
          <w:color w:val="auto"/>
          <w:spacing w:val="5"/>
          <w:sz w:val="35"/>
          <w:szCs w:val="35"/>
          <w:highlight w:val="none"/>
          <w:lang w:val="en-US" w:eastAsia="zh-CN"/>
        </w:rPr>
        <w:t>磋商</w:t>
      </w:r>
      <w:r>
        <w:rPr>
          <w:rFonts w:ascii="宋体" w:hAnsi="宋体" w:eastAsia="宋体" w:cs="宋体"/>
          <w:b/>
          <w:bCs/>
          <w:color w:val="auto"/>
          <w:spacing w:val="5"/>
          <w:sz w:val="35"/>
          <w:szCs w:val="35"/>
          <w:highlight w:val="none"/>
        </w:rPr>
        <w:t>邀请</w:t>
      </w:r>
    </w:p>
    <w:p w14:paraId="55FCE108">
      <w:pPr>
        <w:pStyle w:val="5"/>
        <w:spacing w:line="291" w:lineRule="auto"/>
        <w:rPr>
          <w:color w:val="auto"/>
          <w:highlight w:val="none"/>
        </w:rPr>
      </w:pPr>
    </w:p>
    <w:p w14:paraId="733B05CA">
      <w:pPr>
        <w:spacing w:before="161" w:line="338" w:lineRule="auto"/>
        <w:ind w:right="567" w:firstLine="484"/>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河南</w:t>
      </w:r>
      <w:r>
        <w:rPr>
          <w:rFonts w:hint="eastAsia" w:ascii="宋体" w:hAnsi="宋体" w:eastAsia="宋体" w:cs="宋体"/>
          <w:color w:val="auto"/>
          <w:spacing w:val="2"/>
          <w:sz w:val="24"/>
          <w:szCs w:val="24"/>
          <w:highlight w:val="none"/>
          <w:lang w:val="en-US" w:eastAsia="zh-CN"/>
        </w:rPr>
        <w:t>巨岩工程</w:t>
      </w:r>
      <w:r>
        <w:rPr>
          <w:rFonts w:ascii="宋体" w:hAnsi="宋体" w:eastAsia="宋体" w:cs="宋体"/>
          <w:color w:val="auto"/>
          <w:spacing w:val="2"/>
          <w:sz w:val="24"/>
          <w:szCs w:val="24"/>
          <w:highlight w:val="none"/>
        </w:rPr>
        <w:t>管理有限公司受</w:t>
      </w:r>
      <w:r>
        <w:rPr>
          <w:rFonts w:hint="eastAsia" w:ascii="宋体" w:hAnsi="宋体" w:eastAsia="宋体" w:cs="宋体"/>
          <w:color w:val="auto"/>
          <w:spacing w:val="2"/>
          <w:sz w:val="24"/>
          <w:szCs w:val="24"/>
          <w:highlight w:val="none"/>
          <w:lang w:eastAsia="zh-CN"/>
        </w:rPr>
        <w:t>许昌市</w:t>
      </w:r>
      <w:r>
        <w:rPr>
          <w:rFonts w:hint="eastAsia" w:ascii="宋体" w:hAnsi="宋体" w:eastAsia="宋体" w:cs="宋体"/>
          <w:color w:val="auto"/>
          <w:spacing w:val="2"/>
          <w:sz w:val="24"/>
          <w:szCs w:val="24"/>
          <w:highlight w:val="none"/>
        </w:rPr>
        <w:t>建安区城市管理局</w:t>
      </w:r>
      <w:r>
        <w:rPr>
          <w:rFonts w:ascii="宋体" w:hAnsi="宋体" w:eastAsia="宋体" w:cs="宋体"/>
          <w:color w:val="auto"/>
          <w:spacing w:val="2"/>
          <w:sz w:val="24"/>
          <w:szCs w:val="24"/>
          <w:highlight w:val="none"/>
        </w:rPr>
        <w:t>的委托，对“</w:t>
      </w:r>
      <w:r>
        <w:rPr>
          <w:rFonts w:hint="eastAsia" w:ascii="宋体" w:hAnsi="宋体" w:eastAsia="宋体" w:cs="宋体"/>
          <w:color w:val="auto"/>
          <w:spacing w:val="2"/>
          <w:sz w:val="24"/>
          <w:szCs w:val="24"/>
          <w:highlight w:val="none"/>
        </w:rPr>
        <w:t>许昌市建安区新城区站前水系十条道路环卫、绿化管护项目</w:t>
      </w:r>
      <w:r>
        <w:rPr>
          <w:rFonts w:ascii="宋体" w:hAnsi="宋体" w:eastAsia="宋体" w:cs="宋体"/>
          <w:color w:val="auto"/>
          <w:spacing w:val="2"/>
          <w:sz w:val="24"/>
          <w:szCs w:val="24"/>
          <w:highlight w:val="none"/>
        </w:rPr>
        <w:t>”进行竞争性磋商采购。现邀请符合本磋商文件规定条件的供应商前来磋商。</w:t>
      </w:r>
    </w:p>
    <w:p w14:paraId="7A01954D">
      <w:pPr>
        <w:spacing w:line="218" w:lineRule="auto"/>
        <w:ind w:left="5"/>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一、项目基本情况</w:t>
      </w:r>
    </w:p>
    <w:p w14:paraId="4DCF51C6">
      <w:pPr>
        <w:spacing w:before="157" w:line="219" w:lineRule="auto"/>
        <w:ind w:left="49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1、项目编号：建安政采竞磋商字〔202</w:t>
      </w:r>
      <w:r>
        <w:rPr>
          <w:rFonts w:ascii="宋体" w:hAnsi="宋体" w:eastAsia="宋体" w:cs="宋体"/>
          <w:color w:val="auto"/>
          <w:spacing w:val="-2"/>
          <w:sz w:val="24"/>
          <w:szCs w:val="24"/>
          <w:highlight w:val="none"/>
        </w:rPr>
        <w:t>6〕</w:t>
      </w:r>
      <w:r>
        <w:rPr>
          <w:rFonts w:hint="eastAsia" w:ascii="宋体" w:hAnsi="宋体" w:eastAsia="宋体" w:cs="宋体"/>
          <w:color w:val="auto"/>
          <w:spacing w:val="-2"/>
          <w:sz w:val="24"/>
          <w:szCs w:val="24"/>
          <w:highlight w:val="none"/>
          <w:lang w:val="en-US" w:eastAsia="zh-CN"/>
        </w:rPr>
        <w:t>21</w:t>
      </w:r>
      <w:r>
        <w:rPr>
          <w:rFonts w:ascii="宋体" w:hAnsi="宋体" w:eastAsia="宋体" w:cs="宋体"/>
          <w:color w:val="auto"/>
          <w:spacing w:val="-2"/>
          <w:sz w:val="24"/>
          <w:szCs w:val="24"/>
          <w:highlight w:val="none"/>
        </w:rPr>
        <w:t>号</w:t>
      </w:r>
    </w:p>
    <w:p w14:paraId="4C1B5648">
      <w:pPr>
        <w:spacing w:before="154" w:line="219" w:lineRule="auto"/>
        <w:ind w:left="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2、项目名称：</w:t>
      </w:r>
      <w:r>
        <w:rPr>
          <w:rFonts w:hint="eastAsia" w:ascii="宋体" w:hAnsi="宋体" w:eastAsia="宋体" w:cs="宋体"/>
          <w:color w:val="auto"/>
          <w:spacing w:val="2"/>
          <w:sz w:val="24"/>
          <w:szCs w:val="24"/>
          <w:highlight w:val="none"/>
        </w:rPr>
        <w:t>许昌市建安区新城区站前水系十条道路环卫、绿化管护项目</w:t>
      </w:r>
    </w:p>
    <w:p w14:paraId="52620303">
      <w:pPr>
        <w:spacing w:before="155" w:line="219" w:lineRule="auto"/>
        <w:ind w:left="48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3、采购方式：竞争性磋商</w:t>
      </w:r>
    </w:p>
    <w:p w14:paraId="7A09E446">
      <w:pPr>
        <w:spacing w:before="158" w:line="219" w:lineRule="auto"/>
        <w:ind w:left="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4、预算金额：</w:t>
      </w:r>
      <w:r>
        <w:rPr>
          <w:rFonts w:hint="eastAsia" w:ascii="宋体" w:hAnsi="宋体" w:eastAsia="宋体" w:cs="宋体"/>
          <w:color w:val="auto"/>
          <w:spacing w:val="-1"/>
          <w:sz w:val="24"/>
          <w:szCs w:val="24"/>
          <w:highlight w:val="none"/>
          <w:lang w:val="en-US" w:eastAsia="zh-CN"/>
        </w:rPr>
        <w:t>1624261.5</w:t>
      </w:r>
      <w:r>
        <w:rPr>
          <w:rFonts w:ascii="宋体" w:hAnsi="宋体" w:eastAsia="宋体" w:cs="宋体"/>
          <w:color w:val="auto"/>
          <w:spacing w:val="-1"/>
          <w:sz w:val="24"/>
          <w:szCs w:val="24"/>
          <w:highlight w:val="none"/>
        </w:rPr>
        <w:t>元</w:t>
      </w:r>
      <w:r>
        <w:rPr>
          <w:rFonts w:hint="eastAsia" w:ascii="宋体" w:hAnsi="宋体" w:eastAsia="宋体" w:cs="宋体"/>
          <w:color w:val="auto"/>
          <w:spacing w:val="-1"/>
          <w:sz w:val="24"/>
          <w:szCs w:val="24"/>
          <w:highlight w:val="none"/>
          <w:lang w:val="en-US" w:eastAsia="zh-CN"/>
        </w:rPr>
        <w:t>/三年</w:t>
      </w:r>
      <w:r>
        <w:rPr>
          <w:rFonts w:ascii="宋体" w:hAnsi="宋体" w:eastAsia="宋体" w:cs="宋体"/>
          <w:color w:val="auto"/>
          <w:spacing w:val="-1"/>
          <w:sz w:val="24"/>
          <w:szCs w:val="24"/>
          <w:highlight w:val="none"/>
        </w:rPr>
        <w:t>（财政资金）</w:t>
      </w:r>
    </w:p>
    <w:p w14:paraId="5C718D1C">
      <w:pPr>
        <w:spacing w:before="154" w:line="218" w:lineRule="auto"/>
        <w:ind w:left="844"/>
        <w:rPr>
          <w:rFonts w:hint="default" w:ascii="宋体" w:hAnsi="宋体" w:eastAsia="宋体" w:cs="宋体"/>
          <w:color w:val="auto"/>
          <w:sz w:val="24"/>
          <w:szCs w:val="24"/>
          <w:highlight w:val="none"/>
          <w:lang w:val="en-US" w:eastAsia="zh-CN"/>
        </w:rPr>
      </w:pPr>
      <w:r>
        <w:rPr>
          <w:rFonts w:ascii="宋体" w:hAnsi="宋体" w:eastAsia="宋体" w:cs="宋体"/>
          <w:color w:val="auto"/>
          <w:spacing w:val="-1"/>
          <w:sz w:val="24"/>
          <w:szCs w:val="24"/>
          <w:highlight w:val="none"/>
        </w:rPr>
        <w:t>最高限价：</w:t>
      </w:r>
      <w:r>
        <w:rPr>
          <w:rFonts w:hint="eastAsia" w:ascii="宋体" w:hAnsi="宋体" w:eastAsia="宋体" w:cs="宋体"/>
          <w:color w:val="auto"/>
          <w:spacing w:val="-1"/>
          <w:sz w:val="24"/>
          <w:szCs w:val="24"/>
          <w:highlight w:val="none"/>
          <w:lang w:val="en-US" w:eastAsia="zh-CN"/>
        </w:rPr>
        <w:t>1624261.5</w:t>
      </w:r>
      <w:r>
        <w:rPr>
          <w:rFonts w:ascii="宋体" w:hAnsi="宋体" w:eastAsia="宋体" w:cs="宋体"/>
          <w:color w:val="auto"/>
          <w:spacing w:val="-1"/>
          <w:sz w:val="24"/>
          <w:szCs w:val="24"/>
          <w:highlight w:val="none"/>
        </w:rPr>
        <w:t>元</w:t>
      </w:r>
      <w:r>
        <w:rPr>
          <w:rFonts w:hint="eastAsia" w:ascii="宋体" w:hAnsi="宋体" w:eastAsia="宋体" w:cs="宋体"/>
          <w:color w:val="auto"/>
          <w:spacing w:val="-1"/>
          <w:sz w:val="24"/>
          <w:szCs w:val="24"/>
          <w:highlight w:val="none"/>
          <w:lang w:val="en-US" w:eastAsia="zh-CN"/>
        </w:rPr>
        <w:t>/三年</w:t>
      </w:r>
    </w:p>
    <w:p w14:paraId="26B1D081">
      <w:pPr>
        <w:spacing w:before="155" w:line="219" w:lineRule="auto"/>
        <w:ind w:left="48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5、采购需求（项目主要内容、数量及要求）</w:t>
      </w:r>
    </w:p>
    <w:p w14:paraId="26DFB747">
      <w:pPr>
        <w:spacing w:before="161" w:line="338" w:lineRule="auto"/>
        <w:ind w:right="567" w:firstLine="484"/>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rPr>
        <w:t>许昌市建安区新城区站前水系十条道路环卫、绿化管护项目</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主要包括</w:t>
      </w:r>
      <w:r>
        <w:rPr>
          <w:rFonts w:hint="eastAsia" w:ascii="宋体" w:hAnsi="宋体" w:eastAsia="宋体" w:cs="宋体"/>
          <w:color w:val="auto"/>
          <w:spacing w:val="2"/>
          <w:sz w:val="24"/>
          <w:szCs w:val="24"/>
          <w:highlight w:val="none"/>
        </w:rPr>
        <w:t>站前水系片区10条市政四级道路，机扫作业总里程7004</w:t>
      </w:r>
      <w:r>
        <w:rPr>
          <w:rFonts w:hint="eastAsia" w:ascii="宋体" w:hAnsi="宋体" w:eastAsia="宋体" w:cs="宋体"/>
          <w:color w:val="auto"/>
          <w:spacing w:val="2"/>
          <w:sz w:val="24"/>
          <w:szCs w:val="24"/>
          <w:highlight w:val="none"/>
          <w:lang w:val="en-US" w:eastAsia="zh-CN"/>
        </w:rPr>
        <w:t>m</w:t>
      </w:r>
      <w:r>
        <w:rPr>
          <w:rFonts w:hint="eastAsia" w:ascii="宋体" w:hAnsi="宋体" w:eastAsia="宋体" w:cs="宋体"/>
          <w:color w:val="auto"/>
          <w:spacing w:val="2"/>
          <w:sz w:val="24"/>
          <w:szCs w:val="24"/>
          <w:highlight w:val="none"/>
        </w:rPr>
        <w:t>，绿化管护总面积11044㎡</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道路总面积</w:t>
      </w:r>
      <w:r>
        <w:rPr>
          <w:rFonts w:hint="eastAsia" w:ascii="宋体" w:hAnsi="宋体" w:eastAsia="宋体" w:cs="宋体"/>
          <w:color w:val="auto"/>
          <w:spacing w:val="2"/>
          <w:sz w:val="24"/>
          <w:szCs w:val="24"/>
          <w:highlight w:val="none"/>
          <w:lang w:eastAsia="zh-CN"/>
        </w:rPr>
        <w:t>144594.2</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eastAsia="zh-CN"/>
        </w:rPr>
        <w:t>。</w:t>
      </w:r>
    </w:p>
    <w:p w14:paraId="34CB844D">
      <w:pPr>
        <w:spacing w:before="157" w:line="219" w:lineRule="auto"/>
        <w:ind w:left="499"/>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6、</w:t>
      </w:r>
      <w:r>
        <w:rPr>
          <w:rFonts w:hint="eastAsia" w:ascii="宋体" w:hAnsi="宋体" w:eastAsia="宋体" w:cs="宋体"/>
          <w:color w:val="auto"/>
          <w:spacing w:val="-1"/>
          <w:sz w:val="24"/>
          <w:szCs w:val="24"/>
          <w:highlight w:val="none"/>
          <w:lang w:val="en-US" w:eastAsia="en-US"/>
        </w:rPr>
        <w:t>合同履行期限：自合同签订之日起服务期三年</w:t>
      </w:r>
    </w:p>
    <w:p w14:paraId="43F73524">
      <w:pPr>
        <w:spacing w:before="157" w:line="219" w:lineRule="auto"/>
        <w:ind w:left="499"/>
        <w:rPr>
          <w:rFonts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7</w:t>
      </w:r>
      <w:r>
        <w:rPr>
          <w:rFonts w:ascii="宋体" w:hAnsi="宋体" w:eastAsia="宋体" w:cs="宋体"/>
          <w:color w:val="auto"/>
          <w:spacing w:val="-1"/>
          <w:sz w:val="24"/>
          <w:szCs w:val="24"/>
          <w:highlight w:val="none"/>
        </w:rPr>
        <w:t>、本项目是否接受联合体投标：否</w:t>
      </w:r>
    </w:p>
    <w:p w14:paraId="0632192B">
      <w:pPr>
        <w:spacing w:before="157" w:line="219" w:lineRule="auto"/>
        <w:ind w:left="499"/>
        <w:rPr>
          <w:rFonts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8</w:t>
      </w:r>
      <w:r>
        <w:rPr>
          <w:rFonts w:ascii="宋体" w:hAnsi="宋体" w:eastAsia="宋体" w:cs="宋体"/>
          <w:color w:val="auto"/>
          <w:spacing w:val="-1"/>
          <w:sz w:val="24"/>
          <w:szCs w:val="24"/>
          <w:highlight w:val="none"/>
        </w:rPr>
        <w:t>、是否接受进口产品：否</w:t>
      </w:r>
    </w:p>
    <w:p w14:paraId="61ECB9BD">
      <w:pPr>
        <w:spacing w:before="157" w:line="219" w:lineRule="auto"/>
        <w:ind w:left="499"/>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9、是否专门面向中小企业：是</w:t>
      </w:r>
    </w:p>
    <w:p w14:paraId="4AECA358">
      <w:pPr>
        <w:spacing w:before="153" w:line="219" w:lineRule="auto"/>
        <w:ind w:left="5"/>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二、供应商资格要求：</w:t>
      </w:r>
    </w:p>
    <w:p w14:paraId="40AB74EB">
      <w:pPr>
        <w:spacing w:before="154" w:line="219" w:lineRule="auto"/>
        <w:ind w:left="49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1、满足《中华人民共和国政府采购法》第二十二条</w:t>
      </w:r>
      <w:r>
        <w:rPr>
          <w:rFonts w:ascii="宋体" w:hAnsi="宋体" w:eastAsia="宋体" w:cs="宋体"/>
          <w:color w:val="auto"/>
          <w:spacing w:val="-2"/>
          <w:sz w:val="24"/>
          <w:szCs w:val="24"/>
          <w:highlight w:val="none"/>
        </w:rPr>
        <w:t>规定；</w:t>
      </w:r>
    </w:p>
    <w:p w14:paraId="26FD05A5">
      <w:pPr>
        <w:spacing w:before="157" w:line="219" w:lineRule="auto"/>
        <w:ind w:left="484"/>
        <w:rPr>
          <w:rFonts w:ascii="宋体" w:hAnsi="宋体" w:eastAsia="宋体" w:cs="宋体"/>
          <w:color w:val="auto"/>
          <w:spacing w:val="-20"/>
          <w:sz w:val="24"/>
          <w:szCs w:val="24"/>
          <w:highlight w:val="none"/>
        </w:rPr>
      </w:pPr>
      <w:r>
        <w:rPr>
          <w:rFonts w:ascii="宋体" w:hAnsi="宋体" w:eastAsia="宋体" w:cs="宋体"/>
          <w:color w:val="auto"/>
          <w:spacing w:val="-20"/>
          <w:sz w:val="24"/>
          <w:szCs w:val="24"/>
          <w:highlight w:val="none"/>
        </w:rPr>
        <w:t>2、落实政府采购政策满足的资格要求：本项目属于专门面向中小</w:t>
      </w:r>
      <w:r>
        <w:rPr>
          <w:rFonts w:hint="eastAsia" w:ascii="宋体" w:hAnsi="宋体" w:eastAsia="宋体" w:cs="宋体"/>
          <w:color w:val="auto"/>
          <w:spacing w:val="-20"/>
          <w:sz w:val="24"/>
          <w:szCs w:val="24"/>
          <w:highlight w:val="none"/>
          <w:lang w:val="en-US" w:eastAsia="zh-CN"/>
        </w:rPr>
        <w:t>微</w:t>
      </w:r>
      <w:r>
        <w:rPr>
          <w:rFonts w:ascii="宋体" w:hAnsi="宋体" w:eastAsia="宋体" w:cs="宋体"/>
          <w:color w:val="auto"/>
          <w:spacing w:val="-20"/>
          <w:sz w:val="24"/>
          <w:szCs w:val="24"/>
          <w:highlight w:val="none"/>
        </w:rPr>
        <w:t>企业采购的项目；</w:t>
      </w:r>
    </w:p>
    <w:p w14:paraId="4C23ED11">
      <w:pPr>
        <w:spacing w:before="154" w:line="339" w:lineRule="auto"/>
        <w:ind w:left="5" w:right="61" w:firstLine="480"/>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3、本项目的特定资格要求：</w:t>
      </w:r>
      <w:r>
        <w:rPr>
          <w:rFonts w:hint="eastAsia" w:ascii="宋体" w:hAnsi="宋体" w:eastAsia="宋体" w:cs="宋体"/>
          <w:color w:val="auto"/>
          <w:sz w:val="24"/>
          <w:szCs w:val="24"/>
          <w:highlight w:val="none"/>
          <w:lang w:val="en-US" w:eastAsia="zh-CN"/>
        </w:rPr>
        <w:t>无</w:t>
      </w:r>
    </w:p>
    <w:p w14:paraId="468A01C1">
      <w:pPr>
        <w:spacing w:before="1" w:line="218" w:lineRule="auto"/>
        <w:ind w:left="1"/>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三、获取</w:t>
      </w:r>
      <w:r>
        <w:rPr>
          <w:rFonts w:hint="eastAsia" w:ascii="宋体" w:hAnsi="宋体" w:eastAsia="宋体" w:cs="宋体"/>
          <w:b/>
          <w:bCs/>
          <w:color w:val="auto"/>
          <w:spacing w:val="-3"/>
          <w:sz w:val="24"/>
          <w:szCs w:val="24"/>
          <w:highlight w:val="none"/>
          <w:lang w:val="en-US" w:eastAsia="zh-CN"/>
        </w:rPr>
        <w:t>磋商</w:t>
      </w:r>
      <w:r>
        <w:rPr>
          <w:rFonts w:ascii="宋体" w:hAnsi="宋体" w:eastAsia="宋体" w:cs="宋体"/>
          <w:b/>
          <w:bCs/>
          <w:color w:val="auto"/>
          <w:spacing w:val="-3"/>
          <w:sz w:val="24"/>
          <w:szCs w:val="24"/>
          <w:highlight w:val="none"/>
        </w:rPr>
        <w:t>文件</w:t>
      </w:r>
    </w:p>
    <w:p w14:paraId="59C52AF9">
      <w:pPr>
        <w:spacing w:before="155" w:line="339" w:lineRule="auto"/>
        <w:ind w:left="19" w:right="61" w:firstLine="480"/>
        <w:rPr>
          <w:rFonts w:ascii="宋体" w:hAnsi="宋体" w:eastAsia="宋体" w:cs="宋体"/>
          <w:color w:val="auto"/>
          <w:spacing w:val="20"/>
          <w:sz w:val="24"/>
          <w:szCs w:val="24"/>
          <w:highlight w:val="none"/>
        </w:rPr>
      </w:pPr>
      <w:r>
        <w:rPr>
          <w:rFonts w:ascii="宋体" w:hAnsi="宋体" w:eastAsia="宋体" w:cs="宋体"/>
          <w:color w:val="auto"/>
          <w:spacing w:val="20"/>
          <w:sz w:val="24"/>
          <w:szCs w:val="24"/>
          <w:highlight w:val="none"/>
        </w:rPr>
        <w:t>1.时间：2026年</w:t>
      </w:r>
      <w:r>
        <w:rPr>
          <w:rFonts w:hint="eastAsia" w:ascii="宋体" w:hAnsi="宋体" w:eastAsia="宋体" w:cs="宋体"/>
          <w:color w:val="auto"/>
          <w:spacing w:val="20"/>
          <w:sz w:val="24"/>
          <w:szCs w:val="24"/>
          <w:highlight w:val="none"/>
          <w:lang w:val="en-US" w:eastAsia="zh-CN"/>
        </w:rPr>
        <w:t>7</w:t>
      </w:r>
      <w:r>
        <w:rPr>
          <w:rFonts w:ascii="宋体" w:hAnsi="宋体" w:eastAsia="宋体" w:cs="宋体"/>
          <w:color w:val="auto"/>
          <w:spacing w:val="20"/>
          <w:sz w:val="24"/>
          <w:szCs w:val="24"/>
          <w:highlight w:val="none"/>
        </w:rPr>
        <w:t>月</w:t>
      </w:r>
      <w:r>
        <w:rPr>
          <w:rFonts w:hint="eastAsia" w:ascii="宋体" w:hAnsi="宋体" w:eastAsia="宋体" w:cs="宋体"/>
          <w:color w:val="auto"/>
          <w:spacing w:val="20"/>
          <w:sz w:val="24"/>
          <w:szCs w:val="24"/>
          <w:highlight w:val="none"/>
          <w:lang w:val="en-US" w:eastAsia="zh-CN"/>
        </w:rPr>
        <w:t>15</w:t>
      </w:r>
      <w:r>
        <w:rPr>
          <w:rFonts w:ascii="宋体" w:hAnsi="宋体" w:eastAsia="宋体" w:cs="宋体"/>
          <w:color w:val="auto"/>
          <w:spacing w:val="20"/>
          <w:sz w:val="24"/>
          <w:szCs w:val="24"/>
          <w:highlight w:val="none"/>
        </w:rPr>
        <w:t>日至2026年</w:t>
      </w:r>
      <w:r>
        <w:rPr>
          <w:rFonts w:hint="eastAsia" w:ascii="宋体" w:hAnsi="宋体" w:eastAsia="宋体" w:cs="宋体"/>
          <w:color w:val="auto"/>
          <w:spacing w:val="20"/>
          <w:sz w:val="24"/>
          <w:szCs w:val="24"/>
          <w:highlight w:val="none"/>
          <w:lang w:val="en-US" w:eastAsia="zh-CN"/>
        </w:rPr>
        <w:t>7</w:t>
      </w:r>
      <w:r>
        <w:rPr>
          <w:rFonts w:ascii="宋体" w:hAnsi="宋体" w:eastAsia="宋体" w:cs="宋体"/>
          <w:color w:val="auto"/>
          <w:spacing w:val="20"/>
          <w:sz w:val="24"/>
          <w:szCs w:val="24"/>
          <w:highlight w:val="none"/>
        </w:rPr>
        <w:t>月</w:t>
      </w:r>
      <w:r>
        <w:rPr>
          <w:rFonts w:hint="eastAsia" w:ascii="宋体" w:hAnsi="宋体" w:eastAsia="宋体" w:cs="宋体"/>
          <w:color w:val="auto"/>
          <w:spacing w:val="20"/>
          <w:sz w:val="24"/>
          <w:szCs w:val="24"/>
          <w:highlight w:val="none"/>
          <w:lang w:val="en-US" w:eastAsia="zh-CN"/>
        </w:rPr>
        <w:t>27</w:t>
      </w:r>
      <w:r>
        <w:rPr>
          <w:rFonts w:ascii="宋体" w:hAnsi="宋体" w:eastAsia="宋体" w:cs="宋体"/>
          <w:color w:val="auto"/>
          <w:spacing w:val="20"/>
          <w:sz w:val="24"/>
          <w:szCs w:val="24"/>
          <w:highlight w:val="none"/>
        </w:rPr>
        <w:t>日，每天上午00:00至12:00，下午12:00至23:59（北京时间，法定节假日除外）。</w:t>
      </w:r>
    </w:p>
    <w:p w14:paraId="2E9BA17D">
      <w:pPr>
        <w:spacing w:before="2" w:line="298" w:lineRule="auto"/>
        <w:ind w:left="20" w:right="61" w:firstLine="46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2.地点：即日起至投标截止时间，供应商使用</w:t>
      </w:r>
      <w:r>
        <w:rPr>
          <w:rFonts w:ascii="宋体" w:hAnsi="宋体" w:eastAsia="宋体" w:cs="宋体"/>
          <w:color w:val="auto"/>
          <w:sz w:val="24"/>
          <w:szCs w:val="24"/>
          <w:highlight w:val="none"/>
        </w:rPr>
        <w:t>CA</w:t>
      </w:r>
      <w:r>
        <w:rPr>
          <w:rFonts w:ascii="宋体" w:hAnsi="宋体" w:eastAsia="宋体" w:cs="宋体"/>
          <w:color w:val="auto"/>
          <w:spacing w:val="-49"/>
          <w:sz w:val="24"/>
          <w:szCs w:val="24"/>
          <w:highlight w:val="none"/>
        </w:rPr>
        <w:t xml:space="preserve"> </w:t>
      </w:r>
      <w:r>
        <w:rPr>
          <w:rFonts w:ascii="宋体" w:hAnsi="宋体" w:eastAsia="宋体" w:cs="宋体"/>
          <w:color w:val="auto"/>
          <w:spacing w:val="1"/>
          <w:sz w:val="24"/>
          <w:szCs w:val="24"/>
          <w:highlight w:val="none"/>
        </w:rPr>
        <w:t>数字证书从《全国公共资源交易平</w:t>
      </w:r>
      <w:r>
        <w:rPr>
          <w:rFonts w:ascii="宋体" w:hAnsi="宋体" w:eastAsia="宋体" w:cs="宋体"/>
          <w:color w:val="auto"/>
          <w:sz w:val="24"/>
          <w:szCs w:val="24"/>
          <w:highlight w:val="none"/>
        </w:rPr>
        <w:t>台（河南省·许昌市）》（</w:t>
      </w:r>
      <w:r>
        <w:rPr>
          <w:color w:val="auto"/>
          <w:highlight w:val="none"/>
        </w:rPr>
        <w:fldChar w:fldCharType="begin"/>
      </w:r>
      <w:r>
        <w:rPr>
          <w:color w:val="auto"/>
          <w:highlight w:val="none"/>
        </w:rPr>
        <w:instrText xml:space="preserve"> HYPERLINK "https://ggzy.xuchang.gov.cn" </w:instrText>
      </w:r>
      <w:r>
        <w:rPr>
          <w:color w:val="auto"/>
          <w:highlight w:val="none"/>
        </w:rPr>
        <w:fldChar w:fldCharType="separate"/>
      </w:r>
      <w:r>
        <w:rPr>
          <w:rFonts w:ascii="宋体" w:hAnsi="宋体" w:eastAsia="宋体" w:cs="宋体"/>
          <w:color w:val="auto"/>
          <w:sz w:val="24"/>
          <w:szCs w:val="24"/>
          <w:highlight w:val="none"/>
        </w:rPr>
        <w:t>https://gg</w:t>
      </w:r>
      <w:r>
        <w:rPr>
          <w:rFonts w:ascii="宋体" w:hAnsi="宋体" w:eastAsia="宋体" w:cs="宋体"/>
          <w:color w:val="auto"/>
          <w:spacing w:val="-1"/>
          <w:sz w:val="24"/>
          <w:szCs w:val="24"/>
          <w:highlight w:val="none"/>
        </w:rPr>
        <w:t>zy.xuchang.gov.cn</w:t>
      </w:r>
      <w:r>
        <w:rPr>
          <w:rFonts w:ascii="宋体" w:hAnsi="宋体" w:eastAsia="宋体" w:cs="宋体"/>
          <w:color w:val="auto"/>
          <w:spacing w:val="-1"/>
          <w:sz w:val="24"/>
          <w:szCs w:val="24"/>
          <w:highlight w:val="none"/>
        </w:rPr>
        <w:fldChar w:fldCharType="end"/>
      </w:r>
      <w:r>
        <w:rPr>
          <w:rFonts w:ascii="宋体" w:hAnsi="宋体" w:eastAsia="宋体" w:cs="宋体"/>
          <w:color w:val="auto"/>
          <w:spacing w:val="-1"/>
          <w:sz w:val="24"/>
          <w:szCs w:val="24"/>
          <w:highlight w:val="none"/>
        </w:rPr>
        <w:t>）的“投标人”入口登录后免</w:t>
      </w:r>
    </w:p>
    <w:p w14:paraId="22BE22BC">
      <w:pPr>
        <w:spacing w:before="155" w:line="219" w:lineRule="auto"/>
        <w:ind w:left="1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费获取本项目招标文件。</w:t>
      </w:r>
    </w:p>
    <w:p w14:paraId="32507F7E">
      <w:pPr>
        <w:spacing w:before="155" w:line="220" w:lineRule="auto"/>
        <w:ind w:left="48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3.方式：在线下载。</w:t>
      </w:r>
    </w:p>
    <w:p w14:paraId="492F0803">
      <w:pPr>
        <w:spacing w:before="152" w:line="218" w:lineRule="auto"/>
        <w:ind w:left="48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4.售价：0</w:t>
      </w:r>
      <w:r>
        <w:rPr>
          <w:rFonts w:ascii="宋体" w:hAnsi="宋体" w:eastAsia="宋体" w:cs="宋体"/>
          <w:color w:val="auto"/>
          <w:spacing w:val="-46"/>
          <w:sz w:val="24"/>
          <w:szCs w:val="24"/>
          <w:highlight w:val="none"/>
        </w:rPr>
        <w:t xml:space="preserve"> </w:t>
      </w:r>
      <w:r>
        <w:rPr>
          <w:rFonts w:ascii="宋体" w:hAnsi="宋体" w:eastAsia="宋体" w:cs="宋体"/>
          <w:color w:val="auto"/>
          <w:spacing w:val="-3"/>
          <w:sz w:val="24"/>
          <w:szCs w:val="24"/>
          <w:highlight w:val="none"/>
        </w:rPr>
        <w:t>元。</w:t>
      </w:r>
    </w:p>
    <w:p w14:paraId="20C391B8">
      <w:pPr>
        <w:spacing w:before="158" w:line="219" w:lineRule="auto"/>
        <w:ind w:left="24"/>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四、响应文件提交</w:t>
      </w:r>
    </w:p>
    <w:p w14:paraId="6E9539DB">
      <w:pPr>
        <w:spacing w:before="155" w:line="219" w:lineRule="auto"/>
        <w:ind w:left="499"/>
        <w:rPr>
          <w:rFonts w:ascii="宋体" w:hAnsi="宋体" w:eastAsia="宋体" w:cs="宋体"/>
          <w:color w:val="auto"/>
          <w:spacing w:val="20"/>
          <w:sz w:val="24"/>
          <w:szCs w:val="24"/>
          <w:highlight w:val="none"/>
        </w:rPr>
      </w:pPr>
      <w:r>
        <w:rPr>
          <w:rFonts w:ascii="宋体" w:hAnsi="宋体" w:eastAsia="宋体" w:cs="宋体"/>
          <w:color w:val="auto"/>
          <w:spacing w:val="20"/>
          <w:sz w:val="24"/>
          <w:szCs w:val="24"/>
          <w:highlight w:val="none"/>
        </w:rPr>
        <w:t>1.截止时间：2026年</w:t>
      </w:r>
      <w:r>
        <w:rPr>
          <w:rFonts w:hint="eastAsia" w:ascii="宋体" w:hAnsi="宋体" w:eastAsia="宋体" w:cs="宋体"/>
          <w:color w:val="auto"/>
          <w:spacing w:val="20"/>
          <w:sz w:val="24"/>
          <w:szCs w:val="24"/>
          <w:highlight w:val="none"/>
          <w:lang w:val="en-US" w:eastAsia="zh-CN"/>
        </w:rPr>
        <w:t>7</w:t>
      </w:r>
      <w:r>
        <w:rPr>
          <w:rFonts w:ascii="宋体" w:hAnsi="宋体" w:eastAsia="宋体" w:cs="宋体"/>
          <w:color w:val="auto"/>
          <w:spacing w:val="20"/>
          <w:sz w:val="24"/>
          <w:szCs w:val="24"/>
          <w:highlight w:val="none"/>
        </w:rPr>
        <w:t>月</w:t>
      </w:r>
      <w:r>
        <w:rPr>
          <w:rFonts w:hint="eastAsia" w:ascii="宋体" w:hAnsi="宋体" w:eastAsia="宋体" w:cs="宋体"/>
          <w:color w:val="auto"/>
          <w:spacing w:val="20"/>
          <w:sz w:val="24"/>
          <w:szCs w:val="24"/>
          <w:highlight w:val="none"/>
          <w:lang w:val="en-US" w:eastAsia="zh-CN"/>
        </w:rPr>
        <w:t>27</w:t>
      </w:r>
      <w:r>
        <w:rPr>
          <w:rFonts w:ascii="宋体" w:hAnsi="宋体" w:eastAsia="宋体" w:cs="宋体"/>
          <w:color w:val="auto"/>
          <w:spacing w:val="20"/>
          <w:sz w:val="24"/>
          <w:szCs w:val="24"/>
          <w:highlight w:val="none"/>
        </w:rPr>
        <w:t>日09点30分（北京时间）</w:t>
      </w:r>
    </w:p>
    <w:p w14:paraId="663C84F9">
      <w:pPr>
        <w:spacing w:before="151" w:line="339" w:lineRule="auto"/>
        <w:ind w:firstLine="48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2.地点：本项目为全流程电子化交易（不见面开标</w:t>
      </w:r>
      <w:r>
        <w:rPr>
          <w:rFonts w:ascii="宋体" w:hAnsi="宋体" w:eastAsia="宋体" w:cs="宋体"/>
          <w:color w:val="auto"/>
          <w:spacing w:val="-4"/>
          <w:sz w:val="24"/>
          <w:szCs w:val="24"/>
          <w:highlight w:val="none"/>
        </w:rPr>
        <w:t>）项目，供应商必须通过许昌市公共资源电子交易系统下载“新点投标文件制作软件（河南省版）”（在“投标人</w:t>
      </w:r>
      <w:r>
        <w:rPr>
          <w:rFonts w:ascii="宋体" w:hAnsi="宋体" w:eastAsia="宋体" w:cs="宋体"/>
          <w:color w:val="auto"/>
          <w:spacing w:val="-88"/>
          <w:sz w:val="24"/>
          <w:szCs w:val="24"/>
          <w:highlight w:val="none"/>
        </w:rPr>
        <w:t xml:space="preserve"> </w:t>
      </w:r>
      <w:r>
        <w:rPr>
          <w:rFonts w:ascii="宋体" w:hAnsi="宋体" w:eastAsia="宋体" w:cs="宋体"/>
          <w:color w:val="auto"/>
          <w:spacing w:val="-4"/>
          <w:sz w:val="24"/>
          <w:szCs w:val="24"/>
          <w:highlight w:val="none"/>
        </w:rPr>
        <w:t>”登录页</w:t>
      </w:r>
      <w:r>
        <w:rPr>
          <w:rFonts w:ascii="宋体" w:hAnsi="宋体" w:eastAsia="宋体" w:cs="宋体"/>
          <w:color w:val="auto"/>
          <w:spacing w:val="-12"/>
          <w:sz w:val="24"/>
          <w:szCs w:val="24"/>
          <w:highlight w:val="none"/>
        </w:rPr>
        <w:t>面右下方“投标文件制作工具下载”）制作并上传加密电子投标文件（后缀格式为.XCSTF）。</w:t>
      </w:r>
      <w:r>
        <w:rPr>
          <w:rFonts w:ascii="宋体" w:hAnsi="宋体" w:eastAsia="宋体" w:cs="宋体"/>
          <w:color w:val="auto"/>
          <w:spacing w:val="-3"/>
          <w:sz w:val="24"/>
          <w:szCs w:val="24"/>
          <w:highlight w:val="none"/>
        </w:rPr>
        <w:t>截至投标截止时间，交易系统投标通道将关闭，投标人未完成电子</w:t>
      </w:r>
      <w:r>
        <w:rPr>
          <w:rFonts w:ascii="宋体" w:hAnsi="宋体" w:eastAsia="宋体" w:cs="宋体"/>
          <w:color w:val="auto"/>
          <w:spacing w:val="-4"/>
          <w:sz w:val="24"/>
          <w:szCs w:val="24"/>
          <w:highlight w:val="none"/>
        </w:rPr>
        <w:t>投标文件上传的，投标</w:t>
      </w:r>
      <w:r>
        <w:rPr>
          <w:rFonts w:ascii="宋体" w:hAnsi="宋体" w:eastAsia="宋体" w:cs="宋体"/>
          <w:color w:val="auto"/>
          <w:spacing w:val="-2"/>
          <w:sz w:val="24"/>
          <w:szCs w:val="24"/>
          <w:highlight w:val="none"/>
        </w:rPr>
        <w:t>将被拒绝。</w:t>
      </w:r>
    </w:p>
    <w:p w14:paraId="15AE4D61">
      <w:pPr>
        <w:spacing w:before="1" w:line="219" w:lineRule="auto"/>
        <w:ind w:left="5"/>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五、响应文件开启</w:t>
      </w:r>
    </w:p>
    <w:p w14:paraId="254880E0">
      <w:pPr>
        <w:spacing w:before="154" w:line="219" w:lineRule="auto"/>
        <w:ind w:left="499"/>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1.时间：</w:t>
      </w:r>
      <w:r>
        <w:rPr>
          <w:rFonts w:ascii="宋体" w:hAnsi="宋体" w:eastAsia="宋体" w:cs="宋体"/>
          <w:color w:val="auto"/>
          <w:spacing w:val="20"/>
          <w:sz w:val="24"/>
          <w:szCs w:val="24"/>
          <w:highlight w:val="none"/>
        </w:rPr>
        <w:t>2026年</w:t>
      </w:r>
      <w:r>
        <w:rPr>
          <w:rFonts w:hint="eastAsia" w:ascii="宋体" w:hAnsi="宋体" w:eastAsia="宋体" w:cs="宋体"/>
          <w:color w:val="auto"/>
          <w:spacing w:val="20"/>
          <w:sz w:val="24"/>
          <w:szCs w:val="24"/>
          <w:highlight w:val="none"/>
          <w:lang w:val="en-US" w:eastAsia="zh-CN"/>
        </w:rPr>
        <w:t>7</w:t>
      </w:r>
      <w:r>
        <w:rPr>
          <w:rFonts w:ascii="宋体" w:hAnsi="宋体" w:eastAsia="宋体" w:cs="宋体"/>
          <w:color w:val="auto"/>
          <w:spacing w:val="20"/>
          <w:sz w:val="24"/>
          <w:szCs w:val="24"/>
          <w:highlight w:val="none"/>
        </w:rPr>
        <w:t>月</w:t>
      </w:r>
      <w:r>
        <w:rPr>
          <w:rFonts w:hint="eastAsia" w:ascii="宋体" w:hAnsi="宋体" w:eastAsia="宋体" w:cs="宋体"/>
          <w:color w:val="auto"/>
          <w:spacing w:val="20"/>
          <w:sz w:val="24"/>
          <w:szCs w:val="24"/>
          <w:highlight w:val="none"/>
          <w:lang w:val="en-US" w:eastAsia="zh-CN"/>
        </w:rPr>
        <w:t>27</w:t>
      </w:r>
      <w:r>
        <w:rPr>
          <w:rFonts w:ascii="宋体" w:hAnsi="宋体" w:eastAsia="宋体" w:cs="宋体"/>
          <w:color w:val="auto"/>
          <w:spacing w:val="20"/>
          <w:sz w:val="24"/>
          <w:szCs w:val="24"/>
          <w:highlight w:val="none"/>
        </w:rPr>
        <w:t>日09点30分</w:t>
      </w:r>
      <w:r>
        <w:rPr>
          <w:rFonts w:ascii="宋体" w:hAnsi="宋体" w:eastAsia="宋体" w:cs="宋体"/>
          <w:color w:val="auto"/>
          <w:spacing w:val="-7"/>
          <w:sz w:val="24"/>
          <w:szCs w:val="24"/>
          <w:highlight w:val="none"/>
        </w:rPr>
        <w:t>（北京时间）</w:t>
      </w:r>
    </w:p>
    <w:p w14:paraId="304B7886">
      <w:pPr>
        <w:spacing w:before="156" w:line="282" w:lineRule="auto"/>
        <w:ind w:left="25" w:right="84" w:firstLine="45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2.地点：本项目采用“不见面</w:t>
      </w:r>
      <w:r>
        <w:rPr>
          <w:rFonts w:ascii="宋体" w:hAnsi="宋体" w:eastAsia="宋体" w:cs="宋体"/>
          <w:color w:val="auto"/>
          <w:spacing w:val="-85"/>
          <w:sz w:val="24"/>
          <w:szCs w:val="24"/>
          <w:highlight w:val="none"/>
        </w:rPr>
        <w:t xml:space="preserve"> </w:t>
      </w:r>
      <w:r>
        <w:rPr>
          <w:rFonts w:ascii="宋体" w:hAnsi="宋体" w:eastAsia="宋体" w:cs="宋体"/>
          <w:color w:val="auto"/>
          <w:sz w:val="24"/>
          <w:szCs w:val="24"/>
          <w:highlight w:val="none"/>
        </w:rPr>
        <w:t>”网上开标方式，请投标人使用CA</w:t>
      </w:r>
      <w:r>
        <w:rPr>
          <w:rFonts w:ascii="宋体" w:hAnsi="宋体" w:eastAsia="宋体" w:cs="宋体"/>
          <w:color w:val="auto"/>
          <w:spacing w:val="-49"/>
          <w:sz w:val="24"/>
          <w:szCs w:val="24"/>
          <w:highlight w:val="none"/>
        </w:rPr>
        <w:t xml:space="preserve"> </w:t>
      </w:r>
      <w:r>
        <w:rPr>
          <w:rFonts w:ascii="宋体" w:hAnsi="宋体" w:eastAsia="宋体" w:cs="宋体"/>
          <w:color w:val="auto"/>
          <w:sz w:val="24"/>
          <w:szCs w:val="24"/>
          <w:highlight w:val="none"/>
        </w:rPr>
        <w:t>数字证书登录《全</w:t>
      </w:r>
      <w:r>
        <w:rPr>
          <w:rFonts w:ascii="宋体" w:hAnsi="宋体" w:eastAsia="宋体" w:cs="宋体"/>
          <w:color w:val="auto"/>
          <w:spacing w:val="-4"/>
          <w:sz w:val="24"/>
          <w:szCs w:val="24"/>
          <w:highlight w:val="none"/>
        </w:rPr>
        <w:t>国公共资源交易平台（河南省·许昌市）》</w:t>
      </w:r>
      <w:r>
        <w:rPr>
          <w:rFonts w:ascii="宋体" w:hAnsi="宋体" w:eastAsia="宋体" w:cs="宋体"/>
          <w:color w:val="auto"/>
          <w:spacing w:val="-5"/>
          <w:sz w:val="24"/>
          <w:szCs w:val="24"/>
          <w:highlight w:val="none"/>
        </w:rPr>
        <w:t>进入公共资源交易系统</w:t>
      </w:r>
    </w:p>
    <w:p w14:paraId="1E1DBCA2">
      <w:pPr>
        <w:spacing w:line="371" w:lineRule="auto"/>
        <w:ind w:left="13" w:right="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color w:val="auto"/>
          <w:highlight w:val="none"/>
        </w:rPr>
        <w:fldChar w:fldCharType="begin"/>
      </w:r>
      <w:r>
        <w:rPr>
          <w:color w:val="auto"/>
          <w:highlight w:val="none"/>
        </w:rPr>
        <w:instrText xml:space="preserve"> HYPERLINK "https://ggzy.xuchang.gov.cn/BidOpening/bidhall/default/login" </w:instrText>
      </w:r>
      <w:r>
        <w:rPr>
          <w:color w:val="auto"/>
          <w:highlight w:val="none"/>
        </w:rPr>
        <w:fldChar w:fldCharType="separate"/>
      </w:r>
      <w:r>
        <w:rPr>
          <w:rFonts w:ascii="宋体" w:hAnsi="宋体" w:eastAsia="宋体" w:cs="宋体"/>
          <w:color w:val="auto"/>
          <w:spacing w:val="-2"/>
          <w:sz w:val="24"/>
          <w:szCs w:val="24"/>
          <w:highlight w:val="none"/>
        </w:rPr>
        <w:t>http</w:t>
      </w:r>
      <w:r>
        <w:rPr>
          <w:rFonts w:ascii="宋体" w:hAnsi="宋体" w:eastAsia="宋体" w:cs="宋体"/>
          <w:color w:val="auto"/>
          <w:spacing w:val="-99"/>
          <w:sz w:val="24"/>
          <w:szCs w:val="24"/>
          <w:highlight w:val="none"/>
        </w:rPr>
        <w:t xml:space="preserve"> </w:t>
      </w:r>
      <w:r>
        <w:rPr>
          <w:rFonts w:ascii="宋体" w:hAnsi="宋体" w:eastAsia="宋体" w:cs="宋体"/>
          <w:color w:val="auto"/>
          <w:spacing w:val="-2"/>
          <w:sz w:val="24"/>
          <w:szCs w:val="24"/>
          <w:highlight w:val="none"/>
        </w:rPr>
        <w:t>s://ggzy.xuchang.gov.cn/BidOpen</w:t>
      </w:r>
      <w:r>
        <w:rPr>
          <w:rFonts w:ascii="宋体" w:hAnsi="宋体" w:eastAsia="宋体" w:cs="宋体"/>
          <w:color w:val="auto"/>
          <w:spacing w:val="-95"/>
          <w:sz w:val="24"/>
          <w:szCs w:val="24"/>
          <w:highlight w:val="none"/>
        </w:rPr>
        <w:t xml:space="preserve"> </w:t>
      </w:r>
      <w:r>
        <w:rPr>
          <w:rFonts w:ascii="宋体" w:hAnsi="宋体" w:eastAsia="宋体" w:cs="宋体"/>
          <w:color w:val="auto"/>
          <w:spacing w:val="-2"/>
          <w:sz w:val="24"/>
          <w:szCs w:val="24"/>
          <w:highlight w:val="none"/>
        </w:rPr>
        <w:t>ing/bidhall/defau</w:t>
      </w:r>
      <w:r>
        <w:rPr>
          <w:rFonts w:ascii="宋体" w:hAnsi="宋体" w:eastAsia="宋体" w:cs="宋体"/>
          <w:color w:val="auto"/>
          <w:spacing w:val="-97"/>
          <w:sz w:val="24"/>
          <w:szCs w:val="24"/>
          <w:highlight w:val="none"/>
        </w:rPr>
        <w:t xml:space="preserve"> </w:t>
      </w:r>
      <w:r>
        <w:rPr>
          <w:rFonts w:ascii="宋体" w:hAnsi="宋体" w:eastAsia="宋体" w:cs="宋体"/>
          <w:color w:val="auto"/>
          <w:spacing w:val="-2"/>
          <w:sz w:val="24"/>
          <w:szCs w:val="24"/>
          <w:highlight w:val="none"/>
        </w:rPr>
        <w:t>lt/log</w:t>
      </w:r>
      <w:r>
        <w:rPr>
          <w:rFonts w:ascii="宋体" w:hAnsi="宋体" w:eastAsia="宋体" w:cs="宋体"/>
          <w:color w:val="auto"/>
          <w:spacing w:val="-95"/>
          <w:sz w:val="24"/>
          <w:szCs w:val="24"/>
          <w:highlight w:val="none"/>
        </w:rPr>
        <w:t xml:space="preserve"> </w:t>
      </w:r>
      <w:r>
        <w:rPr>
          <w:rFonts w:ascii="宋体" w:hAnsi="宋体" w:eastAsia="宋体" w:cs="宋体"/>
          <w:color w:val="auto"/>
          <w:spacing w:val="-2"/>
          <w:sz w:val="24"/>
          <w:szCs w:val="24"/>
          <w:highlight w:val="none"/>
        </w:rPr>
        <w:t>in</w:t>
      </w:r>
      <w:r>
        <w:rPr>
          <w:rFonts w:ascii="宋体" w:hAnsi="宋体" w:eastAsia="宋体" w:cs="宋体"/>
          <w:color w:val="auto"/>
          <w:spacing w:val="-2"/>
          <w:sz w:val="24"/>
          <w:szCs w:val="24"/>
          <w:highlight w:val="none"/>
        </w:rPr>
        <w:fldChar w:fldCharType="end"/>
      </w:r>
      <w:r>
        <w:rPr>
          <w:rFonts w:ascii="宋体" w:hAnsi="宋体" w:eastAsia="宋体" w:cs="宋体"/>
          <w:color w:val="auto"/>
          <w:spacing w:val="-49"/>
          <w:sz w:val="24"/>
          <w:szCs w:val="24"/>
          <w:highlight w:val="none"/>
        </w:rPr>
        <w:t>），</w:t>
      </w:r>
      <w:r>
        <w:rPr>
          <w:rFonts w:ascii="宋体" w:hAnsi="宋体" w:eastAsia="宋体" w:cs="宋体"/>
          <w:color w:val="auto"/>
          <w:spacing w:val="-2"/>
          <w:sz w:val="24"/>
          <w:szCs w:val="24"/>
          <w:highlight w:val="none"/>
        </w:rPr>
        <w:t>在规定的开标</w:t>
      </w:r>
      <w:r>
        <w:rPr>
          <w:rFonts w:ascii="宋体" w:hAnsi="宋体" w:eastAsia="宋体" w:cs="宋体"/>
          <w:color w:val="auto"/>
          <w:spacing w:val="-3"/>
          <w:sz w:val="24"/>
          <w:szCs w:val="24"/>
          <w:highlight w:val="none"/>
        </w:rPr>
        <w:t>时间内进行解密开标。</w:t>
      </w:r>
    </w:p>
    <w:p w14:paraId="791BC929">
      <w:pPr>
        <w:spacing w:before="62" w:line="218" w:lineRule="auto"/>
        <w:ind w:left="3"/>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六、发布公告的媒介及招标公告期限</w:t>
      </w:r>
    </w:p>
    <w:p w14:paraId="416CC37E">
      <w:pPr>
        <w:spacing w:before="155" w:line="339" w:lineRule="auto"/>
        <w:ind w:left="25" w:right="80" w:firstLine="457"/>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本次招标公告在《河南省政府采购网》《中国政府采购网》《许昌市政府采购网》《全</w:t>
      </w:r>
      <w:r>
        <w:rPr>
          <w:rFonts w:ascii="宋体" w:hAnsi="宋体" w:eastAsia="宋体" w:cs="宋体"/>
          <w:color w:val="auto"/>
          <w:spacing w:val="-4"/>
          <w:sz w:val="24"/>
          <w:szCs w:val="24"/>
          <w:highlight w:val="none"/>
        </w:rPr>
        <w:t>国公共资源交易平台（河南省·许昌市）》上发布，招标公告期限为三个工作日。</w:t>
      </w:r>
    </w:p>
    <w:p w14:paraId="23F733E2">
      <w:pPr>
        <w:spacing w:line="220" w:lineRule="auto"/>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七、其他补充事宜</w:t>
      </w:r>
    </w:p>
    <w:p w14:paraId="45ED74A6">
      <w:pPr>
        <w:spacing w:before="153" w:line="339" w:lineRule="auto"/>
        <w:ind w:left="4" w:right="80" w:firstLine="494"/>
        <w:rPr>
          <w:rFonts w:ascii="宋体" w:hAnsi="宋体" w:eastAsia="宋体" w:cs="宋体"/>
          <w:color w:val="auto"/>
          <w:spacing w:val="-20"/>
          <w:sz w:val="24"/>
          <w:szCs w:val="24"/>
          <w:highlight w:val="none"/>
        </w:rPr>
      </w:pPr>
      <w:r>
        <w:rPr>
          <w:rFonts w:ascii="宋体" w:hAnsi="宋体" w:eastAsia="宋体" w:cs="宋体"/>
          <w:color w:val="auto"/>
          <w:spacing w:val="-20"/>
          <w:sz w:val="24"/>
          <w:szCs w:val="24"/>
          <w:highlight w:val="none"/>
        </w:rPr>
        <w:t>1.本项目采用电子系统进行招投标，请在投标前详细阅读《全国公共资源交易平台（河南省·许昌市）》首页“服务指南 ”栏目下的《新交易平台使用手册》中的相关内容。</w:t>
      </w:r>
    </w:p>
    <w:p w14:paraId="78993324">
      <w:pPr>
        <w:spacing w:line="220" w:lineRule="auto"/>
        <w:ind w:left="48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2.质疑、投诉相关事宜</w:t>
      </w:r>
    </w:p>
    <w:p w14:paraId="3AF31876">
      <w:pPr>
        <w:spacing w:before="152" w:line="339" w:lineRule="auto"/>
        <w:ind w:right="80" w:firstLine="37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（1）供应商认为采购文件使自己的权益受到损害的，可在法定时间通过许昌市公共资</w:t>
      </w:r>
      <w:r>
        <w:rPr>
          <w:rFonts w:ascii="宋体" w:hAnsi="宋体" w:eastAsia="宋体" w:cs="宋体"/>
          <w:color w:val="auto"/>
          <w:sz w:val="24"/>
          <w:szCs w:val="24"/>
          <w:highlight w:val="none"/>
        </w:rPr>
        <w:t>源电子交易系统在线提出或以其他书面形式向采购人、采</w:t>
      </w:r>
      <w:r>
        <w:rPr>
          <w:rFonts w:ascii="宋体" w:hAnsi="宋体" w:eastAsia="宋体" w:cs="宋体"/>
          <w:color w:val="auto"/>
          <w:spacing w:val="-1"/>
          <w:sz w:val="24"/>
          <w:szCs w:val="24"/>
          <w:highlight w:val="none"/>
        </w:rPr>
        <w:t>购代理机构提出质疑。</w:t>
      </w:r>
    </w:p>
    <w:p w14:paraId="35B333E4">
      <w:pPr>
        <w:spacing w:before="2" w:line="338" w:lineRule="auto"/>
        <w:ind w:left="5" w:right="80" w:firstLine="36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（2）质疑供应商对采购人、采购代理机构的答复不满意，或者采购人、采购代理机构</w:t>
      </w:r>
      <w:r>
        <w:rPr>
          <w:rFonts w:ascii="宋体" w:hAnsi="宋体" w:eastAsia="宋体" w:cs="宋体"/>
          <w:color w:val="auto"/>
          <w:sz w:val="24"/>
          <w:szCs w:val="24"/>
          <w:highlight w:val="none"/>
        </w:rPr>
        <w:t>未在规定时间内作出答复的，可在法定时间</w:t>
      </w:r>
      <w:r>
        <w:rPr>
          <w:rFonts w:ascii="宋体" w:hAnsi="宋体" w:eastAsia="宋体" w:cs="宋体"/>
          <w:color w:val="auto"/>
          <w:spacing w:val="-1"/>
          <w:sz w:val="24"/>
          <w:szCs w:val="24"/>
          <w:highlight w:val="none"/>
        </w:rPr>
        <w:t>以书面形式向监督部门提起投诉。</w:t>
      </w:r>
    </w:p>
    <w:p w14:paraId="307B8958">
      <w:pPr>
        <w:spacing w:before="1" w:line="217" w:lineRule="auto"/>
        <w:ind w:left="37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（3）受理质疑的联系人和联系方式：见本公告第八项第 1、2 条。</w:t>
      </w:r>
    </w:p>
    <w:p w14:paraId="54480900">
      <w:pPr>
        <w:spacing w:before="152" w:line="339" w:lineRule="auto"/>
        <w:ind w:right="80" w:firstLine="372"/>
        <w:rPr>
          <w:rFonts w:ascii="宋体" w:hAnsi="宋体" w:eastAsia="宋体" w:cs="宋体"/>
          <w:color w:val="auto"/>
          <w:spacing w:val="6"/>
          <w:sz w:val="24"/>
          <w:szCs w:val="24"/>
          <w:highlight w:val="none"/>
        </w:rPr>
      </w:pPr>
      <w:r>
        <w:rPr>
          <w:rFonts w:ascii="宋体" w:hAnsi="宋体" w:eastAsia="宋体" w:cs="宋体"/>
          <w:color w:val="auto"/>
          <w:spacing w:val="6"/>
          <w:sz w:val="24"/>
          <w:szCs w:val="24"/>
          <w:highlight w:val="none"/>
        </w:rPr>
        <w:t>（4）受理投诉的联系人：许昌市建安区政府采购监督管理办公室，联系电话： 0374-5113616。</w:t>
      </w:r>
    </w:p>
    <w:p w14:paraId="11658B18">
      <w:pPr>
        <w:spacing w:before="152" w:line="339" w:lineRule="auto"/>
        <w:ind w:right="80" w:firstLine="372"/>
        <w:rPr>
          <w:rFonts w:ascii="宋体" w:hAnsi="宋体" w:eastAsia="宋体" w:cs="宋体"/>
          <w:color w:val="auto"/>
          <w:spacing w:val="-4"/>
          <w:sz w:val="24"/>
          <w:szCs w:val="24"/>
          <w:highlight w:val="none"/>
        </w:rPr>
      </w:pPr>
      <w:r>
        <w:rPr>
          <w:rFonts w:ascii="宋体" w:hAnsi="宋体" w:eastAsia="宋体" w:cs="宋体"/>
          <w:color w:val="auto"/>
          <w:spacing w:val="-4"/>
          <w:sz w:val="24"/>
          <w:szCs w:val="24"/>
          <w:highlight w:val="none"/>
        </w:rPr>
        <w:t>（5）质疑截止时间：2026年</w:t>
      </w:r>
      <w:r>
        <w:rPr>
          <w:rFonts w:hint="eastAsia" w:ascii="宋体" w:hAnsi="宋体" w:eastAsia="宋体" w:cs="宋体"/>
          <w:color w:val="auto"/>
          <w:spacing w:val="-4"/>
          <w:sz w:val="24"/>
          <w:szCs w:val="24"/>
          <w:highlight w:val="none"/>
          <w:lang w:val="en-US" w:eastAsia="zh-CN"/>
        </w:rPr>
        <w:t>7</w:t>
      </w:r>
      <w:r>
        <w:rPr>
          <w:rFonts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lang w:val="en-US" w:eastAsia="zh-CN"/>
        </w:rPr>
        <w:t>27</w:t>
      </w:r>
      <w:r>
        <w:rPr>
          <w:rFonts w:ascii="宋体" w:hAnsi="宋体" w:eastAsia="宋体" w:cs="宋体"/>
          <w:color w:val="auto"/>
          <w:spacing w:val="-4"/>
          <w:sz w:val="24"/>
          <w:szCs w:val="24"/>
          <w:highlight w:val="none"/>
        </w:rPr>
        <w:t>日09点30分。3.投标供应商在电子系统使用过程中遇到涉及系统使用的问题，可致电0512-58188538、0374-2961598 进行咨询。</w:t>
      </w:r>
    </w:p>
    <w:p w14:paraId="7446772F">
      <w:pPr>
        <w:spacing w:line="218" w:lineRule="auto"/>
        <w:ind w:left="3"/>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八、对本次招标提出询问，请按照以下方式联系。</w:t>
      </w:r>
    </w:p>
    <w:p w14:paraId="2C5E074B">
      <w:pPr>
        <w:spacing w:before="156" w:line="219" w:lineRule="auto"/>
        <w:ind w:left="49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1.采购人信息</w:t>
      </w:r>
    </w:p>
    <w:p w14:paraId="3CCE3B6E">
      <w:pPr>
        <w:spacing w:before="155" w:line="219" w:lineRule="auto"/>
        <w:ind w:left="482"/>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名    称：</w:t>
      </w:r>
      <w:r>
        <w:rPr>
          <w:rFonts w:hint="eastAsia" w:ascii="宋体" w:hAnsi="宋体" w:eastAsia="宋体" w:cs="宋体"/>
          <w:color w:val="auto"/>
          <w:spacing w:val="-1"/>
          <w:sz w:val="24"/>
          <w:szCs w:val="24"/>
          <w:highlight w:val="none"/>
          <w:lang w:eastAsia="zh-CN"/>
        </w:rPr>
        <w:t>许昌市</w:t>
      </w:r>
      <w:r>
        <w:rPr>
          <w:rFonts w:hint="eastAsia" w:ascii="宋体" w:hAnsi="宋体" w:eastAsia="宋体" w:cs="宋体"/>
          <w:color w:val="auto"/>
          <w:spacing w:val="-1"/>
          <w:sz w:val="24"/>
          <w:szCs w:val="24"/>
          <w:highlight w:val="none"/>
        </w:rPr>
        <w:t>建安区城市管理局</w:t>
      </w:r>
    </w:p>
    <w:p w14:paraId="36B3424D">
      <w:pPr>
        <w:spacing w:before="155" w:line="219" w:lineRule="auto"/>
        <w:ind w:left="482"/>
        <w:rPr>
          <w:rFonts w:hint="eastAsia"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rPr>
        <w:t>地    址：许昌市建安区兴业大厦</w:t>
      </w:r>
      <w:r>
        <w:rPr>
          <w:rFonts w:hint="eastAsia" w:ascii="宋体" w:hAnsi="宋体" w:eastAsia="宋体" w:cs="宋体"/>
          <w:color w:val="auto"/>
          <w:spacing w:val="-1"/>
          <w:sz w:val="24"/>
          <w:szCs w:val="24"/>
          <w:highlight w:val="none"/>
          <w:lang w:val="en-US" w:eastAsia="zh-CN"/>
        </w:rPr>
        <w:t>六</w:t>
      </w:r>
      <w:r>
        <w:rPr>
          <w:rFonts w:ascii="宋体" w:hAnsi="宋体" w:eastAsia="宋体" w:cs="宋体"/>
          <w:color w:val="auto"/>
          <w:spacing w:val="-1"/>
          <w:sz w:val="24"/>
          <w:szCs w:val="24"/>
          <w:highlight w:val="none"/>
        </w:rPr>
        <w:t>楼</w:t>
      </w:r>
    </w:p>
    <w:p w14:paraId="50664B94">
      <w:pPr>
        <w:spacing w:before="155" w:line="219" w:lineRule="auto"/>
        <w:ind w:left="482"/>
        <w:rPr>
          <w:rFonts w:hint="default" w:ascii="宋体" w:hAnsi="宋体" w:eastAsia="宋体" w:cs="宋体"/>
          <w:color w:val="auto"/>
          <w:spacing w:val="-1"/>
          <w:sz w:val="24"/>
          <w:szCs w:val="24"/>
          <w:highlight w:val="none"/>
          <w:lang w:val="en-US" w:eastAsia="zh-CN"/>
        </w:rPr>
      </w:pPr>
      <w:r>
        <w:rPr>
          <w:rFonts w:ascii="宋体" w:hAnsi="宋体" w:eastAsia="宋体" w:cs="宋体"/>
          <w:color w:val="auto"/>
          <w:spacing w:val="-1"/>
          <w:sz w:val="24"/>
          <w:szCs w:val="24"/>
          <w:highlight w:val="none"/>
        </w:rPr>
        <w:t>联</w:t>
      </w:r>
      <w:r>
        <w:rPr>
          <w:rFonts w:hint="eastAsia" w:ascii="宋体" w:hAnsi="宋体" w:eastAsia="宋体" w:cs="宋体"/>
          <w:color w:val="auto"/>
          <w:spacing w:val="-1"/>
          <w:sz w:val="24"/>
          <w:szCs w:val="24"/>
          <w:highlight w:val="none"/>
          <w:lang w:val="en-US" w:eastAsia="zh-CN"/>
        </w:rPr>
        <w:t xml:space="preserve"> </w:t>
      </w:r>
      <w:r>
        <w:rPr>
          <w:rFonts w:ascii="宋体" w:hAnsi="宋体" w:eastAsia="宋体" w:cs="宋体"/>
          <w:color w:val="auto"/>
          <w:spacing w:val="-1"/>
          <w:sz w:val="24"/>
          <w:szCs w:val="24"/>
          <w:highlight w:val="none"/>
        </w:rPr>
        <w:t>系</w:t>
      </w:r>
      <w:r>
        <w:rPr>
          <w:rFonts w:hint="eastAsia" w:ascii="宋体" w:hAnsi="宋体" w:eastAsia="宋体" w:cs="宋体"/>
          <w:color w:val="auto"/>
          <w:spacing w:val="-1"/>
          <w:sz w:val="24"/>
          <w:szCs w:val="24"/>
          <w:highlight w:val="none"/>
          <w:lang w:val="en-US" w:eastAsia="zh-CN"/>
        </w:rPr>
        <w:t xml:space="preserve"> </w:t>
      </w:r>
      <w:r>
        <w:rPr>
          <w:rFonts w:ascii="宋体" w:hAnsi="宋体" w:eastAsia="宋体" w:cs="宋体"/>
          <w:color w:val="auto"/>
          <w:spacing w:val="-1"/>
          <w:sz w:val="24"/>
          <w:szCs w:val="24"/>
          <w:highlight w:val="none"/>
        </w:rPr>
        <w:t>人：</w:t>
      </w:r>
      <w:r>
        <w:rPr>
          <w:rFonts w:hint="eastAsia" w:ascii="宋体" w:hAnsi="宋体" w:eastAsia="宋体" w:cs="宋体"/>
          <w:color w:val="auto"/>
          <w:spacing w:val="-1"/>
          <w:sz w:val="24"/>
          <w:szCs w:val="24"/>
          <w:highlight w:val="none"/>
          <w:lang w:val="en-US" w:eastAsia="zh-CN"/>
        </w:rPr>
        <w:t>王会杰</w:t>
      </w:r>
    </w:p>
    <w:p w14:paraId="38DF2711">
      <w:pPr>
        <w:spacing w:before="155" w:line="219" w:lineRule="auto"/>
        <w:ind w:left="482"/>
        <w:rPr>
          <w:rFonts w:hint="eastAsia" w:ascii="宋体" w:hAnsi="宋体" w:eastAsia="宋体" w:cs="宋体"/>
          <w:color w:val="auto"/>
          <w:spacing w:val="-1"/>
          <w:sz w:val="24"/>
          <w:szCs w:val="24"/>
          <w:highlight w:val="none"/>
          <w:lang w:val="en-US" w:eastAsia="zh-CN"/>
        </w:rPr>
      </w:pPr>
      <w:r>
        <w:rPr>
          <w:rFonts w:ascii="宋体" w:hAnsi="宋体" w:eastAsia="宋体" w:cs="宋体"/>
          <w:color w:val="auto"/>
          <w:spacing w:val="-1"/>
          <w:sz w:val="24"/>
          <w:szCs w:val="24"/>
          <w:highlight w:val="none"/>
        </w:rPr>
        <w:t>联系方式：</w:t>
      </w:r>
      <w:r>
        <w:rPr>
          <w:rFonts w:hint="eastAsia" w:ascii="宋体" w:hAnsi="宋体" w:eastAsia="宋体" w:cs="宋体"/>
          <w:color w:val="auto"/>
          <w:spacing w:val="-1"/>
          <w:sz w:val="24"/>
          <w:szCs w:val="24"/>
          <w:highlight w:val="none"/>
          <w:lang w:val="en-US" w:eastAsia="zh-CN"/>
        </w:rPr>
        <w:t>13733631326</w:t>
      </w:r>
    </w:p>
    <w:p w14:paraId="62CEEEE0">
      <w:pPr>
        <w:spacing w:before="155" w:line="219" w:lineRule="auto"/>
        <w:ind w:left="482"/>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2.采购代理机构信息（如有）</w:t>
      </w:r>
    </w:p>
    <w:p w14:paraId="72603B32">
      <w:pPr>
        <w:spacing w:before="155" w:line="219" w:lineRule="auto"/>
        <w:ind w:left="482"/>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名    称：</w:t>
      </w:r>
      <w:r>
        <w:rPr>
          <w:rFonts w:hint="eastAsia" w:ascii="宋体" w:hAnsi="宋体" w:eastAsia="宋体" w:cs="宋体"/>
          <w:color w:val="auto"/>
          <w:spacing w:val="-1"/>
          <w:sz w:val="24"/>
          <w:szCs w:val="24"/>
          <w:highlight w:val="none"/>
          <w:lang w:val="en-US" w:eastAsia="zh-CN"/>
        </w:rPr>
        <w:t>河南巨岩工程管理有限公司</w:t>
      </w:r>
    </w:p>
    <w:p w14:paraId="152DC559">
      <w:pPr>
        <w:spacing w:before="155" w:line="219" w:lineRule="auto"/>
        <w:ind w:left="482"/>
        <w:rPr>
          <w:rFonts w:hint="default" w:ascii="宋体" w:hAnsi="宋体" w:eastAsia="宋体" w:cs="宋体"/>
          <w:color w:val="auto"/>
          <w:spacing w:val="-1"/>
          <w:sz w:val="24"/>
          <w:szCs w:val="24"/>
          <w:highlight w:val="none"/>
          <w:lang w:val="en-US"/>
        </w:rPr>
      </w:pPr>
      <w:r>
        <w:rPr>
          <w:rFonts w:ascii="宋体" w:hAnsi="宋体" w:eastAsia="宋体" w:cs="宋体"/>
          <w:color w:val="auto"/>
          <w:spacing w:val="-1"/>
          <w:sz w:val="24"/>
          <w:szCs w:val="24"/>
          <w:highlight w:val="none"/>
        </w:rPr>
        <w:t>地    址：</w:t>
      </w:r>
      <w:r>
        <w:rPr>
          <w:rFonts w:hint="eastAsia" w:ascii="宋体" w:hAnsi="宋体" w:eastAsia="宋体" w:cs="宋体"/>
          <w:color w:val="auto"/>
          <w:spacing w:val="-1"/>
          <w:sz w:val="24"/>
          <w:szCs w:val="24"/>
          <w:highlight w:val="none"/>
          <w:lang w:val="en-US" w:eastAsia="zh-CN"/>
        </w:rPr>
        <w:t>许昌市魏文路与学府街交叉口东南角云鼎广场三号楼十楼</w:t>
      </w:r>
    </w:p>
    <w:p w14:paraId="321DE89F">
      <w:pPr>
        <w:spacing w:before="155" w:line="219" w:lineRule="auto"/>
        <w:ind w:left="482"/>
        <w:rPr>
          <w:rFonts w:hint="default" w:ascii="宋体" w:hAnsi="宋体" w:eastAsia="宋体" w:cs="宋体"/>
          <w:color w:val="auto"/>
          <w:spacing w:val="-1"/>
          <w:sz w:val="24"/>
          <w:szCs w:val="24"/>
          <w:highlight w:val="none"/>
          <w:lang w:val="en-US" w:eastAsia="zh-CN"/>
        </w:rPr>
      </w:pPr>
      <w:r>
        <w:rPr>
          <w:rFonts w:ascii="宋体" w:hAnsi="宋体" w:eastAsia="宋体" w:cs="宋体"/>
          <w:color w:val="auto"/>
          <w:spacing w:val="-1"/>
          <w:sz w:val="24"/>
          <w:szCs w:val="24"/>
          <w:highlight w:val="none"/>
        </w:rPr>
        <w:t>联 系 人：</w:t>
      </w:r>
      <w:r>
        <w:rPr>
          <w:rFonts w:hint="eastAsia" w:ascii="宋体" w:hAnsi="宋体" w:eastAsia="宋体" w:cs="宋体"/>
          <w:color w:val="auto"/>
          <w:spacing w:val="-1"/>
          <w:sz w:val="24"/>
          <w:szCs w:val="24"/>
          <w:highlight w:val="none"/>
          <w:lang w:val="en-US" w:eastAsia="zh-CN"/>
        </w:rPr>
        <w:t>张昕洋</w:t>
      </w:r>
    </w:p>
    <w:p w14:paraId="18F504C7">
      <w:pPr>
        <w:spacing w:before="155" w:line="219" w:lineRule="auto"/>
        <w:ind w:left="482"/>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联系方式：</w:t>
      </w:r>
      <w:r>
        <w:rPr>
          <w:rFonts w:hint="eastAsia" w:ascii="宋体" w:hAnsi="宋体" w:eastAsia="宋体" w:cs="宋体"/>
          <w:color w:val="auto"/>
          <w:spacing w:val="-1"/>
          <w:sz w:val="24"/>
          <w:szCs w:val="24"/>
          <w:highlight w:val="none"/>
          <w:lang w:val="en-US" w:eastAsia="zh-CN"/>
        </w:rPr>
        <w:t>17746990629</w:t>
      </w:r>
    </w:p>
    <w:p w14:paraId="15FD2AE4">
      <w:pPr>
        <w:spacing w:before="152" w:line="219" w:lineRule="auto"/>
        <w:ind w:left="48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3.监督管理部门</w:t>
      </w:r>
    </w:p>
    <w:p w14:paraId="3BAC2DA1">
      <w:pPr>
        <w:spacing w:before="155" w:line="219" w:lineRule="auto"/>
        <w:ind w:left="48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名    称：许昌市建安区财政局</w:t>
      </w:r>
    </w:p>
    <w:p w14:paraId="1B8CE9BA">
      <w:pPr>
        <w:spacing w:before="156" w:line="219" w:lineRule="auto"/>
        <w:ind w:left="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联</w:t>
      </w:r>
      <w:r>
        <w:rPr>
          <w:rFonts w:hint="eastAsia" w:ascii="宋体" w:hAnsi="宋体" w:eastAsia="宋体" w:cs="宋体"/>
          <w:color w:val="auto"/>
          <w:spacing w:val="-1"/>
          <w:sz w:val="24"/>
          <w:szCs w:val="24"/>
          <w:highlight w:val="none"/>
          <w:lang w:val="en-US" w:eastAsia="zh-CN"/>
        </w:rPr>
        <w:t xml:space="preserve"> </w:t>
      </w:r>
      <w:r>
        <w:rPr>
          <w:rFonts w:ascii="宋体" w:hAnsi="宋体" w:eastAsia="宋体" w:cs="宋体"/>
          <w:color w:val="auto"/>
          <w:spacing w:val="-1"/>
          <w:sz w:val="24"/>
          <w:szCs w:val="24"/>
          <w:highlight w:val="none"/>
        </w:rPr>
        <w:t>系</w:t>
      </w:r>
      <w:r>
        <w:rPr>
          <w:rFonts w:hint="eastAsia" w:ascii="宋体" w:hAnsi="宋体" w:eastAsia="宋体" w:cs="宋体"/>
          <w:color w:val="auto"/>
          <w:spacing w:val="-1"/>
          <w:sz w:val="24"/>
          <w:szCs w:val="24"/>
          <w:highlight w:val="none"/>
          <w:lang w:val="en-US" w:eastAsia="zh-CN"/>
        </w:rPr>
        <w:t xml:space="preserve"> </w:t>
      </w:r>
      <w:r>
        <w:rPr>
          <w:rFonts w:ascii="宋体" w:hAnsi="宋体" w:eastAsia="宋体" w:cs="宋体"/>
          <w:color w:val="auto"/>
          <w:spacing w:val="-1"/>
          <w:sz w:val="24"/>
          <w:szCs w:val="24"/>
          <w:highlight w:val="none"/>
        </w:rPr>
        <w:t>人：许昌市建安区政府采购监督管理办公室</w:t>
      </w:r>
    </w:p>
    <w:p w14:paraId="562CC003">
      <w:pPr>
        <w:spacing w:before="154" w:line="221" w:lineRule="auto"/>
        <w:ind w:left="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联系方式：0374-5113616</w:t>
      </w:r>
    </w:p>
    <w:p w14:paraId="012F93D0">
      <w:pPr>
        <w:spacing w:before="155" w:line="219" w:lineRule="auto"/>
        <w:ind w:firstLine="7378" w:firstLineChars="3100"/>
        <w:rPr>
          <w:rFonts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eastAsia="zh-CN"/>
        </w:rPr>
        <w:t>许昌市</w:t>
      </w:r>
      <w:r>
        <w:rPr>
          <w:rFonts w:hint="eastAsia" w:ascii="宋体" w:hAnsi="宋体" w:eastAsia="宋体" w:cs="宋体"/>
          <w:color w:val="auto"/>
          <w:spacing w:val="-1"/>
          <w:sz w:val="24"/>
          <w:szCs w:val="24"/>
          <w:highlight w:val="none"/>
        </w:rPr>
        <w:t>建安区城市管理局</w:t>
      </w:r>
    </w:p>
    <w:p w14:paraId="115927EB">
      <w:pPr>
        <w:spacing w:before="154" w:line="220" w:lineRule="auto"/>
        <w:ind w:left="481"/>
        <w:jc w:val="right"/>
        <w:rPr>
          <w:rFonts w:ascii="宋体" w:hAnsi="宋体" w:eastAsia="宋体" w:cs="宋体"/>
          <w:color w:val="auto"/>
          <w:spacing w:val="20"/>
          <w:sz w:val="24"/>
          <w:szCs w:val="24"/>
          <w:highlight w:val="none"/>
        </w:rPr>
      </w:pPr>
      <w:r>
        <w:rPr>
          <w:rFonts w:ascii="宋体" w:hAnsi="宋体" w:eastAsia="宋体" w:cs="宋体"/>
          <w:color w:val="auto"/>
          <w:spacing w:val="20"/>
          <w:sz w:val="24"/>
          <w:szCs w:val="24"/>
          <w:highlight w:val="none"/>
        </w:rPr>
        <w:t>2026年</w:t>
      </w:r>
      <w:r>
        <w:rPr>
          <w:rFonts w:hint="eastAsia" w:ascii="宋体" w:hAnsi="宋体" w:eastAsia="宋体" w:cs="宋体"/>
          <w:color w:val="auto"/>
          <w:spacing w:val="20"/>
          <w:sz w:val="24"/>
          <w:szCs w:val="24"/>
          <w:highlight w:val="none"/>
          <w:lang w:val="en-US" w:eastAsia="zh-CN"/>
        </w:rPr>
        <w:t>7</w:t>
      </w:r>
      <w:r>
        <w:rPr>
          <w:rFonts w:ascii="宋体" w:hAnsi="宋体" w:eastAsia="宋体" w:cs="宋体"/>
          <w:color w:val="auto"/>
          <w:spacing w:val="20"/>
          <w:sz w:val="24"/>
          <w:szCs w:val="24"/>
          <w:highlight w:val="none"/>
        </w:rPr>
        <w:t>月</w:t>
      </w:r>
      <w:r>
        <w:rPr>
          <w:rFonts w:hint="eastAsia" w:ascii="宋体" w:hAnsi="宋体" w:eastAsia="宋体" w:cs="宋体"/>
          <w:color w:val="auto"/>
          <w:spacing w:val="20"/>
          <w:sz w:val="24"/>
          <w:szCs w:val="24"/>
          <w:highlight w:val="none"/>
          <w:lang w:val="en-US" w:eastAsia="zh-CN"/>
        </w:rPr>
        <w:t>15</w:t>
      </w:r>
      <w:r>
        <w:rPr>
          <w:rFonts w:ascii="宋体" w:hAnsi="宋体" w:eastAsia="宋体" w:cs="宋体"/>
          <w:color w:val="auto"/>
          <w:spacing w:val="20"/>
          <w:sz w:val="24"/>
          <w:szCs w:val="24"/>
          <w:highlight w:val="none"/>
        </w:rPr>
        <w:t>日</w:t>
      </w:r>
    </w:p>
    <w:p w14:paraId="34BC51DE">
      <w:pPr>
        <w:pStyle w:val="2"/>
        <w:rPr>
          <w:rFonts w:ascii="宋体" w:hAnsi="宋体" w:eastAsia="宋体" w:cs="宋体"/>
          <w:color w:val="auto"/>
          <w:spacing w:val="20"/>
          <w:sz w:val="24"/>
          <w:szCs w:val="24"/>
          <w:highlight w:val="none"/>
        </w:rPr>
      </w:pPr>
    </w:p>
    <w:p w14:paraId="2A7FEF7A">
      <w:pPr>
        <w:rPr>
          <w:rFonts w:ascii="宋体" w:hAnsi="宋体" w:eastAsia="宋体" w:cs="宋体"/>
          <w:color w:val="auto"/>
          <w:spacing w:val="20"/>
          <w:sz w:val="24"/>
          <w:szCs w:val="24"/>
          <w:highlight w:val="none"/>
        </w:rPr>
      </w:pPr>
    </w:p>
    <w:p w14:paraId="65C2AD98">
      <w:pPr>
        <w:pStyle w:val="2"/>
        <w:rPr>
          <w:color w:val="auto"/>
          <w:highlight w:val="none"/>
        </w:rPr>
      </w:pPr>
    </w:p>
    <w:p w14:paraId="19390047">
      <w:pPr>
        <w:spacing w:before="154" w:line="220" w:lineRule="auto"/>
        <w:ind w:left="48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温馨提示：</w:t>
      </w:r>
    </w:p>
    <w:p w14:paraId="6D02A921">
      <w:pPr>
        <w:spacing w:before="153" w:line="219" w:lineRule="auto"/>
        <w:ind w:left="480"/>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本项目为全流程电子化交易项目，请认真阅读磋商文件，并注意以下事项。</w:t>
      </w:r>
    </w:p>
    <w:p w14:paraId="1947FA7B">
      <w:pPr>
        <w:spacing w:before="157" w:line="338" w:lineRule="auto"/>
        <w:ind w:right="66" w:firstLine="49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1.供应商参加本项目投标，需提前自行联系</w:t>
      </w:r>
      <w:r>
        <w:rPr>
          <w:rFonts w:ascii="宋体" w:hAnsi="宋体" w:eastAsia="宋体" w:cs="宋体"/>
          <w:color w:val="auto"/>
          <w:sz w:val="24"/>
          <w:szCs w:val="24"/>
          <w:highlight w:val="none"/>
        </w:rPr>
        <w:t>CA</w:t>
      </w:r>
      <w:r>
        <w:rPr>
          <w:rFonts w:ascii="宋体" w:hAnsi="宋体" w:eastAsia="宋体" w:cs="宋体"/>
          <w:color w:val="auto"/>
          <w:spacing w:val="-51"/>
          <w:sz w:val="24"/>
          <w:szCs w:val="24"/>
          <w:highlight w:val="none"/>
        </w:rPr>
        <w:t xml:space="preserve"> </w:t>
      </w:r>
      <w:r>
        <w:rPr>
          <w:rFonts w:ascii="宋体" w:hAnsi="宋体" w:eastAsia="宋体" w:cs="宋体"/>
          <w:color w:val="auto"/>
          <w:spacing w:val="1"/>
          <w:sz w:val="24"/>
          <w:szCs w:val="24"/>
          <w:highlight w:val="none"/>
        </w:rPr>
        <w:t>服务</w:t>
      </w:r>
      <w:r>
        <w:rPr>
          <w:rFonts w:ascii="宋体" w:hAnsi="宋体" w:eastAsia="宋体" w:cs="宋体"/>
          <w:color w:val="auto"/>
          <w:sz w:val="24"/>
          <w:szCs w:val="24"/>
          <w:highlight w:val="none"/>
        </w:rPr>
        <w:t>机构办理数字认证证书并进行电</w:t>
      </w:r>
      <w:r>
        <w:rPr>
          <w:rFonts w:ascii="宋体" w:hAnsi="宋体" w:eastAsia="宋体" w:cs="宋体"/>
          <w:color w:val="auto"/>
          <w:spacing w:val="-3"/>
          <w:sz w:val="24"/>
          <w:szCs w:val="24"/>
          <w:highlight w:val="none"/>
        </w:rPr>
        <w:t>子签章。</w:t>
      </w:r>
    </w:p>
    <w:p w14:paraId="2893E0D4">
      <w:pPr>
        <w:spacing w:before="2" w:line="338" w:lineRule="auto"/>
        <w:ind w:right="63" w:firstLine="48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2.磋商文件下载、响应文件制作、提交、远程</w:t>
      </w:r>
      <w:r>
        <w:rPr>
          <w:rFonts w:ascii="宋体" w:hAnsi="宋体" w:eastAsia="宋体" w:cs="宋体"/>
          <w:color w:val="auto"/>
          <w:spacing w:val="-4"/>
          <w:sz w:val="24"/>
          <w:szCs w:val="24"/>
          <w:highlight w:val="none"/>
        </w:rPr>
        <w:t>不见面开标（电子投标文件的解密）环</w:t>
      </w:r>
      <w:r>
        <w:rPr>
          <w:rFonts w:ascii="宋体" w:hAnsi="宋体" w:eastAsia="宋体" w:cs="宋体"/>
          <w:color w:val="auto"/>
          <w:spacing w:val="-1"/>
          <w:sz w:val="24"/>
          <w:szCs w:val="24"/>
          <w:highlight w:val="none"/>
        </w:rPr>
        <w:t>节，供应商须使用同一个</w:t>
      </w:r>
      <w:r>
        <w:rPr>
          <w:rFonts w:ascii="宋体" w:hAnsi="宋体" w:eastAsia="宋体" w:cs="宋体"/>
          <w:color w:val="auto"/>
          <w:spacing w:val="-48"/>
          <w:sz w:val="24"/>
          <w:szCs w:val="24"/>
          <w:highlight w:val="none"/>
        </w:rPr>
        <w:t xml:space="preserve"> </w:t>
      </w:r>
      <w:r>
        <w:rPr>
          <w:rFonts w:ascii="宋体" w:hAnsi="宋体" w:eastAsia="宋体" w:cs="宋体"/>
          <w:color w:val="auto"/>
          <w:spacing w:val="-1"/>
          <w:sz w:val="24"/>
          <w:szCs w:val="24"/>
          <w:highlight w:val="none"/>
        </w:rPr>
        <w:t>CA</w:t>
      </w:r>
      <w:r>
        <w:rPr>
          <w:rFonts w:ascii="宋体" w:hAnsi="宋体" w:eastAsia="宋体" w:cs="宋体"/>
          <w:color w:val="auto"/>
          <w:spacing w:val="-49"/>
          <w:sz w:val="24"/>
          <w:szCs w:val="24"/>
          <w:highlight w:val="none"/>
        </w:rPr>
        <w:t xml:space="preserve"> </w:t>
      </w:r>
      <w:r>
        <w:rPr>
          <w:rFonts w:ascii="宋体" w:hAnsi="宋体" w:eastAsia="宋体" w:cs="宋体"/>
          <w:color w:val="auto"/>
          <w:spacing w:val="-1"/>
          <w:sz w:val="24"/>
          <w:szCs w:val="24"/>
          <w:highlight w:val="none"/>
        </w:rPr>
        <w:t>数字证书（证书须在有效期内并可正常使用）。</w:t>
      </w:r>
    </w:p>
    <w:p w14:paraId="4B106AFB">
      <w:pPr>
        <w:spacing w:line="219" w:lineRule="auto"/>
        <w:ind w:left="48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3.电子响应文件的制作</w:t>
      </w:r>
    </w:p>
    <w:p w14:paraId="4154620A">
      <w:pPr>
        <w:spacing w:before="154" w:line="219" w:lineRule="auto"/>
        <w:ind w:left="484"/>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3.1</w:t>
      </w:r>
      <w:r>
        <w:rPr>
          <w:rFonts w:ascii="宋体" w:hAnsi="宋体" w:eastAsia="宋体" w:cs="宋体"/>
          <w:color w:val="auto"/>
          <w:spacing w:val="-51"/>
          <w:sz w:val="24"/>
          <w:szCs w:val="24"/>
          <w:highlight w:val="none"/>
        </w:rPr>
        <w:t xml:space="preserve"> </w:t>
      </w:r>
      <w:r>
        <w:rPr>
          <w:rFonts w:ascii="宋体" w:hAnsi="宋体" w:eastAsia="宋体" w:cs="宋体"/>
          <w:color w:val="auto"/>
          <w:spacing w:val="-4"/>
          <w:sz w:val="24"/>
          <w:szCs w:val="24"/>
          <w:highlight w:val="none"/>
        </w:rPr>
        <w:t>供应商登录《全国公共资源交易平台（河南省</w:t>
      </w:r>
      <w:r>
        <w:rPr>
          <w:rFonts w:ascii="宋体" w:hAnsi="宋体" w:eastAsia="宋体" w:cs="宋体"/>
          <w:color w:val="auto"/>
          <w:spacing w:val="-29"/>
          <w:sz w:val="24"/>
          <w:szCs w:val="24"/>
          <w:highlight w:val="none"/>
        </w:rPr>
        <w:t xml:space="preserve"> </w:t>
      </w:r>
      <w:r>
        <w:rPr>
          <w:rFonts w:ascii="宋体" w:hAnsi="宋体" w:eastAsia="宋体" w:cs="宋体"/>
          <w:color w:val="auto"/>
          <w:spacing w:val="-4"/>
          <w:sz w:val="24"/>
          <w:szCs w:val="24"/>
          <w:highlight w:val="none"/>
        </w:rPr>
        <w:t>·许昌市）》</w:t>
      </w:r>
    </w:p>
    <w:p w14:paraId="2EC0E462">
      <w:pPr>
        <w:spacing w:before="157" w:line="338" w:lineRule="auto"/>
        <w:ind w:right="61" w:firstLine="1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w:t>
      </w:r>
      <w:r>
        <w:rPr>
          <w:color w:val="auto"/>
          <w:highlight w:val="none"/>
        </w:rPr>
        <w:fldChar w:fldCharType="begin"/>
      </w:r>
      <w:r>
        <w:rPr>
          <w:color w:val="auto"/>
          <w:highlight w:val="none"/>
        </w:rPr>
        <w:instrText xml:space="preserve"> HYPERLINK "https://ggzy.xuchang.gov.cn" </w:instrText>
      </w:r>
      <w:r>
        <w:rPr>
          <w:color w:val="auto"/>
          <w:highlight w:val="none"/>
        </w:rPr>
        <w:fldChar w:fldCharType="separate"/>
      </w:r>
      <w:r>
        <w:rPr>
          <w:rFonts w:ascii="宋体" w:hAnsi="宋体" w:eastAsia="宋体" w:cs="宋体"/>
          <w:color w:val="auto"/>
          <w:spacing w:val="-5"/>
          <w:sz w:val="24"/>
          <w:szCs w:val="24"/>
          <w:highlight w:val="none"/>
        </w:rPr>
        <w:t>https://ggzy.xuchang.gov.cn</w:t>
      </w:r>
      <w:r>
        <w:rPr>
          <w:rFonts w:ascii="宋体" w:hAnsi="宋体" w:eastAsia="宋体" w:cs="宋体"/>
          <w:color w:val="auto"/>
          <w:spacing w:val="-5"/>
          <w:sz w:val="24"/>
          <w:szCs w:val="24"/>
          <w:highlight w:val="none"/>
        </w:rPr>
        <w:fldChar w:fldCharType="end"/>
      </w:r>
      <w:r>
        <w:rPr>
          <w:rFonts w:ascii="宋体" w:hAnsi="宋体" w:eastAsia="宋体" w:cs="宋体"/>
          <w:color w:val="auto"/>
          <w:spacing w:val="-5"/>
          <w:sz w:val="24"/>
          <w:szCs w:val="24"/>
          <w:highlight w:val="none"/>
        </w:rPr>
        <w:t>）下载“新点投标文件制作软件（河南省版）”（在“投</w:t>
      </w:r>
      <w:r>
        <w:rPr>
          <w:rFonts w:ascii="宋体" w:hAnsi="宋体" w:eastAsia="宋体" w:cs="宋体"/>
          <w:color w:val="auto"/>
          <w:spacing w:val="-2"/>
          <w:sz w:val="24"/>
          <w:szCs w:val="24"/>
          <w:highlight w:val="none"/>
        </w:rPr>
        <w:t>标人</w:t>
      </w:r>
      <w:r>
        <w:rPr>
          <w:rFonts w:ascii="宋体" w:hAnsi="宋体" w:eastAsia="宋体" w:cs="宋体"/>
          <w:color w:val="auto"/>
          <w:spacing w:val="-88"/>
          <w:sz w:val="24"/>
          <w:szCs w:val="24"/>
          <w:highlight w:val="none"/>
        </w:rPr>
        <w:t xml:space="preserve"> </w:t>
      </w:r>
      <w:r>
        <w:rPr>
          <w:rFonts w:ascii="宋体" w:hAnsi="宋体" w:eastAsia="宋体" w:cs="宋体"/>
          <w:color w:val="auto"/>
          <w:spacing w:val="-2"/>
          <w:sz w:val="24"/>
          <w:szCs w:val="24"/>
          <w:highlight w:val="none"/>
        </w:rPr>
        <w:t>”登录页面右下方“投标文件制作工具下</w:t>
      </w:r>
      <w:r>
        <w:rPr>
          <w:rFonts w:ascii="宋体" w:hAnsi="宋体" w:eastAsia="宋体" w:cs="宋体"/>
          <w:color w:val="auto"/>
          <w:spacing w:val="-3"/>
          <w:sz w:val="24"/>
          <w:szCs w:val="24"/>
          <w:highlight w:val="none"/>
        </w:rPr>
        <w:t>载</w:t>
      </w:r>
      <w:r>
        <w:rPr>
          <w:rFonts w:ascii="宋体" w:hAnsi="宋体" w:eastAsia="宋体" w:cs="宋体"/>
          <w:color w:val="auto"/>
          <w:spacing w:val="-88"/>
          <w:sz w:val="24"/>
          <w:szCs w:val="24"/>
          <w:highlight w:val="none"/>
        </w:rPr>
        <w:t xml:space="preserve"> </w:t>
      </w:r>
      <w:r>
        <w:rPr>
          <w:rFonts w:ascii="宋体" w:hAnsi="宋体" w:eastAsia="宋体" w:cs="宋体"/>
          <w:color w:val="auto"/>
          <w:spacing w:val="-3"/>
          <w:sz w:val="24"/>
          <w:szCs w:val="24"/>
          <w:highlight w:val="none"/>
        </w:rPr>
        <w:t>”）制作电子投标文件。</w:t>
      </w:r>
    </w:p>
    <w:p w14:paraId="406A1BA0">
      <w:pPr>
        <w:spacing w:before="2" w:line="341" w:lineRule="auto"/>
        <w:ind w:firstLine="48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3.2 供应商对同一项目多个标段进行投标的，应分别</w:t>
      </w:r>
      <w:r>
        <w:rPr>
          <w:rFonts w:ascii="宋体" w:hAnsi="宋体" w:eastAsia="宋体" w:cs="宋体"/>
          <w:color w:val="auto"/>
          <w:spacing w:val="-4"/>
          <w:sz w:val="24"/>
          <w:szCs w:val="24"/>
          <w:highlight w:val="none"/>
        </w:rPr>
        <w:t>下载所投标段的招标文件，按标</w:t>
      </w:r>
      <w:r>
        <w:rPr>
          <w:rFonts w:ascii="宋体" w:hAnsi="宋体" w:eastAsia="宋体" w:cs="宋体"/>
          <w:color w:val="auto"/>
          <w:spacing w:val="-3"/>
          <w:sz w:val="24"/>
          <w:szCs w:val="24"/>
          <w:highlight w:val="none"/>
        </w:rPr>
        <w:t>段制作投标文件。一个标段对应生成</w:t>
      </w:r>
      <w:r>
        <w:rPr>
          <w:rFonts w:ascii="宋体" w:hAnsi="宋体" w:eastAsia="宋体" w:cs="宋体"/>
          <w:color w:val="auto"/>
          <w:spacing w:val="-44"/>
          <w:sz w:val="24"/>
          <w:szCs w:val="24"/>
          <w:highlight w:val="none"/>
        </w:rPr>
        <w:t xml:space="preserve"> </w:t>
      </w:r>
      <w:r>
        <w:rPr>
          <w:rFonts w:ascii="宋体" w:hAnsi="宋体" w:eastAsia="宋体" w:cs="宋体"/>
          <w:color w:val="auto"/>
          <w:spacing w:val="-3"/>
          <w:sz w:val="24"/>
          <w:szCs w:val="24"/>
          <w:highlight w:val="none"/>
        </w:rPr>
        <w:t>2</w:t>
      </w:r>
      <w:r>
        <w:rPr>
          <w:rFonts w:ascii="宋体" w:hAnsi="宋体" w:eastAsia="宋体" w:cs="宋体"/>
          <w:color w:val="auto"/>
          <w:spacing w:val="-51"/>
          <w:sz w:val="24"/>
          <w:szCs w:val="24"/>
          <w:highlight w:val="none"/>
        </w:rPr>
        <w:t xml:space="preserve"> </w:t>
      </w:r>
      <w:r>
        <w:rPr>
          <w:rFonts w:ascii="宋体" w:hAnsi="宋体" w:eastAsia="宋体" w:cs="宋体"/>
          <w:color w:val="auto"/>
          <w:spacing w:val="-3"/>
          <w:sz w:val="24"/>
          <w:szCs w:val="24"/>
          <w:highlight w:val="none"/>
        </w:rPr>
        <w:t>份电子投标文件（后缀格式为.XCSTF</w:t>
      </w:r>
      <w:r>
        <w:rPr>
          <w:rFonts w:ascii="宋体" w:hAnsi="宋体" w:eastAsia="宋体" w:cs="宋体"/>
          <w:color w:val="auto"/>
          <w:spacing w:val="-50"/>
          <w:sz w:val="24"/>
          <w:szCs w:val="24"/>
          <w:highlight w:val="none"/>
        </w:rPr>
        <w:t xml:space="preserve"> </w:t>
      </w:r>
      <w:r>
        <w:rPr>
          <w:rFonts w:ascii="宋体" w:hAnsi="宋体" w:eastAsia="宋体" w:cs="宋体"/>
          <w:color w:val="auto"/>
          <w:spacing w:val="-3"/>
          <w:sz w:val="24"/>
          <w:szCs w:val="24"/>
          <w:highlight w:val="none"/>
        </w:rPr>
        <w:t>和.n</w:t>
      </w:r>
      <w:r>
        <w:rPr>
          <w:rFonts w:ascii="宋体" w:hAnsi="宋体" w:eastAsia="宋体" w:cs="宋体"/>
          <w:color w:val="auto"/>
          <w:spacing w:val="-4"/>
          <w:sz w:val="24"/>
          <w:szCs w:val="24"/>
          <w:highlight w:val="none"/>
        </w:rPr>
        <w:t>XCSTF</w:t>
      </w:r>
      <w:r>
        <w:rPr>
          <w:rFonts w:ascii="宋体" w:hAnsi="宋体" w:eastAsia="宋体" w:cs="宋体"/>
          <w:color w:val="auto"/>
          <w:spacing w:val="-60"/>
          <w:w w:val="95"/>
          <w:sz w:val="24"/>
          <w:szCs w:val="24"/>
          <w:highlight w:val="none"/>
        </w:rPr>
        <w:t>），</w:t>
      </w:r>
    </w:p>
    <w:p w14:paraId="73C0113E">
      <w:pPr>
        <w:spacing w:before="155" w:line="338" w:lineRule="auto"/>
        <w:ind w:right="77" w:firstLine="1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其中后缀格式为“.XCSTF</w:t>
      </w:r>
      <w:r>
        <w:rPr>
          <w:rFonts w:ascii="宋体" w:hAnsi="宋体" w:eastAsia="宋体" w:cs="宋体"/>
          <w:color w:val="auto"/>
          <w:spacing w:val="-81"/>
          <w:sz w:val="24"/>
          <w:szCs w:val="24"/>
          <w:highlight w:val="none"/>
        </w:rPr>
        <w:t xml:space="preserve"> </w:t>
      </w:r>
      <w:r>
        <w:rPr>
          <w:rFonts w:ascii="宋体" w:hAnsi="宋体" w:eastAsia="宋体" w:cs="宋体"/>
          <w:color w:val="auto"/>
          <w:spacing w:val="-4"/>
          <w:sz w:val="24"/>
          <w:szCs w:val="24"/>
          <w:highlight w:val="none"/>
        </w:rPr>
        <w:t>”的加密电子投标文件用于上传至交易系统中投标，后缀格式为</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nXCSTF</w:t>
      </w:r>
      <w:r>
        <w:rPr>
          <w:rFonts w:ascii="宋体" w:hAnsi="宋体" w:eastAsia="宋体" w:cs="宋体"/>
          <w:color w:val="auto"/>
          <w:spacing w:val="-88"/>
          <w:sz w:val="24"/>
          <w:szCs w:val="24"/>
          <w:highlight w:val="none"/>
        </w:rPr>
        <w:t xml:space="preserve"> </w:t>
      </w:r>
      <w:r>
        <w:rPr>
          <w:rFonts w:ascii="宋体" w:hAnsi="宋体" w:eastAsia="宋体" w:cs="宋体"/>
          <w:color w:val="auto"/>
          <w:spacing w:val="1"/>
          <w:sz w:val="24"/>
          <w:szCs w:val="24"/>
          <w:highlight w:val="none"/>
        </w:rPr>
        <w:t>”的不加密电子投标文件用于查看投标文</w:t>
      </w:r>
      <w:r>
        <w:rPr>
          <w:rFonts w:ascii="宋体" w:hAnsi="宋体" w:eastAsia="宋体" w:cs="宋体"/>
          <w:color w:val="auto"/>
          <w:sz w:val="24"/>
          <w:szCs w:val="24"/>
          <w:highlight w:val="none"/>
        </w:rPr>
        <w:t>件内容或导出PDF</w:t>
      </w:r>
      <w:r>
        <w:rPr>
          <w:rFonts w:ascii="宋体" w:hAnsi="宋体" w:eastAsia="宋体" w:cs="宋体"/>
          <w:color w:val="auto"/>
          <w:spacing w:val="-51"/>
          <w:sz w:val="24"/>
          <w:szCs w:val="24"/>
          <w:highlight w:val="none"/>
        </w:rPr>
        <w:t xml:space="preserve"> </w:t>
      </w:r>
      <w:r>
        <w:rPr>
          <w:rFonts w:ascii="宋体" w:hAnsi="宋体" w:eastAsia="宋体" w:cs="宋体"/>
          <w:color w:val="auto"/>
          <w:sz w:val="24"/>
          <w:szCs w:val="24"/>
          <w:highlight w:val="none"/>
        </w:rPr>
        <w:t>格式投标文件。</w:t>
      </w:r>
    </w:p>
    <w:p w14:paraId="6598129A">
      <w:pPr>
        <w:spacing w:line="219" w:lineRule="auto"/>
        <w:ind w:left="49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4.加密电子响应文件的提交</w:t>
      </w:r>
    </w:p>
    <w:p w14:paraId="164D5D60">
      <w:pPr>
        <w:spacing w:before="155" w:line="219" w:lineRule="auto"/>
        <w:ind w:right="20" w:firstLine="480" w:firstLineChars="20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4.1</w:t>
      </w:r>
      <w:r>
        <w:rPr>
          <w:rFonts w:ascii="宋体" w:hAnsi="宋体" w:eastAsia="宋体" w:cs="宋体"/>
          <w:color w:val="auto"/>
          <w:spacing w:val="-51"/>
          <w:sz w:val="24"/>
          <w:szCs w:val="24"/>
          <w:highlight w:val="none"/>
        </w:rPr>
        <w:t xml:space="preserve"> </w:t>
      </w:r>
      <w:r>
        <w:rPr>
          <w:rFonts w:ascii="宋体" w:hAnsi="宋体" w:eastAsia="宋体" w:cs="宋体"/>
          <w:color w:val="auto"/>
          <w:sz w:val="24"/>
          <w:szCs w:val="24"/>
          <w:highlight w:val="none"/>
        </w:rPr>
        <w:t>供应商对同一项目多个标段进行响应</w:t>
      </w:r>
      <w:r>
        <w:rPr>
          <w:rFonts w:ascii="宋体" w:hAnsi="宋体" w:eastAsia="宋体" w:cs="宋体"/>
          <w:color w:val="auto"/>
          <w:spacing w:val="-1"/>
          <w:sz w:val="24"/>
          <w:szCs w:val="24"/>
          <w:highlight w:val="none"/>
        </w:rPr>
        <w:t>的，加密电子响应文件应按标段分别提交。</w:t>
      </w:r>
    </w:p>
    <w:p w14:paraId="318C650F">
      <w:pPr>
        <w:spacing w:before="154" w:line="339" w:lineRule="auto"/>
        <w:ind w:left="11" w:right="16" w:firstLine="479"/>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4.2</w:t>
      </w:r>
      <w:r>
        <w:rPr>
          <w:rFonts w:ascii="宋体" w:hAnsi="宋体" w:eastAsia="宋体" w:cs="宋体"/>
          <w:color w:val="auto"/>
          <w:spacing w:val="-47"/>
          <w:sz w:val="24"/>
          <w:szCs w:val="24"/>
          <w:highlight w:val="none"/>
        </w:rPr>
        <w:t xml:space="preserve"> </w:t>
      </w:r>
      <w:r>
        <w:rPr>
          <w:rFonts w:ascii="宋体" w:hAnsi="宋体" w:eastAsia="宋体" w:cs="宋体"/>
          <w:color w:val="auto"/>
          <w:spacing w:val="-9"/>
          <w:sz w:val="24"/>
          <w:szCs w:val="24"/>
          <w:highlight w:val="none"/>
        </w:rPr>
        <w:t>加密电子响应文件成功上传至《全国公共资源交易平台（河南省·许昌市）》后，</w:t>
      </w:r>
      <w:r>
        <w:rPr>
          <w:rFonts w:ascii="宋体" w:hAnsi="宋体" w:eastAsia="宋体" w:cs="宋体"/>
          <w:color w:val="auto"/>
          <w:spacing w:val="-1"/>
          <w:sz w:val="24"/>
          <w:szCs w:val="24"/>
          <w:highlight w:val="none"/>
        </w:rPr>
        <w:t>应在上传页面进行模拟解密，以验证是否能够成功解密。</w:t>
      </w:r>
    </w:p>
    <w:p w14:paraId="24023C3A">
      <w:pPr>
        <w:spacing w:before="1" w:line="219" w:lineRule="auto"/>
        <w:ind w:left="49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5.远程不见面开标（电子响应文件的解密）</w:t>
      </w:r>
    </w:p>
    <w:p w14:paraId="0AEE5C1A">
      <w:pPr>
        <w:spacing w:before="153" w:line="339" w:lineRule="auto"/>
        <w:ind w:left="30" w:firstLine="46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5.1</w:t>
      </w:r>
      <w:r>
        <w:rPr>
          <w:rFonts w:ascii="宋体" w:hAnsi="宋体" w:eastAsia="宋体" w:cs="宋体"/>
          <w:color w:val="auto"/>
          <w:spacing w:val="-49"/>
          <w:sz w:val="24"/>
          <w:szCs w:val="24"/>
          <w:highlight w:val="none"/>
        </w:rPr>
        <w:t xml:space="preserve"> </w:t>
      </w:r>
      <w:r>
        <w:rPr>
          <w:rFonts w:ascii="宋体" w:hAnsi="宋体" w:eastAsia="宋体" w:cs="宋体"/>
          <w:color w:val="auto"/>
          <w:spacing w:val="-3"/>
          <w:sz w:val="24"/>
          <w:szCs w:val="24"/>
          <w:highlight w:val="none"/>
        </w:rPr>
        <w:t>本项目采用远程“不见面</w:t>
      </w:r>
      <w:r>
        <w:rPr>
          <w:rFonts w:ascii="宋体" w:hAnsi="宋体" w:eastAsia="宋体" w:cs="宋体"/>
          <w:color w:val="auto"/>
          <w:spacing w:val="-88"/>
          <w:sz w:val="24"/>
          <w:szCs w:val="24"/>
          <w:highlight w:val="none"/>
        </w:rPr>
        <w:t xml:space="preserve"> </w:t>
      </w:r>
      <w:r>
        <w:rPr>
          <w:rFonts w:ascii="宋体" w:hAnsi="宋体" w:eastAsia="宋体" w:cs="宋体"/>
          <w:color w:val="auto"/>
          <w:spacing w:val="-3"/>
          <w:sz w:val="24"/>
          <w:szCs w:val="24"/>
          <w:highlight w:val="none"/>
        </w:rPr>
        <w:t>”开标方式，投标前请详细阅读《全国公共资源交易平</w:t>
      </w:r>
      <w:r>
        <w:rPr>
          <w:rFonts w:ascii="宋体" w:hAnsi="宋体" w:eastAsia="宋体" w:cs="宋体"/>
          <w:color w:val="auto"/>
          <w:spacing w:val="-5"/>
          <w:sz w:val="24"/>
          <w:szCs w:val="24"/>
          <w:highlight w:val="none"/>
        </w:rPr>
        <w:t>台（河南省·许昌市）》的“服务指南</w:t>
      </w:r>
      <w:r>
        <w:rPr>
          <w:rFonts w:ascii="宋体" w:hAnsi="宋体" w:eastAsia="宋体" w:cs="宋体"/>
          <w:color w:val="auto"/>
          <w:spacing w:val="-88"/>
          <w:sz w:val="24"/>
          <w:szCs w:val="24"/>
          <w:highlight w:val="none"/>
        </w:rPr>
        <w:t xml:space="preserve"> </w:t>
      </w:r>
      <w:r>
        <w:rPr>
          <w:rFonts w:ascii="宋体" w:hAnsi="宋体" w:eastAsia="宋体" w:cs="宋体"/>
          <w:color w:val="auto"/>
          <w:spacing w:val="-5"/>
          <w:sz w:val="24"/>
          <w:szCs w:val="24"/>
          <w:highlight w:val="none"/>
        </w:rPr>
        <w:t>”栏目下《新交易平台使用手册》中的相关内容。</w:t>
      </w:r>
    </w:p>
    <w:p w14:paraId="31D06457">
      <w:pPr>
        <w:spacing w:before="2" w:line="337" w:lineRule="auto"/>
        <w:ind w:left="30" w:right="75" w:firstLine="46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5.2</w:t>
      </w:r>
      <w:r>
        <w:rPr>
          <w:rFonts w:ascii="宋体" w:hAnsi="宋体" w:eastAsia="宋体" w:cs="宋体"/>
          <w:color w:val="auto"/>
          <w:spacing w:val="-51"/>
          <w:sz w:val="24"/>
          <w:szCs w:val="24"/>
          <w:highlight w:val="none"/>
        </w:rPr>
        <w:t xml:space="preserve"> </w:t>
      </w:r>
      <w:r>
        <w:rPr>
          <w:rFonts w:ascii="宋体" w:hAnsi="宋体" w:eastAsia="宋体" w:cs="宋体"/>
          <w:color w:val="auto"/>
          <w:spacing w:val="-2"/>
          <w:sz w:val="24"/>
          <w:szCs w:val="24"/>
          <w:highlight w:val="none"/>
        </w:rPr>
        <w:t>供应商应按新交易平台使用手册提前设置好浏览器，并于开标时间前登</w:t>
      </w:r>
      <w:r>
        <w:rPr>
          <w:rFonts w:ascii="宋体" w:hAnsi="宋体" w:eastAsia="宋体" w:cs="宋体"/>
          <w:color w:val="auto"/>
          <w:spacing w:val="-3"/>
          <w:sz w:val="24"/>
          <w:szCs w:val="24"/>
          <w:highlight w:val="none"/>
        </w:rPr>
        <w:t>录本项目</w:t>
      </w:r>
      <w:r>
        <w:rPr>
          <w:rFonts w:ascii="宋体" w:hAnsi="宋体" w:eastAsia="宋体" w:cs="宋体"/>
          <w:color w:val="auto"/>
          <w:spacing w:val="-1"/>
          <w:sz w:val="24"/>
          <w:szCs w:val="24"/>
          <w:highlight w:val="none"/>
        </w:rPr>
        <w:t>网上开标大厅，按照规定的开标时间准时参加</w:t>
      </w:r>
      <w:r>
        <w:rPr>
          <w:rFonts w:ascii="宋体" w:hAnsi="宋体" w:eastAsia="宋体" w:cs="宋体"/>
          <w:color w:val="auto"/>
          <w:spacing w:val="-2"/>
          <w:sz w:val="24"/>
          <w:szCs w:val="24"/>
          <w:highlight w:val="none"/>
        </w:rPr>
        <w:t>网上开标。</w:t>
      </w:r>
    </w:p>
    <w:p w14:paraId="373F0157">
      <w:pPr>
        <w:spacing w:before="4" w:line="338" w:lineRule="auto"/>
        <w:ind w:left="11" w:right="75" w:firstLine="484"/>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5.3 根据开标大厅界面右侧“公告栏</w:t>
      </w:r>
      <w:r>
        <w:rPr>
          <w:rFonts w:ascii="宋体" w:hAnsi="宋体" w:eastAsia="宋体" w:cs="宋体"/>
          <w:color w:val="auto"/>
          <w:spacing w:val="-88"/>
          <w:sz w:val="24"/>
          <w:szCs w:val="24"/>
          <w:highlight w:val="none"/>
        </w:rPr>
        <w:t xml:space="preserve"> </w:t>
      </w:r>
      <w:r>
        <w:rPr>
          <w:rFonts w:ascii="宋体" w:hAnsi="宋体" w:eastAsia="宋体" w:cs="宋体"/>
          <w:color w:val="auto"/>
          <w:spacing w:val="-5"/>
          <w:sz w:val="24"/>
          <w:szCs w:val="24"/>
          <w:highlight w:val="none"/>
        </w:rPr>
        <w:t>”中的系统提示，供应商应在“标书解密</w:t>
      </w:r>
      <w:r>
        <w:rPr>
          <w:rFonts w:ascii="宋体" w:hAnsi="宋体" w:eastAsia="宋体" w:cs="宋体"/>
          <w:color w:val="auto"/>
          <w:spacing w:val="-88"/>
          <w:sz w:val="24"/>
          <w:szCs w:val="24"/>
          <w:highlight w:val="none"/>
        </w:rPr>
        <w:t xml:space="preserve"> </w:t>
      </w:r>
      <w:r>
        <w:rPr>
          <w:rFonts w:ascii="宋体" w:hAnsi="宋体" w:eastAsia="宋体" w:cs="宋体"/>
          <w:color w:val="auto"/>
          <w:spacing w:val="-5"/>
          <w:sz w:val="24"/>
          <w:szCs w:val="24"/>
          <w:highlight w:val="none"/>
        </w:rPr>
        <w:t>”</w:t>
      </w:r>
      <w:r>
        <w:rPr>
          <w:rFonts w:ascii="宋体" w:hAnsi="宋体" w:eastAsia="宋体" w:cs="宋体"/>
          <w:color w:val="auto"/>
          <w:spacing w:val="-6"/>
          <w:sz w:val="24"/>
          <w:szCs w:val="24"/>
          <w:highlight w:val="none"/>
        </w:rPr>
        <w:t>环节</w:t>
      </w:r>
      <w:r>
        <w:rPr>
          <w:rFonts w:ascii="宋体" w:hAnsi="宋体" w:eastAsia="宋体" w:cs="宋体"/>
          <w:color w:val="auto"/>
          <w:spacing w:val="-4"/>
          <w:sz w:val="24"/>
          <w:szCs w:val="24"/>
          <w:highlight w:val="none"/>
        </w:rPr>
        <w:t>完成解密操作（自代理机构点击“开启投标解密</w:t>
      </w:r>
      <w:r>
        <w:rPr>
          <w:rFonts w:ascii="宋体" w:hAnsi="宋体" w:eastAsia="宋体" w:cs="宋体"/>
          <w:color w:val="auto"/>
          <w:spacing w:val="-88"/>
          <w:sz w:val="24"/>
          <w:szCs w:val="24"/>
          <w:highlight w:val="none"/>
        </w:rPr>
        <w:t xml:space="preserve"> </w:t>
      </w:r>
      <w:r>
        <w:rPr>
          <w:rFonts w:ascii="宋体" w:hAnsi="宋体" w:eastAsia="宋体" w:cs="宋体"/>
          <w:color w:val="auto"/>
          <w:spacing w:val="-4"/>
          <w:sz w:val="24"/>
          <w:szCs w:val="24"/>
          <w:highlight w:val="none"/>
        </w:rPr>
        <w:t>”按钮后供应商解密，系统初设解密</w:t>
      </w:r>
      <w:r>
        <w:rPr>
          <w:rFonts w:ascii="宋体" w:hAnsi="宋体" w:eastAsia="宋体" w:cs="宋体"/>
          <w:color w:val="auto"/>
          <w:spacing w:val="-5"/>
          <w:sz w:val="24"/>
          <w:szCs w:val="24"/>
          <w:highlight w:val="none"/>
        </w:rPr>
        <w:t>时间</w:t>
      </w:r>
      <w:r>
        <w:rPr>
          <w:rFonts w:ascii="宋体" w:hAnsi="宋体" w:eastAsia="宋体" w:cs="宋体"/>
          <w:color w:val="auto"/>
          <w:spacing w:val="-4"/>
          <w:sz w:val="24"/>
          <w:szCs w:val="24"/>
          <w:highlight w:val="none"/>
        </w:rPr>
        <w:t>为</w:t>
      </w:r>
      <w:r>
        <w:rPr>
          <w:rFonts w:ascii="宋体" w:hAnsi="宋体" w:eastAsia="宋体" w:cs="宋体"/>
          <w:color w:val="auto"/>
          <w:spacing w:val="-46"/>
          <w:sz w:val="24"/>
          <w:szCs w:val="24"/>
          <w:highlight w:val="none"/>
        </w:rPr>
        <w:t xml:space="preserve"> </w:t>
      </w:r>
      <w:r>
        <w:rPr>
          <w:rFonts w:ascii="宋体" w:hAnsi="宋体" w:eastAsia="宋体" w:cs="宋体"/>
          <w:color w:val="auto"/>
          <w:spacing w:val="-4"/>
          <w:sz w:val="24"/>
          <w:szCs w:val="24"/>
          <w:highlight w:val="none"/>
        </w:rPr>
        <w:t>30</w:t>
      </w:r>
      <w:r>
        <w:rPr>
          <w:rFonts w:ascii="宋体" w:hAnsi="宋体" w:eastAsia="宋体" w:cs="宋体"/>
          <w:color w:val="auto"/>
          <w:spacing w:val="-47"/>
          <w:sz w:val="24"/>
          <w:szCs w:val="24"/>
          <w:highlight w:val="none"/>
        </w:rPr>
        <w:t xml:space="preserve"> </w:t>
      </w:r>
      <w:r>
        <w:rPr>
          <w:rFonts w:ascii="宋体" w:hAnsi="宋体" w:eastAsia="宋体" w:cs="宋体"/>
          <w:color w:val="auto"/>
          <w:spacing w:val="-4"/>
          <w:sz w:val="24"/>
          <w:szCs w:val="24"/>
          <w:highlight w:val="none"/>
        </w:rPr>
        <w:t>分钟，供应商应在</w:t>
      </w:r>
      <w:r>
        <w:rPr>
          <w:rFonts w:ascii="宋体" w:hAnsi="宋体" w:eastAsia="宋体" w:cs="宋体"/>
          <w:color w:val="auto"/>
          <w:spacing w:val="-46"/>
          <w:sz w:val="24"/>
          <w:szCs w:val="24"/>
          <w:highlight w:val="none"/>
        </w:rPr>
        <w:t xml:space="preserve"> </w:t>
      </w:r>
      <w:r>
        <w:rPr>
          <w:rFonts w:ascii="宋体" w:hAnsi="宋体" w:eastAsia="宋体" w:cs="宋体"/>
          <w:color w:val="auto"/>
          <w:spacing w:val="-4"/>
          <w:sz w:val="24"/>
          <w:szCs w:val="24"/>
          <w:highlight w:val="none"/>
        </w:rPr>
        <w:t>30</w:t>
      </w:r>
      <w:r>
        <w:rPr>
          <w:rFonts w:ascii="宋体" w:hAnsi="宋体" w:eastAsia="宋体" w:cs="宋体"/>
          <w:color w:val="auto"/>
          <w:spacing w:val="-48"/>
          <w:sz w:val="24"/>
          <w:szCs w:val="24"/>
          <w:highlight w:val="none"/>
        </w:rPr>
        <w:t xml:space="preserve"> </w:t>
      </w:r>
      <w:r>
        <w:rPr>
          <w:rFonts w:ascii="宋体" w:hAnsi="宋体" w:eastAsia="宋体" w:cs="宋体"/>
          <w:color w:val="auto"/>
          <w:spacing w:val="-4"/>
          <w:sz w:val="24"/>
          <w:szCs w:val="24"/>
          <w:highlight w:val="none"/>
        </w:rPr>
        <w:t>分钟内完成解密。</w:t>
      </w:r>
      <w:r>
        <w:rPr>
          <w:rFonts w:ascii="宋体" w:hAnsi="宋体" w:eastAsia="宋体" w:cs="宋体"/>
          <w:color w:val="auto"/>
          <w:spacing w:val="-5"/>
          <w:sz w:val="24"/>
          <w:szCs w:val="24"/>
          <w:highlight w:val="none"/>
        </w:rPr>
        <w:t>如因网络、系统原因未完成解密的，招标人</w:t>
      </w:r>
      <w:r>
        <w:rPr>
          <w:rFonts w:ascii="宋体" w:hAnsi="宋体" w:eastAsia="宋体" w:cs="宋体"/>
          <w:color w:val="auto"/>
          <w:spacing w:val="-3"/>
          <w:sz w:val="24"/>
          <w:szCs w:val="24"/>
          <w:highlight w:val="none"/>
        </w:rPr>
        <w:t>（代理机构）报经相关监督管理部门同意后可适当延长解密时间</w:t>
      </w:r>
      <w:r>
        <w:rPr>
          <w:rFonts w:ascii="宋体" w:hAnsi="宋体" w:eastAsia="宋体" w:cs="宋体"/>
          <w:color w:val="auto"/>
          <w:spacing w:val="-4"/>
          <w:sz w:val="24"/>
          <w:szCs w:val="24"/>
          <w:highlight w:val="none"/>
        </w:rPr>
        <w:t>）。供应商未解密或因供</w:t>
      </w:r>
      <w:r>
        <w:rPr>
          <w:rFonts w:ascii="宋体" w:hAnsi="宋体" w:eastAsia="宋体" w:cs="宋体"/>
          <w:color w:val="auto"/>
          <w:spacing w:val="-1"/>
          <w:sz w:val="24"/>
          <w:szCs w:val="24"/>
          <w:highlight w:val="none"/>
        </w:rPr>
        <w:t>应商原因解密失败的，其响应文件将被退回。</w:t>
      </w:r>
    </w:p>
    <w:p w14:paraId="6EE1F0CF">
      <w:pPr>
        <w:spacing w:before="2" w:line="338" w:lineRule="auto"/>
        <w:ind w:left="10" w:right="13" w:firstLine="485"/>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5.4 在“唱标</w:t>
      </w:r>
      <w:r>
        <w:rPr>
          <w:rFonts w:ascii="宋体" w:hAnsi="宋体" w:eastAsia="宋体" w:cs="宋体"/>
          <w:color w:val="auto"/>
          <w:spacing w:val="-88"/>
          <w:sz w:val="24"/>
          <w:szCs w:val="24"/>
          <w:highlight w:val="none"/>
        </w:rPr>
        <w:t xml:space="preserve"> </w:t>
      </w:r>
      <w:r>
        <w:rPr>
          <w:rFonts w:ascii="宋体" w:hAnsi="宋体" w:eastAsia="宋体" w:cs="宋体"/>
          <w:color w:val="auto"/>
          <w:spacing w:val="-8"/>
          <w:sz w:val="24"/>
          <w:szCs w:val="24"/>
          <w:highlight w:val="none"/>
        </w:rPr>
        <w:t>”环节，供应商应对唱标</w:t>
      </w:r>
      <w:r>
        <w:rPr>
          <w:rFonts w:ascii="宋体" w:hAnsi="宋体" w:eastAsia="宋体" w:cs="宋体"/>
          <w:color w:val="auto"/>
          <w:spacing w:val="-9"/>
          <w:sz w:val="24"/>
          <w:szCs w:val="24"/>
          <w:highlight w:val="none"/>
        </w:rPr>
        <w:t>信息进行确认，供应商未进行唱标确认操作的，</w:t>
      </w:r>
      <w:r>
        <w:rPr>
          <w:rFonts w:ascii="宋体" w:hAnsi="宋体" w:eastAsia="宋体" w:cs="宋体"/>
          <w:color w:val="auto"/>
          <w:spacing w:val="-1"/>
          <w:sz w:val="24"/>
          <w:szCs w:val="24"/>
          <w:highlight w:val="none"/>
        </w:rPr>
        <w:t>视同认可唱标结果。</w:t>
      </w:r>
    </w:p>
    <w:p w14:paraId="00E392C2">
      <w:pPr>
        <w:spacing w:before="2" w:line="337" w:lineRule="auto"/>
        <w:ind w:left="15" w:right="75" w:firstLine="48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5.5 在“开标结束</w:t>
      </w:r>
      <w:r>
        <w:rPr>
          <w:rFonts w:ascii="宋体" w:hAnsi="宋体" w:eastAsia="宋体" w:cs="宋体"/>
          <w:color w:val="auto"/>
          <w:spacing w:val="-88"/>
          <w:sz w:val="24"/>
          <w:szCs w:val="24"/>
          <w:highlight w:val="none"/>
        </w:rPr>
        <w:t xml:space="preserve"> </w:t>
      </w:r>
      <w:r>
        <w:rPr>
          <w:rFonts w:ascii="宋体" w:hAnsi="宋体" w:eastAsia="宋体" w:cs="宋体"/>
          <w:color w:val="auto"/>
          <w:spacing w:val="-4"/>
          <w:sz w:val="24"/>
          <w:szCs w:val="24"/>
          <w:highlight w:val="none"/>
        </w:rPr>
        <w:t>”环节，供应商应在《开标情况记录表》上进行电</w:t>
      </w:r>
      <w:r>
        <w:rPr>
          <w:rFonts w:ascii="宋体" w:hAnsi="宋体" w:eastAsia="宋体" w:cs="宋体"/>
          <w:color w:val="auto"/>
          <w:spacing w:val="-5"/>
          <w:sz w:val="24"/>
          <w:szCs w:val="24"/>
          <w:highlight w:val="none"/>
        </w:rPr>
        <w:t>子签章。供应商</w:t>
      </w:r>
      <w:r>
        <w:rPr>
          <w:rFonts w:ascii="宋体" w:hAnsi="宋体" w:eastAsia="宋体" w:cs="宋体"/>
          <w:color w:val="auto"/>
          <w:spacing w:val="-1"/>
          <w:sz w:val="24"/>
          <w:szCs w:val="24"/>
          <w:highlight w:val="none"/>
        </w:rPr>
        <w:t>未签章的，视同认可开标结果。</w:t>
      </w:r>
    </w:p>
    <w:p w14:paraId="42BE8892">
      <w:pPr>
        <w:spacing w:before="2" w:line="338" w:lineRule="auto"/>
        <w:ind w:left="14" w:right="75" w:firstLine="48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5.6 供应商对开标过程和开标记录如有疑义，可在本</w:t>
      </w:r>
      <w:r>
        <w:rPr>
          <w:rFonts w:ascii="宋体" w:hAnsi="宋体" w:eastAsia="宋体" w:cs="宋体"/>
          <w:color w:val="auto"/>
          <w:spacing w:val="-4"/>
          <w:sz w:val="24"/>
          <w:szCs w:val="24"/>
          <w:highlight w:val="none"/>
        </w:rPr>
        <w:t>项目开标大厅界面右下方“发起</w:t>
      </w:r>
      <w:r>
        <w:rPr>
          <w:rFonts w:ascii="宋体" w:hAnsi="宋体" w:eastAsia="宋体" w:cs="宋体"/>
          <w:color w:val="auto"/>
          <w:spacing w:val="-5"/>
          <w:sz w:val="24"/>
          <w:szCs w:val="24"/>
          <w:highlight w:val="none"/>
        </w:rPr>
        <w:t>异议</w:t>
      </w:r>
      <w:r>
        <w:rPr>
          <w:rFonts w:ascii="宋体" w:hAnsi="宋体" w:eastAsia="宋体" w:cs="宋体"/>
          <w:color w:val="auto"/>
          <w:spacing w:val="-89"/>
          <w:sz w:val="24"/>
          <w:szCs w:val="24"/>
          <w:highlight w:val="none"/>
        </w:rPr>
        <w:t xml:space="preserve"> </w:t>
      </w:r>
      <w:r>
        <w:rPr>
          <w:rFonts w:ascii="宋体" w:hAnsi="宋体" w:eastAsia="宋体" w:cs="宋体"/>
          <w:color w:val="auto"/>
          <w:spacing w:val="-5"/>
          <w:sz w:val="24"/>
          <w:szCs w:val="24"/>
          <w:highlight w:val="none"/>
        </w:rPr>
        <w:t>”中提出异议。</w:t>
      </w:r>
    </w:p>
    <w:p w14:paraId="366113DC">
      <w:pPr>
        <w:spacing w:before="1" w:line="218" w:lineRule="auto"/>
        <w:ind w:left="49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6.评标依据</w:t>
      </w:r>
    </w:p>
    <w:p w14:paraId="30E5707B">
      <w:pPr>
        <w:spacing w:before="155" w:line="339" w:lineRule="auto"/>
        <w:ind w:left="13" w:right="75" w:firstLine="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6.1</w:t>
      </w:r>
      <w:r>
        <w:rPr>
          <w:rFonts w:ascii="宋体" w:hAnsi="宋体" w:eastAsia="宋体" w:cs="宋体"/>
          <w:color w:val="auto"/>
          <w:spacing w:val="-51"/>
          <w:sz w:val="24"/>
          <w:szCs w:val="24"/>
          <w:highlight w:val="none"/>
        </w:rPr>
        <w:t xml:space="preserve"> </w:t>
      </w:r>
      <w:r>
        <w:rPr>
          <w:rFonts w:ascii="宋体" w:hAnsi="宋体" w:eastAsia="宋体" w:cs="宋体"/>
          <w:color w:val="auto"/>
          <w:spacing w:val="-2"/>
          <w:sz w:val="24"/>
          <w:szCs w:val="24"/>
          <w:highlight w:val="none"/>
        </w:rPr>
        <w:t>全流程电子化交易（不见面开标）项目，磋商小组以成功上传、解密的电子响应文件为评审依据。</w:t>
      </w:r>
    </w:p>
    <w:p w14:paraId="04510F29">
      <w:pPr>
        <w:spacing w:before="2" w:line="338" w:lineRule="auto"/>
        <w:ind w:left="9" w:right="77" w:firstLine="48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6.2</w:t>
      </w:r>
      <w:r>
        <w:rPr>
          <w:rFonts w:ascii="宋体" w:hAnsi="宋体" w:eastAsia="宋体" w:cs="宋体"/>
          <w:color w:val="auto"/>
          <w:spacing w:val="-51"/>
          <w:sz w:val="24"/>
          <w:szCs w:val="24"/>
          <w:highlight w:val="none"/>
        </w:rPr>
        <w:t xml:space="preserve"> </w:t>
      </w:r>
      <w:r>
        <w:rPr>
          <w:rFonts w:ascii="宋体" w:hAnsi="宋体" w:eastAsia="宋体" w:cs="宋体"/>
          <w:color w:val="auto"/>
          <w:spacing w:val="-2"/>
          <w:sz w:val="24"/>
          <w:szCs w:val="24"/>
          <w:highlight w:val="none"/>
        </w:rPr>
        <w:t>评审期间，供应商须密切关注评审进程，当磋商小组在评标系统发出磋商</w:t>
      </w:r>
      <w:r>
        <w:rPr>
          <w:rFonts w:ascii="宋体" w:hAnsi="宋体" w:eastAsia="宋体" w:cs="宋体"/>
          <w:color w:val="auto"/>
          <w:spacing w:val="-3"/>
          <w:sz w:val="24"/>
          <w:szCs w:val="24"/>
          <w:highlight w:val="none"/>
        </w:rPr>
        <w:t>、最终</w:t>
      </w:r>
      <w:r>
        <w:rPr>
          <w:rFonts w:ascii="宋体" w:hAnsi="宋体" w:eastAsia="宋体" w:cs="宋体"/>
          <w:color w:val="auto"/>
          <w:spacing w:val="-1"/>
          <w:sz w:val="24"/>
          <w:szCs w:val="24"/>
          <w:highlight w:val="none"/>
        </w:rPr>
        <w:t>报价等通知后，及时作出回复：</w:t>
      </w:r>
    </w:p>
    <w:p w14:paraId="75B3065A">
      <w:pPr>
        <w:spacing w:before="2" w:line="337" w:lineRule="auto"/>
        <w:ind w:left="492" w:right="18" w:firstLine="10"/>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（1）最后报价（加盖公章，或者由法定代表人（单位负责人）或其授权的代表签字</w:t>
      </w:r>
      <w:r>
        <w:rPr>
          <w:rFonts w:ascii="宋体" w:hAnsi="宋体" w:eastAsia="宋体" w:cs="宋体"/>
          <w:color w:val="auto"/>
          <w:spacing w:val="-54"/>
          <w:w w:val="84"/>
          <w:sz w:val="24"/>
          <w:szCs w:val="24"/>
          <w:highlight w:val="none"/>
        </w:rPr>
        <w:t>）；</w:t>
      </w:r>
      <w:r>
        <w:rPr>
          <w:rFonts w:ascii="宋体" w:hAnsi="宋体" w:eastAsia="宋体" w:cs="宋体"/>
          <w:color w:val="auto"/>
          <w:spacing w:val="-1"/>
          <w:sz w:val="24"/>
          <w:szCs w:val="24"/>
          <w:highlight w:val="none"/>
        </w:rPr>
        <w:t>提交方式：供应商须使用CA</w:t>
      </w:r>
      <w:r>
        <w:rPr>
          <w:rFonts w:ascii="宋体" w:hAnsi="宋体" w:eastAsia="宋体" w:cs="宋体"/>
          <w:color w:val="auto"/>
          <w:spacing w:val="-49"/>
          <w:sz w:val="24"/>
          <w:szCs w:val="24"/>
          <w:highlight w:val="none"/>
        </w:rPr>
        <w:t xml:space="preserve"> </w:t>
      </w:r>
      <w:r>
        <w:rPr>
          <w:rFonts w:ascii="宋体" w:hAnsi="宋体" w:eastAsia="宋体" w:cs="宋体"/>
          <w:color w:val="auto"/>
          <w:spacing w:val="-1"/>
          <w:sz w:val="24"/>
          <w:szCs w:val="24"/>
          <w:highlight w:val="none"/>
        </w:rPr>
        <w:t>数字证书登录</w:t>
      </w:r>
      <w:r>
        <w:rPr>
          <w:rFonts w:ascii="宋体" w:hAnsi="宋体" w:eastAsia="宋体" w:cs="宋体"/>
          <w:color w:val="auto"/>
          <w:spacing w:val="-2"/>
          <w:sz w:val="24"/>
          <w:szCs w:val="24"/>
          <w:highlight w:val="none"/>
        </w:rPr>
        <w:t>《全国公共资源交易平台（河南省</w:t>
      </w:r>
      <w:r>
        <w:rPr>
          <w:rFonts w:ascii="宋体" w:hAnsi="宋体" w:eastAsia="宋体" w:cs="宋体"/>
          <w:color w:val="auto"/>
          <w:spacing w:val="-28"/>
          <w:sz w:val="24"/>
          <w:szCs w:val="24"/>
          <w:highlight w:val="none"/>
        </w:rPr>
        <w:t xml:space="preserve"> </w:t>
      </w:r>
      <w:r>
        <w:rPr>
          <w:rFonts w:ascii="宋体" w:hAnsi="宋体" w:eastAsia="宋体" w:cs="宋体"/>
          <w:color w:val="auto"/>
          <w:spacing w:val="-2"/>
          <w:sz w:val="24"/>
          <w:szCs w:val="24"/>
          <w:highlight w:val="none"/>
        </w:rPr>
        <w:t>·许昌</w:t>
      </w:r>
    </w:p>
    <w:p w14:paraId="7241E368">
      <w:pPr>
        <w:spacing w:before="2" w:line="340" w:lineRule="auto"/>
        <w:ind w:left="11" w:right="80" w:firstLine="6"/>
        <w:rPr>
          <w:rFonts w:ascii="宋体" w:hAnsi="宋体" w:eastAsia="宋体" w:cs="宋体"/>
          <w:color w:val="auto"/>
          <w:spacing w:val="-2"/>
          <w:sz w:val="24"/>
          <w:szCs w:val="24"/>
          <w:highlight w:val="none"/>
        </w:rPr>
      </w:pPr>
      <w:r>
        <w:rPr>
          <w:rFonts w:ascii="宋体" w:hAnsi="宋体" w:eastAsia="宋体" w:cs="宋体"/>
          <w:color w:val="auto"/>
          <w:sz w:val="24"/>
          <w:szCs w:val="24"/>
          <w:highlight w:val="none"/>
        </w:rPr>
        <w:t>市）》公共资源交易系统（</w:t>
      </w:r>
      <w:r>
        <w:rPr>
          <w:color w:val="auto"/>
          <w:highlight w:val="none"/>
        </w:rPr>
        <w:fldChar w:fldCharType="begin"/>
      </w:r>
      <w:r>
        <w:rPr>
          <w:color w:val="auto"/>
          <w:highlight w:val="none"/>
        </w:rPr>
        <w:instrText xml:space="preserve"> HYPERLINK "https://ggzy.xuchang.gov.cn" </w:instrText>
      </w:r>
      <w:r>
        <w:rPr>
          <w:color w:val="auto"/>
          <w:highlight w:val="none"/>
        </w:rPr>
        <w:fldChar w:fldCharType="separate"/>
      </w:r>
      <w:r>
        <w:rPr>
          <w:rFonts w:ascii="宋体" w:hAnsi="宋体" w:eastAsia="宋体" w:cs="宋体"/>
          <w:color w:val="auto"/>
          <w:sz w:val="24"/>
          <w:szCs w:val="24"/>
          <w:highlight w:val="none"/>
        </w:rPr>
        <w:t>https://ggzy.xuchang.go</w:t>
      </w:r>
      <w:r>
        <w:rPr>
          <w:rFonts w:ascii="宋体" w:hAnsi="宋体" w:eastAsia="宋体" w:cs="宋体"/>
          <w:color w:val="auto"/>
          <w:spacing w:val="-1"/>
          <w:sz w:val="24"/>
          <w:szCs w:val="24"/>
          <w:highlight w:val="none"/>
        </w:rPr>
        <w:t>v.cn</w:t>
      </w:r>
      <w:r>
        <w:rPr>
          <w:rFonts w:ascii="宋体" w:hAnsi="宋体" w:eastAsia="宋体" w:cs="宋体"/>
          <w:color w:val="auto"/>
          <w:spacing w:val="-1"/>
          <w:sz w:val="24"/>
          <w:szCs w:val="24"/>
          <w:highlight w:val="none"/>
        </w:rPr>
        <w:fldChar w:fldCharType="end"/>
      </w:r>
      <w:r>
        <w:rPr>
          <w:rFonts w:ascii="宋体" w:hAnsi="宋体" w:eastAsia="宋体" w:cs="宋体"/>
          <w:color w:val="auto"/>
          <w:spacing w:val="-1"/>
          <w:sz w:val="24"/>
          <w:szCs w:val="24"/>
          <w:highlight w:val="none"/>
        </w:rPr>
        <w:t>）进行最后报价，最后报价应包括：①总报价；②分项报价（提交最后报价的供应商不得少于</w:t>
      </w:r>
      <w:r>
        <w:rPr>
          <w:rFonts w:ascii="宋体" w:hAnsi="宋体" w:eastAsia="宋体" w:cs="宋体"/>
          <w:color w:val="auto"/>
          <w:spacing w:val="-46"/>
          <w:sz w:val="24"/>
          <w:szCs w:val="24"/>
          <w:highlight w:val="none"/>
        </w:rPr>
        <w:t xml:space="preserve"> </w:t>
      </w:r>
      <w:r>
        <w:rPr>
          <w:rFonts w:ascii="宋体" w:hAnsi="宋体" w:eastAsia="宋体" w:cs="宋体"/>
          <w:color w:val="auto"/>
          <w:spacing w:val="-2"/>
          <w:sz w:val="24"/>
          <w:szCs w:val="24"/>
          <w:highlight w:val="none"/>
        </w:rPr>
        <w:t>3</w:t>
      </w:r>
      <w:r>
        <w:rPr>
          <w:rFonts w:ascii="宋体" w:hAnsi="宋体" w:eastAsia="宋体" w:cs="宋体"/>
          <w:color w:val="auto"/>
          <w:spacing w:val="-49"/>
          <w:sz w:val="24"/>
          <w:szCs w:val="24"/>
          <w:highlight w:val="none"/>
        </w:rPr>
        <w:t xml:space="preserve"> </w:t>
      </w:r>
      <w:r>
        <w:rPr>
          <w:rFonts w:ascii="宋体" w:hAnsi="宋体" w:eastAsia="宋体" w:cs="宋体"/>
          <w:color w:val="auto"/>
          <w:spacing w:val="-2"/>
          <w:sz w:val="24"/>
          <w:szCs w:val="24"/>
          <w:highlight w:val="none"/>
        </w:rPr>
        <w:t>家）。</w:t>
      </w:r>
    </w:p>
    <w:p w14:paraId="58F166A5">
      <w:pPr>
        <w:spacing w:before="2" w:line="340" w:lineRule="auto"/>
        <w:ind w:left="11" w:right="80" w:firstLine="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注：①磋商小组要求供应商提交最后报价时，</w:t>
      </w:r>
      <w:r>
        <w:rPr>
          <w:rFonts w:ascii="宋体" w:hAnsi="宋体" w:eastAsia="宋体" w:cs="宋体"/>
          <w:color w:val="auto"/>
          <w:spacing w:val="-4"/>
          <w:sz w:val="24"/>
          <w:szCs w:val="24"/>
          <w:highlight w:val="none"/>
        </w:rPr>
        <w:t>在磋商小组规定时间内，供应商应提交</w:t>
      </w:r>
      <w:r>
        <w:rPr>
          <w:rFonts w:ascii="宋体" w:hAnsi="宋体" w:eastAsia="宋体" w:cs="宋体"/>
          <w:color w:val="auto"/>
          <w:sz w:val="24"/>
          <w:szCs w:val="24"/>
          <w:highlight w:val="none"/>
        </w:rPr>
        <w:t>最后报价（包括总报价及分项报价）。最后报价是供</w:t>
      </w:r>
      <w:r>
        <w:rPr>
          <w:rFonts w:ascii="宋体" w:hAnsi="宋体" w:eastAsia="宋体" w:cs="宋体"/>
          <w:color w:val="auto"/>
          <w:spacing w:val="-1"/>
          <w:sz w:val="24"/>
          <w:szCs w:val="24"/>
          <w:highlight w:val="none"/>
        </w:rPr>
        <w:t>应商响应文件的有效组成部分。</w:t>
      </w:r>
    </w:p>
    <w:p w14:paraId="4D9FAFF4">
      <w:pPr>
        <w:spacing w:before="2" w:line="338" w:lineRule="auto"/>
        <w:ind w:right="237" w:firstLine="479"/>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②磋商文件第二章“采购需求</w:t>
      </w:r>
      <w:r>
        <w:rPr>
          <w:rFonts w:ascii="宋体" w:hAnsi="宋体" w:eastAsia="宋体" w:cs="宋体"/>
          <w:color w:val="auto"/>
          <w:spacing w:val="-88"/>
          <w:sz w:val="24"/>
          <w:szCs w:val="24"/>
          <w:highlight w:val="none"/>
        </w:rPr>
        <w:t xml:space="preserve"> </w:t>
      </w:r>
      <w:r>
        <w:rPr>
          <w:rFonts w:ascii="宋体" w:hAnsi="宋体" w:eastAsia="宋体" w:cs="宋体"/>
          <w:color w:val="auto"/>
          <w:spacing w:val="-5"/>
          <w:sz w:val="24"/>
          <w:szCs w:val="24"/>
          <w:highlight w:val="none"/>
        </w:rPr>
        <w:t>”中“采购清单</w:t>
      </w:r>
      <w:r>
        <w:rPr>
          <w:rFonts w:ascii="宋体" w:hAnsi="宋体" w:eastAsia="宋体" w:cs="宋体"/>
          <w:color w:val="auto"/>
          <w:spacing w:val="-89"/>
          <w:sz w:val="24"/>
          <w:szCs w:val="24"/>
          <w:highlight w:val="none"/>
        </w:rPr>
        <w:t xml:space="preserve"> </w:t>
      </w:r>
      <w:r>
        <w:rPr>
          <w:rFonts w:ascii="宋体" w:hAnsi="宋体" w:eastAsia="宋体" w:cs="宋体"/>
          <w:color w:val="auto"/>
          <w:spacing w:val="-5"/>
          <w:sz w:val="24"/>
          <w:szCs w:val="24"/>
          <w:highlight w:val="none"/>
        </w:rPr>
        <w:t>”以工程量清单提供的，供</w:t>
      </w:r>
      <w:r>
        <w:rPr>
          <w:rFonts w:ascii="宋体" w:hAnsi="宋体" w:eastAsia="宋体" w:cs="宋体"/>
          <w:color w:val="auto"/>
          <w:spacing w:val="-6"/>
          <w:sz w:val="24"/>
          <w:szCs w:val="24"/>
          <w:highlight w:val="none"/>
        </w:rPr>
        <w:t>应商应以工</w:t>
      </w:r>
      <w:r>
        <w:rPr>
          <w:rFonts w:ascii="宋体" w:hAnsi="宋体" w:eastAsia="宋体" w:cs="宋体"/>
          <w:color w:val="auto"/>
          <w:spacing w:val="-1"/>
          <w:sz w:val="24"/>
          <w:szCs w:val="24"/>
          <w:highlight w:val="none"/>
        </w:rPr>
        <w:t>程量清单方式提交最后报价，提交最后报价的供应商不得</w:t>
      </w:r>
      <w:r>
        <w:rPr>
          <w:rFonts w:ascii="宋体" w:hAnsi="宋体" w:eastAsia="宋体" w:cs="宋体"/>
          <w:color w:val="auto"/>
          <w:spacing w:val="-2"/>
          <w:sz w:val="24"/>
          <w:szCs w:val="24"/>
          <w:highlight w:val="none"/>
        </w:rPr>
        <w:t>少于</w:t>
      </w:r>
      <w:r>
        <w:rPr>
          <w:rFonts w:ascii="宋体" w:hAnsi="宋体" w:eastAsia="宋体" w:cs="宋体"/>
          <w:color w:val="auto"/>
          <w:spacing w:val="-46"/>
          <w:sz w:val="24"/>
          <w:szCs w:val="24"/>
          <w:highlight w:val="none"/>
        </w:rPr>
        <w:t xml:space="preserve"> </w:t>
      </w:r>
      <w:r>
        <w:rPr>
          <w:rFonts w:ascii="宋体" w:hAnsi="宋体" w:eastAsia="宋体" w:cs="宋体"/>
          <w:color w:val="auto"/>
          <w:spacing w:val="-2"/>
          <w:sz w:val="24"/>
          <w:szCs w:val="24"/>
          <w:highlight w:val="none"/>
        </w:rPr>
        <w:t>3</w:t>
      </w:r>
      <w:r>
        <w:rPr>
          <w:rFonts w:ascii="宋体" w:hAnsi="宋体" w:eastAsia="宋体" w:cs="宋体"/>
          <w:color w:val="auto"/>
          <w:spacing w:val="-49"/>
          <w:sz w:val="24"/>
          <w:szCs w:val="24"/>
          <w:highlight w:val="none"/>
        </w:rPr>
        <w:t xml:space="preserve"> </w:t>
      </w:r>
      <w:r>
        <w:rPr>
          <w:rFonts w:ascii="宋体" w:hAnsi="宋体" w:eastAsia="宋体" w:cs="宋体"/>
          <w:color w:val="auto"/>
          <w:spacing w:val="-2"/>
          <w:sz w:val="24"/>
          <w:szCs w:val="24"/>
          <w:highlight w:val="none"/>
        </w:rPr>
        <w:t>家。</w:t>
      </w:r>
    </w:p>
    <w:p w14:paraId="463E2D55">
      <w:pPr>
        <w:spacing w:line="217" w:lineRule="auto"/>
        <w:ind w:left="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③请供应商根据项目情况，可提前准备分项报价。</w:t>
      </w:r>
    </w:p>
    <w:p w14:paraId="4CAC98B4">
      <w:pPr>
        <w:spacing w:before="154" w:line="339" w:lineRule="auto"/>
        <w:ind w:left="1" w:right="154" w:firstLine="49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（2）磋商小组如要求供应商提供“澄清、说</w:t>
      </w:r>
      <w:r>
        <w:rPr>
          <w:rFonts w:ascii="宋体" w:hAnsi="宋体" w:eastAsia="宋体" w:cs="宋体"/>
          <w:color w:val="auto"/>
          <w:spacing w:val="-2"/>
          <w:sz w:val="24"/>
          <w:szCs w:val="24"/>
          <w:highlight w:val="none"/>
        </w:rPr>
        <w:t>明或者更正</w:t>
      </w:r>
      <w:r>
        <w:rPr>
          <w:rFonts w:ascii="宋体" w:hAnsi="宋体" w:eastAsia="宋体" w:cs="宋体"/>
          <w:color w:val="auto"/>
          <w:spacing w:val="-88"/>
          <w:sz w:val="24"/>
          <w:szCs w:val="24"/>
          <w:highlight w:val="none"/>
        </w:rPr>
        <w:t xml:space="preserve"> </w:t>
      </w:r>
      <w:r>
        <w:rPr>
          <w:rFonts w:ascii="宋体" w:hAnsi="宋体" w:eastAsia="宋体" w:cs="宋体"/>
          <w:color w:val="auto"/>
          <w:spacing w:val="-2"/>
          <w:sz w:val="24"/>
          <w:szCs w:val="24"/>
          <w:highlight w:val="none"/>
        </w:rPr>
        <w:t>”；“按照磋商文件的变动</w:t>
      </w:r>
      <w:r>
        <w:rPr>
          <w:rFonts w:ascii="宋体" w:hAnsi="宋体" w:eastAsia="宋体" w:cs="宋体"/>
          <w:color w:val="auto"/>
          <w:spacing w:val="-5"/>
          <w:sz w:val="24"/>
          <w:szCs w:val="24"/>
          <w:highlight w:val="none"/>
        </w:rPr>
        <w:t>情况和磋商小组的要求重新提交响应文件</w:t>
      </w:r>
      <w:r>
        <w:rPr>
          <w:rFonts w:ascii="宋体" w:hAnsi="宋体" w:eastAsia="宋体" w:cs="宋体"/>
          <w:color w:val="auto"/>
          <w:spacing w:val="-85"/>
          <w:sz w:val="24"/>
          <w:szCs w:val="24"/>
          <w:highlight w:val="none"/>
        </w:rPr>
        <w:t xml:space="preserve"> </w:t>
      </w:r>
      <w:r>
        <w:rPr>
          <w:rFonts w:ascii="宋体" w:hAnsi="宋体" w:eastAsia="宋体" w:cs="宋体"/>
          <w:color w:val="auto"/>
          <w:spacing w:val="-5"/>
          <w:sz w:val="24"/>
          <w:szCs w:val="24"/>
          <w:highlight w:val="none"/>
        </w:rPr>
        <w:t>”；“最终设计方案或解决方案</w:t>
      </w:r>
      <w:r>
        <w:rPr>
          <w:rFonts w:ascii="宋体" w:hAnsi="宋体" w:eastAsia="宋体" w:cs="宋体"/>
          <w:color w:val="auto"/>
          <w:spacing w:val="-88"/>
          <w:sz w:val="24"/>
          <w:szCs w:val="24"/>
          <w:highlight w:val="none"/>
        </w:rPr>
        <w:t xml:space="preserve"> </w:t>
      </w:r>
      <w:r>
        <w:rPr>
          <w:rFonts w:ascii="宋体" w:hAnsi="宋体" w:eastAsia="宋体" w:cs="宋体"/>
          <w:color w:val="auto"/>
          <w:spacing w:val="-5"/>
          <w:sz w:val="24"/>
          <w:szCs w:val="24"/>
          <w:highlight w:val="none"/>
        </w:rPr>
        <w:t>”的，供应商提</w:t>
      </w:r>
      <w:r>
        <w:rPr>
          <w:rFonts w:ascii="宋体" w:hAnsi="宋体" w:eastAsia="宋体" w:cs="宋体"/>
          <w:color w:val="auto"/>
          <w:spacing w:val="-3"/>
          <w:sz w:val="24"/>
          <w:szCs w:val="24"/>
          <w:highlight w:val="none"/>
        </w:rPr>
        <w:t>供的书面材料应加盖公章，或者由法定代表人或其授权的代表签字后</w:t>
      </w:r>
      <w:r>
        <w:rPr>
          <w:rFonts w:ascii="宋体" w:hAnsi="宋体" w:eastAsia="宋体" w:cs="宋体"/>
          <w:color w:val="auto"/>
          <w:spacing w:val="-4"/>
          <w:sz w:val="24"/>
          <w:szCs w:val="24"/>
          <w:highlight w:val="none"/>
        </w:rPr>
        <w:t>通过《全国公共资源</w:t>
      </w:r>
      <w:r>
        <w:rPr>
          <w:rFonts w:ascii="宋体" w:hAnsi="宋体" w:eastAsia="宋体" w:cs="宋体"/>
          <w:color w:val="auto"/>
          <w:spacing w:val="-6"/>
          <w:sz w:val="24"/>
          <w:szCs w:val="24"/>
          <w:highlight w:val="none"/>
        </w:rPr>
        <w:t>交易平台（河南省</w:t>
      </w:r>
      <w:r>
        <w:rPr>
          <w:rFonts w:ascii="宋体" w:hAnsi="宋体" w:eastAsia="宋体" w:cs="宋体"/>
          <w:color w:val="auto"/>
          <w:spacing w:val="-28"/>
          <w:sz w:val="24"/>
          <w:szCs w:val="24"/>
          <w:highlight w:val="none"/>
        </w:rPr>
        <w:t xml:space="preserve"> </w:t>
      </w:r>
      <w:r>
        <w:rPr>
          <w:rFonts w:ascii="宋体" w:hAnsi="宋体" w:eastAsia="宋体" w:cs="宋体"/>
          <w:color w:val="auto"/>
          <w:spacing w:val="-6"/>
          <w:sz w:val="24"/>
          <w:szCs w:val="24"/>
          <w:highlight w:val="none"/>
        </w:rPr>
        <w:t>·许昌市）》——“许昌市公共资</w:t>
      </w:r>
      <w:r>
        <w:rPr>
          <w:rFonts w:ascii="宋体" w:hAnsi="宋体" w:eastAsia="宋体" w:cs="宋体"/>
          <w:color w:val="auto"/>
          <w:spacing w:val="-7"/>
          <w:sz w:val="24"/>
          <w:szCs w:val="24"/>
          <w:highlight w:val="none"/>
        </w:rPr>
        <w:t>源电子交易系统</w:t>
      </w:r>
      <w:r>
        <w:rPr>
          <w:rFonts w:ascii="宋体" w:hAnsi="宋体" w:eastAsia="宋体" w:cs="宋体"/>
          <w:color w:val="auto"/>
          <w:spacing w:val="-88"/>
          <w:sz w:val="24"/>
          <w:szCs w:val="24"/>
          <w:highlight w:val="none"/>
        </w:rPr>
        <w:t xml:space="preserve"> </w:t>
      </w:r>
      <w:r>
        <w:rPr>
          <w:rFonts w:ascii="宋体" w:hAnsi="宋体" w:eastAsia="宋体" w:cs="宋体"/>
          <w:color w:val="auto"/>
          <w:spacing w:val="-7"/>
          <w:sz w:val="24"/>
          <w:szCs w:val="24"/>
          <w:highlight w:val="none"/>
        </w:rPr>
        <w:t>”提供（操作流程详</w:t>
      </w:r>
      <w:r>
        <w:rPr>
          <w:rFonts w:ascii="宋体" w:hAnsi="宋体" w:eastAsia="宋体" w:cs="宋体"/>
          <w:color w:val="auto"/>
          <w:spacing w:val="-15"/>
          <w:sz w:val="24"/>
          <w:szCs w:val="24"/>
          <w:highlight w:val="none"/>
        </w:rPr>
        <w:t>见“服务指南-办事指南-新交易平台使用手册-交易乙方（投标人、供应商等）操作手册”）。</w:t>
      </w:r>
    </w:p>
    <w:p w14:paraId="6C418E99">
      <w:pPr>
        <w:spacing w:before="1" w:line="338" w:lineRule="auto"/>
        <w:ind w:left="2" w:right="235" w:firstLine="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6.3</w:t>
      </w:r>
      <w:r>
        <w:rPr>
          <w:rFonts w:ascii="宋体" w:hAnsi="宋体" w:eastAsia="宋体" w:cs="宋体"/>
          <w:color w:val="auto"/>
          <w:spacing w:val="-47"/>
          <w:sz w:val="24"/>
          <w:szCs w:val="24"/>
          <w:highlight w:val="none"/>
        </w:rPr>
        <w:t xml:space="preserve"> </w:t>
      </w:r>
      <w:r>
        <w:rPr>
          <w:rFonts w:ascii="宋体" w:hAnsi="宋体" w:eastAsia="宋体" w:cs="宋体"/>
          <w:color w:val="auto"/>
          <w:spacing w:val="-2"/>
          <w:sz w:val="24"/>
          <w:szCs w:val="24"/>
          <w:highlight w:val="none"/>
        </w:rPr>
        <w:t>如因供应商未及时关注评审进程导致磋商小组无法联系供应商参加磋</w:t>
      </w:r>
      <w:r>
        <w:rPr>
          <w:rFonts w:ascii="宋体" w:hAnsi="宋体" w:eastAsia="宋体" w:cs="宋体"/>
          <w:color w:val="auto"/>
          <w:spacing w:val="-3"/>
          <w:sz w:val="24"/>
          <w:szCs w:val="24"/>
          <w:highlight w:val="none"/>
        </w:rPr>
        <w:t>商（最后报</w:t>
      </w:r>
      <w:r>
        <w:rPr>
          <w:rFonts w:ascii="宋体" w:hAnsi="宋体" w:eastAsia="宋体" w:cs="宋体"/>
          <w:color w:val="auto"/>
          <w:sz w:val="24"/>
          <w:szCs w:val="24"/>
          <w:highlight w:val="none"/>
        </w:rPr>
        <w:t>价）的，其风险由供应商自行承担，采购人与采购</w:t>
      </w:r>
      <w:r>
        <w:rPr>
          <w:rFonts w:ascii="宋体" w:hAnsi="宋体" w:eastAsia="宋体" w:cs="宋体"/>
          <w:color w:val="auto"/>
          <w:spacing w:val="-1"/>
          <w:sz w:val="24"/>
          <w:szCs w:val="24"/>
          <w:highlight w:val="none"/>
        </w:rPr>
        <w:t>代理机构不承担任何责任。</w:t>
      </w:r>
    </w:p>
    <w:p w14:paraId="31E7651A">
      <w:pPr>
        <w:spacing w:line="220" w:lineRule="auto"/>
        <w:ind w:left="48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7.相关事项</w:t>
      </w:r>
    </w:p>
    <w:p w14:paraId="4B3564F2">
      <w:pPr>
        <w:spacing w:before="155" w:line="338" w:lineRule="auto"/>
        <w:ind w:right="235" w:firstLine="48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7.1</w:t>
      </w:r>
      <w:r>
        <w:rPr>
          <w:rFonts w:ascii="宋体" w:hAnsi="宋体" w:eastAsia="宋体" w:cs="宋体"/>
          <w:color w:val="auto"/>
          <w:spacing w:val="-48"/>
          <w:sz w:val="24"/>
          <w:szCs w:val="24"/>
          <w:highlight w:val="none"/>
        </w:rPr>
        <w:t xml:space="preserve"> </w:t>
      </w:r>
      <w:r>
        <w:rPr>
          <w:rFonts w:ascii="宋体" w:hAnsi="宋体" w:eastAsia="宋体" w:cs="宋体"/>
          <w:color w:val="auto"/>
          <w:spacing w:val="-2"/>
          <w:sz w:val="24"/>
          <w:szCs w:val="24"/>
          <w:highlight w:val="none"/>
        </w:rPr>
        <w:t>为使更多供应商能参加投标，本项目招标文件公告期限届满后</w:t>
      </w:r>
      <w:r>
        <w:rPr>
          <w:rFonts w:ascii="宋体" w:hAnsi="宋体" w:eastAsia="宋体" w:cs="宋体"/>
          <w:color w:val="auto"/>
          <w:spacing w:val="-3"/>
          <w:sz w:val="24"/>
          <w:szCs w:val="24"/>
          <w:highlight w:val="none"/>
        </w:rPr>
        <w:t>仍允许下载招标文件参加投标，但为提高采购效率，在公告期限届满之后下载招标文</w:t>
      </w:r>
      <w:r>
        <w:rPr>
          <w:rFonts w:ascii="宋体" w:hAnsi="宋体" w:eastAsia="宋体" w:cs="宋体"/>
          <w:color w:val="auto"/>
          <w:spacing w:val="-4"/>
          <w:sz w:val="24"/>
          <w:szCs w:val="24"/>
          <w:highlight w:val="none"/>
        </w:rPr>
        <w:t>件的，对招标文件的质</w:t>
      </w:r>
      <w:r>
        <w:rPr>
          <w:rFonts w:ascii="宋体" w:hAnsi="宋体" w:eastAsia="宋体" w:cs="宋体"/>
          <w:color w:val="auto"/>
          <w:spacing w:val="-3"/>
          <w:sz w:val="24"/>
          <w:szCs w:val="24"/>
          <w:highlight w:val="none"/>
        </w:rPr>
        <w:t>疑期限从公告期限届满之日起计算；在公告期限届满之前下载招标文件</w:t>
      </w:r>
      <w:r>
        <w:rPr>
          <w:rFonts w:ascii="宋体" w:hAnsi="宋体" w:eastAsia="宋体" w:cs="宋体"/>
          <w:color w:val="auto"/>
          <w:spacing w:val="-4"/>
          <w:sz w:val="24"/>
          <w:szCs w:val="24"/>
          <w:highlight w:val="none"/>
        </w:rPr>
        <w:t>的，对招标文件的</w:t>
      </w:r>
      <w:r>
        <w:rPr>
          <w:rFonts w:ascii="宋体" w:hAnsi="宋体" w:eastAsia="宋体" w:cs="宋体"/>
          <w:color w:val="auto"/>
          <w:spacing w:val="-1"/>
          <w:sz w:val="24"/>
          <w:szCs w:val="24"/>
          <w:highlight w:val="none"/>
        </w:rPr>
        <w:t>质疑期限从下载之日起计算。</w:t>
      </w:r>
    </w:p>
    <w:p w14:paraId="570595FD">
      <w:pPr>
        <w:spacing w:before="4" w:line="338" w:lineRule="auto"/>
        <w:ind w:firstLine="486"/>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7.2《全国公共资源交易平台（河南省·许昌市）》（</w:t>
      </w:r>
      <w:r>
        <w:rPr>
          <w:color w:val="auto"/>
          <w:highlight w:val="none"/>
        </w:rPr>
        <w:fldChar w:fldCharType="begin"/>
      </w:r>
      <w:r>
        <w:rPr>
          <w:color w:val="auto"/>
          <w:highlight w:val="none"/>
        </w:rPr>
        <w:instrText xml:space="preserve"> HYPERLINK "https://ggzy.xuchang.gov.cn" </w:instrText>
      </w:r>
      <w:r>
        <w:rPr>
          <w:color w:val="auto"/>
          <w:highlight w:val="none"/>
        </w:rPr>
        <w:fldChar w:fldCharType="separate"/>
      </w:r>
      <w:r>
        <w:rPr>
          <w:rFonts w:ascii="宋体" w:hAnsi="宋体" w:eastAsia="宋体" w:cs="宋体"/>
          <w:color w:val="auto"/>
          <w:spacing w:val="-5"/>
          <w:sz w:val="24"/>
          <w:szCs w:val="24"/>
          <w:highlight w:val="none"/>
        </w:rPr>
        <w:t>https://ggzy.xuchang.gov.cn</w:t>
      </w:r>
      <w:r>
        <w:rPr>
          <w:rFonts w:ascii="宋体" w:hAnsi="宋体" w:eastAsia="宋体" w:cs="宋体"/>
          <w:color w:val="auto"/>
          <w:spacing w:val="-5"/>
          <w:sz w:val="24"/>
          <w:szCs w:val="24"/>
          <w:highlight w:val="none"/>
        </w:rPr>
        <w:fldChar w:fldCharType="end"/>
      </w:r>
      <w:r>
        <w:rPr>
          <w:rFonts w:ascii="宋体" w:hAnsi="宋体" w:eastAsia="宋体" w:cs="宋体"/>
          <w:color w:val="auto"/>
          <w:spacing w:val="-5"/>
          <w:sz w:val="24"/>
          <w:szCs w:val="24"/>
          <w:highlight w:val="none"/>
        </w:rPr>
        <w:t>）</w:t>
      </w:r>
      <w:r>
        <w:rPr>
          <w:rFonts w:ascii="宋体" w:hAnsi="宋体" w:eastAsia="宋体" w:cs="宋体"/>
          <w:color w:val="auto"/>
          <w:spacing w:val="1"/>
          <w:sz w:val="24"/>
          <w:szCs w:val="24"/>
          <w:highlight w:val="none"/>
        </w:rPr>
        <w:t>采购公告栏提供的招标文件仅供浏览。供应商下载招标文件应使用</w:t>
      </w:r>
      <w:r>
        <w:rPr>
          <w:rFonts w:ascii="宋体" w:hAnsi="宋体" w:eastAsia="宋体" w:cs="宋体"/>
          <w:color w:val="auto"/>
          <w:sz w:val="24"/>
          <w:szCs w:val="24"/>
          <w:highlight w:val="none"/>
        </w:rPr>
        <w:t>CA</w:t>
      </w:r>
      <w:r>
        <w:rPr>
          <w:rFonts w:ascii="宋体" w:hAnsi="宋体" w:eastAsia="宋体" w:cs="宋体"/>
          <w:color w:val="auto"/>
          <w:spacing w:val="-47"/>
          <w:sz w:val="24"/>
          <w:szCs w:val="24"/>
          <w:highlight w:val="none"/>
        </w:rPr>
        <w:t xml:space="preserve"> </w:t>
      </w:r>
      <w:r>
        <w:rPr>
          <w:rFonts w:ascii="宋体" w:hAnsi="宋体" w:eastAsia="宋体" w:cs="宋体"/>
          <w:color w:val="auto"/>
          <w:spacing w:val="1"/>
          <w:sz w:val="24"/>
          <w:szCs w:val="24"/>
          <w:highlight w:val="none"/>
        </w:rPr>
        <w:t>数字证书从《全国</w:t>
      </w:r>
      <w:r>
        <w:rPr>
          <w:rFonts w:ascii="宋体" w:hAnsi="宋体" w:eastAsia="宋体" w:cs="宋体"/>
          <w:color w:val="auto"/>
          <w:sz w:val="24"/>
          <w:szCs w:val="24"/>
          <w:highlight w:val="none"/>
        </w:rPr>
        <w:t xml:space="preserve"> 公共资源交易平台（河南省·许昌市）》（</w:t>
      </w:r>
      <w:r>
        <w:rPr>
          <w:color w:val="auto"/>
          <w:highlight w:val="none"/>
        </w:rPr>
        <w:fldChar w:fldCharType="begin"/>
      </w:r>
      <w:r>
        <w:rPr>
          <w:color w:val="auto"/>
          <w:highlight w:val="none"/>
        </w:rPr>
        <w:instrText xml:space="preserve"> HYPERLINK "https://ggzy.xuchang.gov.cn" </w:instrText>
      </w:r>
      <w:r>
        <w:rPr>
          <w:color w:val="auto"/>
          <w:highlight w:val="none"/>
        </w:rPr>
        <w:fldChar w:fldCharType="separate"/>
      </w:r>
      <w:r>
        <w:rPr>
          <w:rFonts w:ascii="宋体" w:hAnsi="宋体" w:eastAsia="宋体" w:cs="宋体"/>
          <w:color w:val="auto"/>
          <w:sz w:val="24"/>
          <w:szCs w:val="24"/>
          <w:highlight w:val="none"/>
        </w:rPr>
        <w:t>https://ggzy.xuchang.gov</w:t>
      </w:r>
      <w:r>
        <w:rPr>
          <w:rFonts w:ascii="宋体" w:hAnsi="宋体" w:eastAsia="宋体" w:cs="宋体"/>
          <w:color w:val="auto"/>
          <w:spacing w:val="-1"/>
          <w:sz w:val="24"/>
          <w:szCs w:val="24"/>
          <w:highlight w:val="none"/>
        </w:rPr>
        <w:t>.cn</w:t>
      </w:r>
      <w:r>
        <w:rPr>
          <w:rFonts w:ascii="宋体" w:hAnsi="宋体" w:eastAsia="宋体" w:cs="宋体"/>
          <w:color w:val="auto"/>
          <w:spacing w:val="-1"/>
          <w:sz w:val="24"/>
          <w:szCs w:val="24"/>
          <w:highlight w:val="none"/>
        </w:rPr>
        <w:fldChar w:fldCharType="end"/>
      </w:r>
      <w:r>
        <w:rPr>
          <w:rFonts w:ascii="宋体" w:hAnsi="宋体" w:eastAsia="宋体" w:cs="宋体"/>
          <w:color w:val="auto"/>
          <w:spacing w:val="-1"/>
          <w:sz w:val="24"/>
          <w:szCs w:val="24"/>
          <w:highlight w:val="none"/>
        </w:rPr>
        <w:t>）的“投标人”</w:t>
      </w:r>
      <w:r>
        <w:rPr>
          <w:rFonts w:ascii="宋体" w:hAnsi="宋体" w:eastAsia="宋体" w:cs="宋体"/>
          <w:color w:val="auto"/>
          <w:spacing w:val="-2"/>
          <w:sz w:val="24"/>
          <w:szCs w:val="24"/>
          <w:highlight w:val="none"/>
        </w:rPr>
        <w:t>入口登录后获取。</w:t>
      </w:r>
    </w:p>
    <w:p w14:paraId="7160328D">
      <w:pPr>
        <w:spacing w:line="220" w:lineRule="auto"/>
        <w:ind w:left="48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8、开标注意事项</w:t>
      </w:r>
    </w:p>
    <w:p w14:paraId="5E8F4315">
      <w:pPr>
        <w:spacing w:before="152" w:line="219" w:lineRule="auto"/>
        <w:ind w:left="48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开标时间前，供应商进入《全国公共资源交易平台（河</w:t>
      </w:r>
      <w:r>
        <w:rPr>
          <w:rFonts w:ascii="宋体" w:hAnsi="宋体" w:eastAsia="宋体" w:cs="宋体"/>
          <w:color w:val="auto"/>
          <w:spacing w:val="-4"/>
          <w:sz w:val="24"/>
          <w:szCs w:val="24"/>
          <w:highlight w:val="none"/>
        </w:rPr>
        <w:t>南省</w:t>
      </w:r>
      <w:r>
        <w:rPr>
          <w:rFonts w:ascii="宋体" w:hAnsi="宋体" w:eastAsia="宋体" w:cs="宋体"/>
          <w:color w:val="auto"/>
          <w:spacing w:val="-28"/>
          <w:sz w:val="24"/>
          <w:szCs w:val="24"/>
          <w:highlight w:val="none"/>
        </w:rPr>
        <w:t xml:space="preserve"> </w:t>
      </w:r>
      <w:r>
        <w:rPr>
          <w:rFonts w:ascii="宋体" w:hAnsi="宋体" w:eastAsia="宋体" w:cs="宋体"/>
          <w:color w:val="auto"/>
          <w:spacing w:val="-4"/>
          <w:sz w:val="24"/>
          <w:szCs w:val="24"/>
          <w:highlight w:val="none"/>
        </w:rPr>
        <w:t>·许昌市）》</w:t>
      </w:r>
    </w:p>
    <w:p w14:paraId="19F596A3">
      <w:pPr>
        <w:spacing w:before="153" w:line="340" w:lineRule="auto"/>
        <w:ind w:right="124" w:firstLine="13"/>
        <w:rPr>
          <w:rFonts w:ascii="宋体" w:hAnsi="宋体" w:eastAsia="宋体" w:cs="宋体"/>
          <w:color w:val="auto"/>
          <w:spacing w:val="-1"/>
          <w:sz w:val="24"/>
          <w:szCs w:val="24"/>
          <w:highlight w:val="none"/>
        </w:rPr>
      </w:pPr>
      <w:r>
        <w:rPr>
          <w:rFonts w:ascii="宋体" w:hAnsi="宋体" w:eastAsia="宋体" w:cs="宋体"/>
          <w:color w:val="auto"/>
          <w:spacing w:val="3"/>
          <w:sz w:val="24"/>
          <w:szCs w:val="24"/>
          <w:highlight w:val="none"/>
        </w:rPr>
        <w:t>（</w:t>
      </w:r>
      <w:r>
        <w:rPr>
          <w:color w:val="auto"/>
          <w:highlight w:val="none"/>
        </w:rPr>
        <w:fldChar w:fldCharType="begin"/>
      </w:r>
      <w:r>
        <w:rPr>
          <w:color w:val="auto"/>
          <w:highlight w:val="none"/>
        </w:rPr>
        <w:instrText xml:space="preserve"> HYPERLINK "https://ggzy.xuchang.gov.cn" </w:instrText>
      </w:r>
      <w:r>
        <w:rPr>
          <w:color w:val="auto"/>
          <w:highlight w:val="none"/>
        </w:rPr>
        <w:fldChar w:fldCharType="separate"/>
      </w:r>
      <w:r>
        <w:rPr>
          <w:rFonts w:ascii="宋体" w:hAnsi="宋体" w:eastAsia="宋体" w:cs="宋体"/>
          <w:color w:val="auto"/>
          <w:sz w:val="24"/>
          <w:szCs w:val="24"/>
          <w:highlight w:val="none"/>
        </w:rPr>
        <w:t>https</w:t>
      </w:r>
      <w:r>
        <w:rPr>
          <w:rFonts w:ascii="宋体" w:hAnsi="宋体" w:eastAsia="宋体" w:cs="宋体"/>
          <w:color w:val="auto"/>
          <w:spacing w:val="3"/>
          <w:sz w:val="24"/>
          <w:szCs w:val="24"/>
          <w:highlight w:val="none"/>
        </w:rPr>
        <w:t>://</w:t>
      </w:r>
      <w:r>
        <w:rPr>
          <w:rFonts w:ascii="宋体" w:hAnsi="宋体" w:eastAsia="宋体" w:cs="宋体"/>
          <w:color w:val="auto"/>
          <w:sz w:val="24"/>
          <w:szCs w:val="24"/>
          <w:highlight w:val="none"/>
        </w:rPr>
        <w:t>ggzy</w:t>
      </w:r>
      <w:r>
        <w:rPr>
          <w:rFonts w:ascii="宋体" w:hAnsi="宋体" w:eastAsia="宋体" w:cs="宋体"/>
          <w:color w:val="auto"/>
          <w:spacing w:val="3"/>
          <w:sz w:val="24"/>
          <w:szCs w:val="24"/>
          <w:highlight w:val="none"/>
        </w:rPr>
        <w:t>.</w:t>
      </w:r>
      <w:r>
        <w:rPr>
          <w:rFonts w:ascii="宋体" w:hAnsi="宋体" w:eastAsia="宋体" w:cs="宋体"/>
          <w:color w:val="auto"/>
          <w:sz w:val="24"/>
          <w:szCs w:val="24"/>
          <w:highlight w:val="none"/>
        </w:rPr>
        <w:t>xuchang</w:t>
      </w:r>
      <w:r>
        <w:rPr>
          <w:rFonts w:ascii="宋体" w:hAnsi="宋体" w:eastAsia="宋体" w:cs="宋体"/>
          <w:color w:val="auto"/>
          <w:spacing w:val="3"/>
          <w:sz w:val="24"/>
          <w:szCs w:val="24"/>
          <w:highlight w:val="none"/>
        </w:rPr>
        <w:t>.</w:t>
      </w:r>
      <w:r>
        <w:rPr>
          <w:rFonts w:ascii="宋体" w:hAnsi="宋体" w:eastAsia="宋体" w:cs="宋体"/>
          <w:color w:val="auto"/>
          <w:sz w:val="24"/>
          <w:szCs w:val="24"/>
          <w:highlight w:val="none"/>
        </w:rPr>
        <w:t>gov</w:t>
      </w:r>
      <w:r>
        <w:rPr>
          <w:rFonts w:ascii="宋体" w:hAnsi="宋体" w:eastAsia="宋体" w:cs="宋体"/>
          <w:color w:val="auto"/>
          <w:spacing w:val="3"/>
          <w:sz w:val="24"/>
          <w:szCs w:val="24"/>
          <w:highlight w:val="none"/>
        </w:rPr>
        <w:t>.</w:t>
      </w:r>
      <w:r>
        <w:rPr>
          <w:rFonts w:ascii="宋体" w:hAnsi="宋体" w:eastAsia="宋体" w:cs="宋体"/>
          <w:color w:val="auto"/>
          <w:sz w:val="24"/>
          <w:szCs w:val="24"/>
          <w:highlight w:val="none"/>
        </w:rPr>
        <w:t>cn</w:t>
      </w:r>
      <w:r>
        <w:rPr>
          <w:rFonts w:ascii="宋体" w:hAnsi="宋体" w:eastAsia="宋体" w:cs="宋体"/>
          <w:color w:val="auto"/>
          <w:sz w:val="24"/>
          <w:szCs w:val="24"/>
          <w:highlight w:val="none"/>
        </w:rPr>
        <w:fldChar w:fldCharType="end"/>
      </w:r>
      <w:r>
        <w:rPr>
          <w:rFonts w:ascii="宋体" w:hAnsi="宋体" w:eastAsia="宋体" w:cs="宋体"/>
          <w:color w:val="auto"/>
          <w:spacing w:val="3"/>
          <w:sz w:val="24"/>
          <w:szCs w:val="24"/>
          <w:highlight w:val="none"/>
        </w:rPr>
        <w:t>）——点击“平台导航”下方左侧的“网上开标大厅”</w:t>
      </w:r>
      <w:r>
        <w:rPr>
          <w:rFonts w:ascii="宋体" w:hAnsi="宋体" w:eastAsia="宋体" w:cs="宋体"/>
          <w:color w:val="auto"/>
          <w:sz w:val="24"/>
          <w:szCs w:val="24"/>
          <w:highlight w:val="none"/>
        </w:rPr>
        <w:t xml:space="preserve"> （或者直接访问：</w:t>
      </w:r>
      <w:r>
        <w:rPr>
          <w:color w:val="auto"/>
          <w:highlight w:val="none"/>
        </w:rPr>
        <w:fldChar w:fldCharType="begin"/>
      </w:r>
      <w:r>
        <w:rPr>
          <w:color w:val="auto"/>
          <w:highlight w:val="none"/>
        </w:rPr>
        <w:instrText xml:space="preserve"> HYPERLINK "https://ggzy.xuchang.gov.cn/BidOpening/bidhall/default/login" </w:instrText>
      </w:r>
      <w:r>
        <w:rPr>
          <w:color w:val="auto"/>
          <w:highlight w:val="none"/>
        </w:rPr>
        <w:fldChar w:fldCharType="separate"/>
      </w:r>
      <w:r>
        <w:rPr>
          <w:rFonts w:ascii="宋体" w:hAnsi="宋体" w:eastAsia="宋体" w:cs="宋体"/>
          <w:color w:val="auto"/>
          <w:sz w:val="24"/>
          <w:szCs w:val="24"/>
          <w:highlight w:val="none"/>
        </w:rPr>
        <w:t>https://ggzy.xuchang.gov.cn/BidOpening/bidhall/</w:t>
      </w:r>
      <w:r>
        <w:rPr>
          <w:rFonts w:ascii="宋体" w:hAnsi="宋体" w:eastAsia="宋体" w:cs="宋体"/>
          <w:color w:val="auto"/>
          <w:spacing w:val="-1"/>
          <w:sz w:val="24"/>
          <w:szCs w:val="24"/>
          <w:highlight w:val="none"/>
        </w:rPr>
        <w:t>default/login</w:t>
      </w:r>
      <w:r>
        <w:rPr>
          <w:rFonts w:ascii="宋体" w:hAnsi="宋体" w:eastAsia="宋体" w:cs="宋体"/>
          <w:color w:val="auto"/>
          <w:spacing w:val="-1"/>
          <w:sz w:val="24"/>
          <w:szCs w:val="24"/>
          <w:highlight w:val="none"/>
        </w:rPr>
        <w:fldChar w:fldCharType="end"/>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进入不见面大厅登录页面——选择“投标人</w:t>
      </w:r>
      <w:r>
        <w:rPr>
          <w:rFonts w:ascii="宋体" w:hAnsi="宋体" w:eastAsia="宋体" w:cs="宋体"/>
          <w:color w:val="auto"/>
          <w:spacing w:val="-80"/>
          <w:sz w:val="24"/>
          <w:szCs w:val="24"/>
          <w:highlight w:val="none"/>
        </w:rPr>
        <w:t xml:space="preserve"> </w:t>
      </w:r>
      <w:r>
        <w:rPr>
          <w:rFonts w:ascii="宋体" w:hAnsi="宋体" w:eastAsia="宋体" w:cs="宋体"/>
          <w:color w:val="auto"/>
          <w:sz w:val="24"/>
          <w:szCs w:val="24"/>
          <w:highlight w:val="none"/>
        </w:rPr>
        <w:t>”身份，使用CA</w:t>
      </w:r>
      <w:r>
        <w:rPr>
          <w:rFonts w:ascii="宋体" w:hAnsi="宋体" w:eastAsia="宋体" w:cs="宋体"/>
          <w:color w:val="auto"/>
          <w:spacing w:val="-49"/>
          <w:sz w:val="24"/>
          <w:szCs w:val="24"/>
          <w:highlight w:val="none"/>
        </w:rPr>
        <w:t xml:space="preserve"> </w:t>
      </w:r>
      <w:r>
        <w:rPr>
          <w:rFonts w:ascii="宋体" w:hAnsi="宋体" w:eastAsia="宋体" w:cs="宋体"/>
          <w:color w:val="auto"/>
          <w:sz w:val="24"/>
          <w:szCs w:val="24"/>
          <w:highlight w:val="none"/>
        </w:rPr>
        <w:t>数字证书登录——在“今日</w:t>
      </w:r>
      <w:r>
        <w:rPr>
          <w:rFonts w:ascii="宋体" w:hAnsi="宋体" w:eastAsia="宋体" w:cs="宋体"/>
          <w:color w:val="auto"/>
          <w:spacing w:val="-4"/>
          <w:sz w:val="24"/>
          <w:szCs w:val="24"/>
          <w:highlight w:val="none"/>
        </w:rPr>
        <w:t>开标项目</w:t>
      </w:r>
      <w:r>
        <w:rPr>
          <w:rFonts w:ascii="宋体" w:hAnsi="宋体" w:eastAsia="宋体" w:cs="宋体"/>
          <w:color w:val="auto"/>
          <w:spacing w:val="-88"/>
          <w:sz w:val="24"/>
          <w:szCs w:val="24"/>
          <w:highlight w:val="none"/>
        </w:rPr>
        <w:t xml:space="preserve"> </w:t>
      </w:r>
      <w:r>
        <w:rPr>
          <w:rFonts w:ascii="宋体" w:hAnsi="宋体" w:eastAsia="宋体" w:cs="宋体"/>
          <w:color w:val="auto"/>
          <w:spacing w:val="-4"/>
          <w:sz w:val="24"/>
          <w:szCs w:val="24"/>
          <w:highlight w:val="none"/>
        </w:rPr>
        <w:t>”中找到已投标的项目——点击该项目即可进入开标操作界面，在规定的开标时</w:t>
      </w:r>
      <w:r>
        <w:rPr>
          <w:rFonts w:ascii="宋体" w:hAnsi="宋体" w:eastAsia="宋体" w:cs="宋体"/>
          <w:color w:val="auto"/>
          <w:spacing w:val="-1"/>
          <w:sz w:val="24"/>
          <w:szCs w:val="24"/>
          <w:highlight w:val="none"/>
        </w:rPr>
        <w:t>间内进行解密开标。</w:t>
      </w:r>
    </w:p>
    <w:p w14:paraId="04105A11">
      <w:pPr>
        <w:spacing w:before="153" w:line="340" w:lineRule="auto"/>
        <w:ind w:right="124" w:firstLine="13"/>
        <w:rPr>
          <w:rFonts w:ascii="宋体" w:hAnsi="宋体" w:eastAsia="宋体" w:cs="宋体"/>
          <w:color w:val="auto"/>
          <w:spacing w:val="-1"/>
          <w:sz w:val="24"/>
          <w:szCs w:val="24"/>
          <w:highlight w:val="none"/>
        </w:rPr>
      </w:pPr>
    </w:p>
    <w:p w14:paraId="0F53E09C">
      <w:pPr>
        <w:spacing w:before="153" w:line="340" w:lineRule="auto"/>
        <w:ind w:right="124" w:firstLine="13"/>
        <w:rPr>
          <w:rFonts w:ascii="宋体" w:hAnsi="宋体" w:eastAsia="宋体" w:cs="宋体"/>
          <w:color w:val="auto"/>
          <w:spacing w:val="-1"/>
          <w:sz w:val="24"/>
          <w:szCs w:val="24"/>
          <w:highlight w:val="none"/>
        </w:rPr>
      </w:pPr>
    </w:p>
    <w:p w14:paraId="2D104973">
      <w:pPr>
        <w:spacing w:before="153" w:line="340" w:lineRule="auto"/>
        <w:ind w:right="124" w:firstLine="13"/>
        <w:rPr>
          <w:rFonts w:ascii="宋体" w:hAnsi="宋体" w:eastAsia="宋体" w:cs="宋体"/>
          <w:color w:val="auto"/>
          <w:spacing w:val="-1"/>
          <w:sz w:val="24"/>
          <w:szCs w:val="24"/>
          <w:highlight w:val="none"/>
        </w:rPr>
      </w:pPr>
    </w:p>
    <w:p w14:paraId="2AB1E1F6">
      <w:pPr>
        <w:spacing w:before="153" w:line="340" w:lineRule="auto"/>
        <w:ind w:right="124" w:firstLine="13"/>
        <w:rPr>
          <w:rFonts w:ascii="宋体" w:hAnsi="宋体" w:eastAsia="宋体" w:cs="宋体"/>
          <w:color w:val="auto"/>
          <w:spacing w:val="-1"/>
          <w:sz w:val="24"/>
          <w:szCs w:val="24"/>
          <w:highlight w:val="none"/>
        </w:rPr>
      </w:pPr>
    </w:p>
    <w:p w14:paraId="600B0E87">
      <w:pPr>
        <w:spacing w:before="153" w:line="340" w:lineRule="auto"/>
        <w:ind w:right="124" w:firstLine="13"/>
        <w:rPr>
          <w:rFonts w:ascii="宋体" w:hAnsi="宋体" w:eastAsia="宋体" w:cs="宋体"/>
          <w:color w:val="auto"/>
          <w:spacing w:val="-1"/>
          <w:sz w:val="24"/>
          <w:szCs w:val="24"/>
          <w:highlight w:val="none"/>
        </w:rPr>
      </w:pPr>
    </w:p>
    <w:p w14:paraId="5CB7E2F4">
      <w:pPr>
        <w:spacing w:before="153" w:line="340" w:lineRule="auto"/>
        <w:ind w:right="124" w:firstLine="13"/>
        <w:rPr>
          <w:rFonts w:ascii="宋体" w:hAnsi="宋体" w:eastAsia="宋体" w:cs="宋体"/>
          <w:color w:val="auto"/>
          <w:spacing w:val="-1"/>
          <w:sz w:val="24"/>
          <w:szCs w:val="24"/>
          <w:highlight w:val="none"/>
        </w:rPr>
      </w:pPr>
    </w:p>
    <w:p w14:paraId="7E506D87">
      <w:pPr>
        <w:spacing w:before="153" w:line="340" w:lineRule="auto"/>
        <w:ind w:right="124" w:firstLine="13"/>
        <w:rPr>
          <w:rFonts w:ascii="宋体" w:hAnsi="宋体" w:eastAsia="宋体" w:cs="宋体"/>
          <w:color w:val="auto"/>
          <w:spacing w:val="-1"/>
          <w:sz w:val="24"/>
          <w:szCs w:val="24"/>
          <w:highlight w:val="none"/>
        </w:rPr>
      </w:pPr>
    </w:p>
    <w:p w14:paraId="0C82D41A">
      <w:pPr>
        <w:spacing w:before="153" w:line="340" w:lineRule="auto"/>
        <w:ind w:right="124" w:firstLine="13"/>
        <w:jc w:val="center"/>
        <w:rPr>
          <w:rFonts w:ascii="宋体" w:hAnsi="宋体" w:eastAsia="宋体" w:cs="宋体"/>
          <w:color w:val="auto"/>
          <w:sz w:val="35"/>
          <w:szCs w:val="35"/>
          <w:highlight w:val="none"/>
        </w:rPr>
      </w:pPr>
      <w:r>
        <w:rPr>
          <w:rFonts w:ascii="宋体" w:hAnsi="宋体" w:eastAsia="宋体" w:cs="宋体"/>
          <w:b/>
          <w:bCs/>
          <w:color w:val="auto"/>
          <w:spacing w:val="5"/>
          <w:sz w:val="35"/>
          <w:szCs w:val="35"/>
          <w:highlight w:val="none"/>
        </w:rPr>
        <w:t>第二章</w:t>
      </w:r>
      <w:r>
        <w:rPr>
          <w:rFonts w:ascii="宋体" w:hAnsi="宋体" w:eastAsia="宋体" w:cs="宋体"/>
          <w:color w:val="auto"/>
          <w:spacing w:val="5"/>
          <w:sz w:val="35"/>
          <w:szCs w:val="35"/>
          <w:highlight w:val="none"/>
        </w:rPr>
        <w:t xml:space="preserve"> </w:t>
      </w:r>
      <w:r>
        <w:rPr>
          <w:rFonts w:ascii="宋体" w:hAnsi="宋体" w:eastAsia="宋体" w:cs="宋体"/>
          <w:b/>
          <w:bCs/>
          <w:color w:val="auto"/>
          <w:spacing w:val="5"/>
          <w:sz w:val="35"/>
          <w:szCs w:val="35"/>
          <w:highlight w:val="none"/>
        </w:rPr>
        <w:t>采购需求</w:t>
      </w:r>
    </w:p>
    <w:p w14:paraId="714526C8">
      <w:pPr>
        <w:pStyle w:val="5"/>
        <w:spacing w:line="290" w:lineRule="auto"/>
        <w:rPr>
          <w:color w:val="auto"/>
          <w:highlight w:val="none"/>
        </w:rPr>
      </w:pPr>
    </w:p>
    <w:p w14:paraId="146BABBB">
      <w:pPr>
        <w:spacing w:before="78" w:line="219" w:lineRule="auto"/>
        <w:ind w:left="5"/>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一、项目概况</w:t>
      </w:r>
    </w:p>
    <w:p w14:paraId="1BEF297C">
      <w:pPr>
        <w:spacing w:before="157" w:line="338" w:lineRule="auto"/>
        <w:ind w:left="4" w:right="57" w:firstLine="494"/>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rPr>
        <w:t>许昌市建安区新城区站前水系十条道路环卫、绿化管护项目</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主要包括</w:t>
      </w:r>
      <w:r>
        <w:rPr>
          <w:rFonts w:hint="eastAsia" w:ascii="宋体" w:hAnsi="宋体" w:eastAsia="宋体" w:cs="宋体"/>
          <w:color w:val="auto"/>
          <w:spacing w:val="-4"/>
          <w:sz w:val="24"/>
          <w:szCs w:val="24"/>
          <w:highlight w:val="none"/>
        </w:rPr>
        <w:t>站前水系片区10条市政四级道路，机扫作业总里程7004</w:t>
      </w:r>
      <w:r>
        <w:rPr>
          <w:rFonts w:hint="eastAsia" w:ascii="宋体" w:hAnsi="宋体" w:eastAsia="宋体" w:cs="宋体"/>
          <w:color w:val="auto"/>
          <w:spacing w:val="-4"/>
          <w:sz w:val="24"/>
          <w:szCs w:val="24"/>
          <w:highlight w:val="none"/>
          <w:lang w:val="en-US" w:eastAsia="zh-CN"/>
        </w:rPr>
        <w:t>m</w:t>
      </w:r>
      <w:r>
        <w:rPr>
          <w:rFonts w:hint="eastAsia" w:ascii="宋体" w:hAnsi="宋体" w:eastAsia="宋体" w:cs="宋体"/>
          <w:color w:val="auto"/>
          <w:spacing w:val="-4"/>
          <w:sz w:val="24"/>
          <w:szCs w:val="24"/>
          <w:highlight w:val="none"/>
        </w:rPr>
        <w:t>，绿化管护总面积11044㎡</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道路总面积</w:t>
      </w:r>
      <w:r>
        <w:rPr>
          <w:rFonts w:hint="eastAsia" w:ascii="宋体" w:hAnsi="宋体" w:eastAsia="宋体" w:cs="宋体"/>
          <w:color w:val="auto"/>
          <w:spacing w:val="-4"/>
          <w:sz w:val="24"/>
          <w:szCs w:val="24"/>
          <w:highlight w:val="none"/>
          <w:lang w:eastAsia="zh-CN"/>
        </w:rPr>
        <w:t>144594.2</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eastAsia="zh-CN"/>
        </w:rPr>
        <w:t>。</w:t>
      </w:r>
    </w:p>
    <w:p w14:paraId="1D29DF20">
      <w:pPr>
        <w:spacing w:line="218" w:lineRule="auto"/>
        <w:ind w:left="5"/>
        <w:rPr>
          <w:rFonts w:ascii="宋体" w:hAnsi="宋体" w:eastAsia="宋体" w:cs="宋体"/>
          <w:color w:val="auto"/>
          <w:sz w:val="28"/>
          <w:szCs w:val="28"/>
          <w:highlight w:val="none"/>
        </w:rPr>
      </w:pPr>
      <w:r>
        <w:rPr>
          <w:rFonts w:ascii="宋体" w:hAnsi="宋体" w:eastAsia="宋体" w:cs="宋体"/>
          <w:b/>
          <w:bCs/>
          <w:color w:val="auto"/>
          <w:spacing w:val="-4"/>
          <w:sz w:val="24"/>
          <w:szCs w:val="24"/>
          <w:highlight w:val="none"/>
        </w:rPr>
        <w:t>★二、采购需求</w:t>
      </w:r>
    </w:p>
    <w:p w14:paraId="46B6DD1D">
      <w:pPr>
        <w:spacing w:line="171" w:lineRule="exact"/>
        <w:rPr>
          <w:color w:val="auto"/>
          <w:highlight w:val="none"/>
        </w:rPr>
      </w:pPr>
    </w:p>
    <w:tbl>
      <w:tblPr>
        <w:tblStyle w:val="11"/>
        <w:tblW w:w="93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04"/>
        <w:gridCol w:w="2263"/>
        <w:gridCol w:w="1459"/>
        <w:gridCol w:w="1774"/>
        <w:gridCol w:w="1433"/>
      </w:tblGrid>
      <w:tr w14:paraId="723DC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2404" w:type="dxa"/>
            <w:vAlign w:val="top"/>
          </w:tcPr>
          <w:p w14:paraId="491CDCC9">
            <w:pPr>
              <w:spacing w:before="39" w:line="209" w:lineRule="auto"/>
              <w:ind w:left="191"/>
              <w:jc w:val="center"/>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pacing w:val="-6"/>
                <w:sz w:val="24"/>
                <w:szCs w:val="24"/>
                <w:highlight w:val="none"/>
                <w:lang w:val="en-US" w:eastAsia="zh-CN"/>
              </w:rPr>
              <w:t>采购内容</w:t>
            </w:r>
          </w:p>
        </w:tc>
        <w:tc>
          <w:tcPr>
            <w:tcW w:w="2263" w:type="dxa"/>
            <w:tcBorders>
              <w:right w:val="single" w:color="auto" w:sz="4" w:space="0"/>
            </w:tcBorders>
            <w:vAlign w:val="top"/>
          </w:tcPr>
          <w:p w14:paraId="56DF3DA3">
            <w:pPr>
              <w:spacing w:before="39" w:line="209" w:lineRule="auto"/>
              <w:jc w:val="center"/>
              <w:rPr>
                <w:rFonts w:hint="eastAsia" w:ascii="宋体" w:hAnsi="宋体" w:eastAsia="宋体" w:cs="宋体"/>
                <w:color w:val="auto"/>
                <w:sz w:val="24"/>
                <w:szCs w:val="24"/>
                <w:highlight w:val="none"/>
                <w:lang w:eastAsia="zh-CN"/>
              </w:rPr>
            </w:pPr>
            <w:r>
              <w:rPr>
                <w:rFonts w:ascii="宋体" w:hAnsi="宋体" w:eastAsia="宋体" w:cs="宋体"/>
                <w:b/>
                <w:bCs/>
                <w:color w:val="auto"/>
                <w:spacing w:val="-4"/>
                <w:sz w:val="24"/>
                <w:szCs w:val="24"/>
                <w:highlight w:val="none"/>
              </w:rPr>
              <w:t>道路</w:t>
            </w:r>
            <w:r>
              <w:rPr>
                <w:rFonts w:hint="eastAsia" w:ascii="宋体" w:hAnsi="宋体" w:eastAsia="宋体" w:cs="宋体"/>
                <w:b/>
                <w:bCs/>
                <w:color w:val="auto"/>
                <w:spacing w:val="-4"/>
                <w:sz w:val="24"/>
                <w:szCs w:val="24"/>
                <w:highlight w:val="none"/>
                <w:lang w:val="en-US" w:eastAsia="zh-CN"/>
              </w:rPr>
              <w:t>名称</w:t>
            </w:r>
          </w:p>
        </w:tc>
        <w:tc>
          <w:tcPr>
            <w:tcW w:w="1459" w:type="dxa"/>
            <w:tcBorders>
              <w:left w:val="single" w:color="auto" w:sz="4" w:space="0"/>
              <w:right w:val="single" w:color="auto" w:sz="4" w:space="0"/>
            </w:tcBorders>
            <w:vAlign w:val="top"/>
          </w:tcPr>
          <w:p w14:paraId="235DC6FB">
            <w:pPr>
              <w:spacing w:before="39" w:line="209" w:lineRule="auto"/>
              <w:jc w:val="center"/>
              <w:rPr>
                <w:rFonts w:hint="default" w:ascii="宋体" w:hAnsi="宋体" w:eastAsia="宋体" w:cs="宋体"/>
                <w:b/>
                <w:bCs/>
                <w:color w:val="auto"/>
                <w:spacing w:val="-4"/>
                <w:sz w:val="24"/>
                <w:szCs w:val="24"/>
                <w:highlight w:val="none"/>
                <w:lang w:val="en-US" w:eastAsia="zh-CN"/>
              </w:rPr>
            </w:pPr>
            <w:r>
              <w:rPr>
                <w:rFonts w:hint="eastAsia" w:ascii="宋体" w:hAnsi="宋体" w:eastAsia="宋体" w:cs="宋体"/>
                <w:b/>
                <w:bCs/>
                <w:color w:val="auto"/>
                <w:spacing w:val="-4"/>
                <w:sz w:val="24"/>
                <w:szCs w:val="24"/>
                <w:highlight w:val="none"/>
                <w:lang w:val="en-US" w:eastAsia="zh-CN"/>
              </w:rPr>
              <w:t>道路级别</w:t>
            </w:r>
          </w:p>
        </w:tc>
        <w:tc>
          <w:tcPr>
            <w:tcW w:w="1774" w:type="dxa"/>
            <w:tcBorders>
              <w:left w:val="single" w:color="auto" w:sz="4" w:space="0"/>
            </w:tcBorders>
            <w:vAlign w:val="center"/>
          </w:tcPr>
          <w:p w14:paraId="0E453357">
            <w:pPr>
              <w:spacing w:before="39" w:line="209" w:lineRule="auto"/>
              <w:jc w:val="center"/>
              <w:rPr>
                <w:rFonts w:hint="default" w:ascii="宋体" w:hAnsi="宋体" w:eastAsia="宋体" w:cs="宋体"/>
                <w:b/>
                <w:bCs/>
                <w:color w:val="auto"/>
                <w:spacing w:val="-4"/>
                <w:sz w:val="24"/>
                <w:szCs w:val="24"/>
                <w:highlight w:val="none"/>
                <w:lang w:val="en-US" w:eastAsia="zh-CN"/>
              </w:rPr>
            </w:pPr>
            <w:r>
              <w:rPr>
                <w:rFonts w:hint="eastAsia" w:ascii="宋体" w:hAnsi="宋体" w:eastAsia="宋体" w:cs="宋体"/>
                <w:b/>
                <w:bCs/>
                <w:color w:val="auto"/>
                <w:spacing w:val="-4"/>
                <w:sz w:val="24"/>
                <w:szCs w:val="24"/>
                <w:highlight w:val="none"/>
                <w:lang w:val="en-US" w:eastAsia="zh-CN"/>
              </w:rPr>
              <w:t>机扫长度（m）</w:t>
            </w:r>
          </w:p>
        </w:tc>
        <w:tc>
          <w:tcPr>
            <w:tcW w:w="1433" w:type="dxa"/>
            <w:tcBorders>
              <w:left w:val="single" w:color="auto" w:sz="4" w:space="0"/>
            </w:tcBorders>
            <w:vAlign w:val="center"/>
          </w:tcPr>
          <w:p w14:paraId="12AFB895">
            <w:pPr>
              <w:spacing w:before="39" w:line="209" w:lineRule="auto"/>
              <w:jc w:val="center"/>
              <w:rPr>
                <w:rFonts w:hint="default" w:ascii="宋体" w:hAnsi="宋体" w:eastAsia="宋体" w:cs="宋体"/>
                <w:b/>
                <w:bCs/>
                <w:color w:val="auto"/>
                <w:spacing w:val="-4"/>
                <w:sz w:val="24"/>
                <w:szCs w:val="24"/>
                <w:highlight w:val="none"/>
                <w:lang w:val="en-US" w:eastAsia="zh-CN"/>
              </w:rPr>
            </w:pPr>
            <w:r>
              <w:rPr>
                <w:rFonts w:hint="eastAsia" w:ascii="宋体" w:hAnsi="宋体" w:eastAsia="宋体" w:cs="宋体"/>
                <w:b/>
                <w:bCs/>
                <w:color w:val="auto"/>
                <w:spacing w:val="-4"/>
                <w:sz w:val="24"/>
                <w:szCs w:val="24"/>
                <w:highlight w:val="none"/>
                <w:lang w:val="en-US" w:eastAsia="zh-CN"/>
              </w:rPr>
              <w:t>总工程量</w:t>
            </w:r>
          </w:p>
        </w:tc>
      </w:tr>
      <w:tr w14:paraId="54B21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04" w:type="dxa"/>
            <w:vMerge w:val="restart"/>
            <w:vAlign w:val="center"/>
          </w:tcPr>
          <w:p w14:paraId="61B1F031">
            <w:pPr>
              <w:spacing w:before="78" w:line="22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道路保洁</w:t>
            </w:r>
          </w:p>
        </w:tc>
        <w:tc>
          <w:tcPr>
            <w:tcW w:w="2263" w:type="dxa"/>
            <w:tcBorders>
              <w:right w:val="single" w:color="auto" w:sz="4" w:space="0"/>
            </w:tcBorders>
            <w:vAlign w:val="center"/>
          </w:tcPr>
          <w:p w14:paraId="60A51CD1">
            <w:pPr>
              <w:spacing w:before="35" w:line="208" w:lineRule="auto"/>
              <w:jc w:val="center"/>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中航路</w:t>
            </w:r>
          </w:p>
        </w:tc>
        <w:tc>
          <w:tcPr>
            <w:tcW w:w="1459" w:type="dxa"/>
            <w:tcBorders>
              <w:left w:val="single" w:color="auto" w:sz="4" w:space="0"/>
              <w:right w:val="single" w:color="auto" w:sz="4" w:space="0"/>
            </w:tcBorders>
            <w:vAlign w:val="center"/>
          </w:tcPr>
          <w:p w14:paraId="5200D3FD">
            <w:pPr>
              <w:spacing w:before="35" w:line="208" w:lineRule="auto"/>
              <w:jc w:val="center"/>
              <w:rPr>
                <w:rFonts w:hint="default"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四级</w:t>
            </w:r>
          </w:p>
        </w:tc>
        <w:tc>
          <w:tcPr>
            <w:tcW w:w="1774" w:type="dxa"/>
            <w:tcBorders>
              <w:left w:val="single" w:color="auto" w:sz="4" w:space="0"/>
            </w:tcBorders>
            <w:vAlign w:val="center"/>
          </w:tcPr>
          <w:p w14:paraId="1527098F">
            <w:pPr>
              <w:spacing w:before="35" w:line="208" w:lineRule="auto"/>
              <w:jc w:val="center"/>
              <w:rPr>
                <w:rFonts w:hint="default"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925</w:t>
            </w:r>
          </w:p>
        </w:tc>
        <w:tc>
          <w:tcPr>
            <w:tcW w:w="1433" w:type="dxa"/>
            <w:vMerge w:val="restart"/>
            <w:tcBorders>
              <w:left w:val="single" w:color="auto" w:sz="4" w:space="0"/>
            </w:tcBorders>
            <w:vAlign w:val="center"/>
          </w:tcPr>
          <w:p w14:paraId="767D7DFA">
            <w:pPr>
              <w:spacing w:before="35" w:line="208" w:lineRule="auto"/>
              <w:jc w:val="center"/>
              <w:rPr>
                <w:rFonts w:hint="default"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7004m</w:t>
            </w:r>
          </w:p>
        </w:tc>
      </w:tr>
      <w:tr w14:paraId="4456B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04" w:type="dxa"/>
            <w:vMerge w:val="continue"/>
            <w:vAlign w:val="center"/>
          </w:tcPr>
          <w:p w14:paraId="060C0427">
            <w:pPr>
              <w:pStyle w:val="12"/>
              <w:jc w:val="center"/>
              <w:rPr>
                <w:rFonts w:hint="eastAsia" w:ascii="宋体" w:hAnsi="宋体" w:eastAsia="宋体" w:cs="宋体"/>
                <w:color w:val="auto"/>
                <w:sz w:val="24"/>
                <w:szCs w:val="24"/>
                <w:highlight w:val="none"/>
              </w:rPr>
            </w:pPr>
          </w:p>
        </w:tc>
        <w:tc>
          <w:tcPr>
            <w:tcW w:w="2263" w:type="dxa"/>
            <w:tcBorders>
              <w:right w:val="single" w:color="auto" w:sz="4" w:space="0"/>
            </w:tcBorders>
            <w:vAlign w:val="center"/>
          </w:tcPr>
          <w:p w14:paraId="29729899">
            <w:pPr>
              <w:spacing w:before="35" w:line="208" w:lineRule="auto"/>
              <w:jc w:val="center"/>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平远路</w:t>
            </w:r>
          </w:p>
        </w:tc>
        <w:tc>
          <w:tcPr>
            <w:tcW w:w="1459" w:type="dxa"/>
            <w:tcBorders>
              <w:left w:val="single" w:color="auto" w:sz="4" w:space="0"/>
              <w:right w:val="single" w:color="auto" w:sz="4" w:space="0"/>
            </w:tcBorders>
            <w:vAlign w:val="center"/>
          </w:tcPr>
          <w:p w14:paraId="1C83F7F6">
            <w:pPr>
              <w:spacing w:before="35" w:line="208" w:lineRule="auto"/>
              <w:jc w:val="center"/>
              <w:rPr>
                <w:rFonts w:hint="default"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四级</w:t>
            </w:r>
          </w:p>
        </w:tc>
        <w:tc>
          <w:tcPr>
            <w:tcW w:w="1774" w:type="dxa"/>
            <w:tcBorders>
              <w:left w:val="single" w:color="auto" w:sz="4" w:space="0"/>
            </w:tcBorders>
            <w:vAlign w:val="center"/>
          </w:tcPr>
          <w:p w14:paraId="24AF857B">
            <w:pPr>
              <w:spacing w:before="35" w:line="208" w:lineRule="auto"/>
              <w:jc w:val="center"/>
              <w:rPr>
                <w:rFonts w:hint="default"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948</w:t>
            </w:r>
          </w:p>
        </w:tc>
        <w:tc>
          <w:tcPr>
            <w:tcW w:w="1433" w:type="dxa"/>
            <w:vMerge w:val="continue"/>
            <w:tcBorders>
              <w:left w:val="single" w:color="auto" w:sz="4" w:space="0"/>
            </w:tcBorders>
            <w:vAlign w:val="center"/>
          </w:tcPr>
          <w:p w14:paraId="51670BCA">
            <w:pPr>
              <w:spacing w:before="35" w:line="208" w:lineRule="auto"/>
              <w:jc w:val="center"/>
              <w:rPr>
                <w:rFonts w:hint="eastAsia" w:ascii="宋体" w:hAnsi="宋体" w:eastAsia="宋体" w:cs="宋体"/>
                <w:color w:val="auto"/>
                <w:spacing w:val="5"/>
                <w:sz w:val="24"/>
                <w:szCs w:val="24"/>
                <w:highlight w:val="none"/>
              </w:rPr>
            </w:pPr>
          </w:p>
        </w:tc>
      </w:tr>
      <w:tr w14:paraId="74FCD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04" w:type="dxa"/>
            <w:vMerge w:val="continue"/>
            <w:vAlign w:val="center"/>
          </w:tcPr>
          <w:p w14:paraId="6569FC0E">
            <w:pPr>
              <w:pStyle w:val="12"/>
              <w:jc w:val="center"/>
              <w:rPr>
                <w:rFonts w:hint="eastAsia" w:ascii="宋体" w:hAnsi="宋体" w:eastAsia="宋体" w:cs="宋体"/>
                <w:color w:val="auto"/>
                <w:sz w:val="24"/>
                <w:szCs w:val="24"/>
                <w:highlight w:val="none"/>
              </w:rPr>
            </w:pPr>
          </w:p>
        </w:tc>
        <w:tc>
          <w:tcPr>
            <w:tcW w:w="2263" w:type="dxa"/>
            <w:tcBorders>
              <w:right w:val="single" w:color="auto" w:sz="4" w:space="0"/>
            </w:tcBorders>
            <w:vAlign w:val="center"/>
          </w:tcPr>
          <w:p w14:paraId="7A7C0625">
            <w:pPr>
              <w:spacing w:before="35" w:line="208" w:lineRule="auto"/>
              <w:jc w:val="center"/>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行远路</w:t>
            </w:r>
          </w:p>
        </w:tc>
        <w:tc>
          <w:tcPr>
            <w:tcW w:w="1459" w:type="dxa"/>
            <w:tcBorders>
              <w:left w:val="single" w:color="auto" w:sz="4" w:space="0"/>
              <w:right w:val="single" w:color="auto" w:sz="4" w:space="0"/>
            </w:tcBorders>
            <w:vAlign w:val="center"/>
          </w:tcPr>
          <w:p w14:paraId="53757F84">
            <w:pPr>
              <w:spacing w:before="35" w:line="208" w:lineRule="auto"/>
              <w:jc w:val="center"/>
              <w:rPr>
                <w:rFonts w:hint="default"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四级</w:t>
            </w:r>
          </w:p>
        </w:tc>
        <w:tc>
          <w:tcPr>
            <w:tcW w:w="1774" w:type="dxa"/>
            <w:tcBorders>
              <w:left w:val="single" w:color="auto" w:sz="4" w:space="0"/>
            </w:tcBorders>
            <w:vAlign w:val="center"/>
          </w:tcPr>
          <w:p w14:paraId="3615646D">
            <w:pPr>
              <w:spacing w:before="35" w:line="208" w:lineRule="auto"/>
              <w:jc w:val="center"/>
              <w:rPr>
                <w:rFonts w:hint="default"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573</w:t>
            </w:r>
          </w:p>
        </w:tc>
        <w:tc>
          <w:tcPr>
            <w:tcW w:w="1433" w:type="dxa"/>
            <w:vMerge w:val="continue"/>
            <w:tcBorders>
              <w:left w:val="single" w:color="auto" w:sz="4" w:space="0"/>
            </w:tcBorders>
            <w:vAlign w:val="center"/>
          </w:tcPr>
          <w:p w14:paraId="37DB024C">
            <w:pPr>
              <w:spacing w:before="35" w:line="208" w:lineRule="auto"/>
              <w:jc w:val="center"/>
              <w:rPr>
                <w:rFonts w:hint="eastAsia" w:ascii="宋体" w:hAnsi="宋体" w:eastAsia="宋体" w:cs="宋体"/>
                <w:color w:val="auto"/>
                <w:spacing w:val="5"/>
                <w:sz w:val="24"/>
                <w:szCs w:val="24"/>
                <w:highlight w:val="none"/>
              </w:rPr>
            </w:pPr>
          </w:p>
        </w:tc>
      </w:tr>
      <w:tr w14:paraId="1CC23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04" w:type="dxa"/>
            <w:vMerge w:val="continue"/>
            <w:vAlign w:val="center"/>
          </w:tcPr>
          <w:p w14:paraId="10B8073E">
            <w:pPr>
              <w:pStyle w:val="12"/>
              <w:jc w:val="center"/>
              <w:rPr>
                <w:rFonts w:hint="eastAsia" w:ascii="宋体" w:hAnsi="宋体" w:eastAsia="宋体" w:cs="宋体"/>
                <w:color w:val="auto"/>
                <w:sz w:val="24"/>
                <w:szCs w:val="24"/>
                <w:highlight w:val="none"/>
              </w:rPr>
            </w:pPr>
          </w:p>
        </w:tc>
        <w:tc>
          <w:tcPr>
            <w:tcW w:w="2263" w:type="dxa"/>
            <w:tcBorders>
              <w:right w:val="single" w:color="auto" w:sz="4" w:space="0"/>
            </w:tcBorders>
            <w:vAlign w:val="center"/>
          </w:tcPr>
          <w:p w14:paraId="62DAB8BD">
            <w:pPr>
              <w:spacing w:before="35" w:line="208" w:lineRule="auto"/>
              <w:jc w:val="center"/>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思远路</w:t>
            </w:r>
          </w:p>
        </w:tc>
        <w:tc>
          <w:tcPr>
            <w:tcW w:w="1459" w:type="dxa"/>
            <w:tcBorders>
              <w:left w:val="single" w:color="auto" w:sz="4" w:space="0"/>
              <w:right w:val="single" w:color="auto" w:sz="4" w:space="0"/>
            </w:tcBorders>
            <w:vAlign w:val="center"/>
          </w:tcPr>
          <w:p w14:paraId="06C56C30">
            <w:pPr>
              <w:spacing w:before="35" w:line="208" w:lineRule="auto"/>
              <w:jc w:val="center"/>
              <w:rPr>
                <w:rFonts w:hint="default"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四级</w:t>
            </w:r>
          </w:p>
        </w:tc>
        <w:tc>
          <w:tcPr>
            <w:tcW w:w="1774" w:type="dxa"/>
            <w:vMerge w:val="restart"/>
            <w:tcBorders>
              <w:left w:val="single" w:color="auto" w:sz="4" w:space="0"/>
            </w:tcBorders>
            <w:vAlign w:val="center"/>
          </w:tcPr>
          <w:p w14:paraId="7C380352">
            <w:pPr>
              <w:spacing w:before="35" w:line="208" w:lineRule="auto"/>
              <w:jc w:val="center"/>
              <w:rPr>
                <w:rFonts w:hint="default"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1616</w:t>
            </w:r>
          </w:p>
        </w:tc>
        <w:tc>
          <w:tcPr>
            <w:tcW w:w="1433" w:type="dxa"/>
            <w:vMerge w:val="continue"/>
            <w:tcBorders>
              <w:left w:val="single" w:color="auto" w:sz="4" w:space="0"/>
            </w:tcBorders>
            <w:vAlign w:val="center"/>
          </w:tcPr>
          <w:p w14:paraId="0C47DC94">
            <w:pPr>
              <w:spacing w:before="35" w:line="208" w:lineRule="auto"/>
              <w:jc w:val="center"/>
              <w:rPr>
                <w:rFonts w:hint="eastAsia" w:ascii="宋体" w:hAnsi="宋体" w:eastAsia="宋体" w:cs="宋体"/>
                <w:color w:val="auto"/>
                <w:spacing w:val="5"/>
                <w:sz w:val="24"/>
                <w:szCs w:val="24"/>
                <w:highlight w:val="none"/>
              </w:rPr>
            </w:pPr>
          </w:p>
        </w:tc>
      </w:tr>
      <w:tr w14:paraId="16EFA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04" w:type="dxa"/>
            <w:vMerge w:val="continue"/>
            <w:vAlign w:val="center"/>
          </w:tcPr>
          <w:p w14:paraId="029EC223">
            <w:pPr>
              <w:pStyle w:val="12"/>
              <w:jc w:val="center"/>
              <w:rPr>
                <w:rFonts w:hint="eastAsia" w:ascii="宋体" w:hAnsi="宋体" w:eastAsia="宋体" w:cs="宋体"/>
                <w:color w:val="auto"/>
                <w:sz w:val="24"/>
                <w:szCs w:val="24"/>
                <w:highlight w:val="none"/>
              </w:rPr>
            </w:pPr>
          </w:p>
        </w:tc>
        <w:tc>
          <w:tcPr>
            <w:tcW w:w="2263" w:type="dxa"/>
            <w:tcBorders>
              <w:right w:val="single" w:color="auto" w:sz="4" w:space="0"/>
            </w:tcBorders>
            <w:vAlign w:val="center"/>
          </w:tcPr>
          <w:p w14:paraId="6399089B">
            <w:pPr>
              <w:spacing w:before="35" w:line="208" w:lineRule="auto"/>
              <w:jc w:val="center"/>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荣达路</w:t>
            </w:r>
          </w:p>
        </w:tc>
        <w:tc>
          <w:tcPr>
            <w:tcW w:w="1459" w:type="dxa"/>
            <w:tcBorders>
              <w:left w:val="single" w:color="auto" w:sz="4" w:space="0"/>
              <w:right w:val="single" w:color="auto" w:sz="4" w:space="0"/>
            </w:tcBorders>
            <w:vAlign w:val="center"/>
          </w:tcPr>
          <w:p w14:paraId="1BD55E11">
            <w:pPr>
              <w:spacing w:before="35" w:line="208" w:lineRule="auto"/>
              <w:jc w:val="center"/>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lang w:val="en-US" w:eastAsia="zh-CN"/>
              </w:rPr>
              <w:t>四级</w:t>
            </w:r>
          </w:p>
        </w:tc>
        <w:tc>
          <w:tcPr>
            <w:tcW w:w="1774" w:type="dxa"/>
            <w:vMerge w:val="continue"/>
            <w:tcBorders>
              <w:left w:val="single" w:color="auto" w:sz="4" w:space="0"/>
            </w:tcBorders>
            <w:vAlign w:val="center"/>
          </w:tcPr>
          <w:p w14:paraId="1C624949">
            <w:pPr>
              <w:spacing w:before="35" w:line="208" w:lineRule="auto"/>
              <w:jc w:val="center"/>
              <w:rPr>
                <w:rFonts w:hint="eastAsia" w:ascii="宋体" w:hAnsi="宋体" w:eastAsia="宋体" w:cs="宋体"/>
                <w:color w:val="auto"/>
                <w:spacing w:val="5"/>
                <w:sz w:val="24"/>
                <w:szCs w:val="24"/>
                <w:highlight w:val="none"/>
              </w:rPr>
            </w:pPr>
          </w:p>
        </w:tc>
        <w:tc>
          <w:tcPr>
            <w:tcW w:w="1433" w:type="dxa"/>
            <w:vMerge w:val="continue"/>
            <w:tcBorders>
              <w:left w:val="single" w:color="auto" w:sz="4" w:space="0"/>
            </w:tcBorders>
            <w:vAlign w:val="center"/>
          </w:tcPr>
          <w:p w14:paraId="10B09BC6">
            <w:pPr>
              <w:spacing w:before="35" w:line="208" w:lineRule="auto"/>
              <w:jc w:val="center"/>
              <w:rPr>
                <w:rFonts w:hint="eastAsia" w:ascii="宋体" w:hAnsi="宋体" w:eastAsia="宋体" w:cs="宋体"/>
                <w:color w:val="auto"/>
                <w:spacing w:val="5"/>
                <w:sz w:val="24"/>
                <w:szCs w:val="24"/>
                <w:highlight w:val="none"/>
              </w:rPr>
            </w:pPr>
          </w:p>
        </w:tc>
      </w:tr>
      <w:tr w14:paraId="1B5BF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04" w:type="dxa"/>
            <w:vMerge w:val="continue"/>
            <w:vAlign w:val="center"/>
          </w:tcPr>
          <w:p w14:paraId="6D216F83">
            <w:pPr>
              <w:spacing w:before="78" w:line="220" w:lineRule="auto"/>
              <w:jc w:val="center"/>
              <w:rPr>
                <w:rFonts w:hint="eastAsia" w:ascii="宋体" w:hAnsi="宋体" w:eastAsia="宋体" w:cs="宋体"/>
                <w:color w:val="auto"/>
                <w:sz w:val="24"/>
                <w:szCs w:val="24"/>
                <w:highlight w:val="none"/>
                <w:lang w:val="en-US" w:eastAsia="zh-CN"/>
              </w:rPr>
            </w:pPr>
          </w:p>
        </w:tc>
        <w:tc>
          <w:tcPr>
            <w:tcW w:w="2263" w:type="dxa"/>
            <w:tcBorders>
              <w:right w:val="single" w:color="auto" w:sz="4" w:space="0"/>
            </w:tcBorders>
            <w:vAlign w:val="center"/>
          </w:tcPr>
          <w:p w14:paraId="0640D253">
            <w:pPr>
              <w:spacing w:before="35" w:line="208" w:lineRule="auto"/>
              <w:jc w:val="center"/>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达远路</w:t>
            </w:r>
          </w:p>
        </w:tc>
        <w:tc>
          <w:tcPr>
            <w:tcW w:w="1459" w:type="dxa"/>
            <w:tcBorders>
              <w:left w:val="single" w:color="auto" w:sz="4" w:space="0"/>
              <w:right w:val="single" w:color="auto" w:sz="4" w:space="0"/>
            </w:tcBorders>
            <w:vAlign w:val="center"/>
          </w:tcPr>
          <w:p w14:paraId="0954BBBF">
            <w:pPr>
              <w:spacing w:before="35" w:line="208" w:lineRule="auto"/>
              <w:jc w:val="center"/>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lang w:val="en-US" w:eastAsia="zh-CN"/>
              </w:rPr>
              <w:t>四级</w:t>
            </w:r>
          </w:p>
        </w:tc>
        <w:tc>
          <w:tcPr>
            <w:tcW w:w="1774" w:type="dxa"/>
            <w:vMerge w:val="continue"/>
            <w:tcBorders>
              <w:left w:val="single" w:color="auto" w:sz="4" w:space="0"/>
            </w:tcBorders>
            <w:vAlign w:val="center"/>
          </w:tcPr>
          <w:p w14:paraId="399C958F">
            <w:pPr>
              <w:spacing w:before="35" w:line="208" w:lineRule="auto"/>
              <w:jc w:val="center"/>
              <w:rPr>
                <w:rFonts w:hint="eastAsia" w:ascii="宋体" w:hAnsi="宋体" w:eastAsia="宋体" w:cs="宋体"/>
                <w:color w:val="auto"/>
                <w:spacing w:val="5"/>
                <w:sz w:val="24"/>
                <w:szCs w:val="24"/>
                <w:highlight w:val="none"/>
              </w:rPr>
            </w:pPr>
          </w:p>
        </w:tc>
        <w:tc>
          <w:tcPr>
            <w:tcW w:w="1433" w:type="dxa"/>
            <w:vMerge w:val="continue"/>
            <w:tcBorders>
              <w:left w:val="single" w:color="auto" w:sz="4" w:space="0"/>
            </w:tcBorders>
            <w:vAlign w:val="center"/>
          </w:tcPr>
          <w:p w14:paraId="04886033">
            <w:pPr>
              <w:spacing w:before="35" w:line="208" w:lineRule="auto"/>
              <w:jc w:val="center"/>
              <w:rPr>
                <w:rFonts w:hint="eastAsia" w:ascii="宋体" w:hAnsi="宋体" w:eastAsia="宋体" w:cs="宋体"/>
                <w:color w:val="auto"/>
                <w:spacing w:val="5"/>
                <w:sz w:val="24"/>
                <w:szCs w:val="24"/>
                <w:highlight w:val="none"/>
              </w:rPr>
            </w:pPr>
          </w:p>
        </w:tc>
      </w:tr>
      <w:tr w14:paraId="389B7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04" w:type="dxa"/>
            <w:vMerge w:val="continue"/>
            <w:vAlign w:val="top"/>
          </w:tcPr>
          <w:p w14:paraId="48FDF200">
            <w:pPr>
              <w:pStyle w:val="12"/>
              <w:rPr>
                <w:color w:val="auto"/>
                <w:highlight w:val="none"/>
              </w:rPr>
            </w:pPr>
          </w:p>
        </w:tc>
        <w:tc>
          <w:tcPr>
            <w:tcW w:w="2263" w:type="dxa"/>
            <w:tcBorders>
              <w:right w:val="single" w:color="auto" w:sz="4" w:space="0"/>
            </w:tcBorders>
            <w:vAlign w:val="top"/>
          </w:tcPr>
          <w:p w14:paraId="52CF0439">
            <w:pPr>
              <w:spacing w:before="35" w:line="208" w:lineRule="auto"/>
              <w:jc w:val="center"/>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广达街</w:t>
            </w:r>
          </w:p>
        </w:tc>
        <w:tc>
          <w:tcPr>
            <w:tcW w:w="1459" w:type="dxa"/>
            <w:tcBorders>
              <w:left w:val="single" w:color="auto" w:sz="4" w:space="0"/>
              <w:right w:val="single" w:color="auto" w:sz="4" w:space="0"/>
            </w:tcBorders>
            <w:vAlign w:val="top"/>
          </w:tcPr>
          <w:p w14:paraId="4C0C2173">
            <w:pPr>
              <w:spacing w:before="35" w:line="208" w:lineRule="auto"/>
              <w:jc w:val="center"/>
              <w:rPr>
                <w:rFonts w:hint="default"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四级</w:t>
            </w:r>
          </w:p>
        </w:tc>
        <w:tc>
          <w:tcPr>
            <w:tcW w:w="1774" w:type="dxa"/>
            <w:tcBorders>
              <w:left w:val="single" w:color="auto" w:sz="4" w:space="0"/>
            </w:tcBorders>
            <w:vAlign w:val="center"/>
          </w:tcPr>
          <w:p w14:paraId="6108198F">
            <w:pPr>
              <w:spacing w:before="35" w:line="208" w:lineRule="auto"/>
              <w:jc w:val="center"/>
              <w:rPr>
                <w:rFonts w:hint="default"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1173</w:t>
            </w:r>
          </w:p>
        </w:tc>
        <w:tc>
          <w:tcPr>
            <w:tcW w:w="1433" w:type="dxa"/>
            <w:vMerge w:val="continue"/>
            <w:tcBorders>
              <w:left w:val="single" w:color="auto" w:sz="4" w:space="0"/>
            </w:tcBorders>
            <w:vAlign w:val="center"/>
          </w:tcPr>
          <w:p w14:paraId="6B516512">
            <w:pPr>
              <w:spacing w:before="35" w:line="208" w:lineRule="auto"/>
              <w:jc w:val="center"/>
              <w:rPr>
                <w:rFonts w:hint="eastAsia" w:ascii="宋体" w:hAnsi="宋体" w:eastAsia="宋体" w:cs="宋体"/>
                <w:color w:val="auto"/>
                <w:spacing w:val="5"/>
                <w:sz w:val="24"/>
                <w:szCs w:val="24"/>
                <w:highlight w:val="none"/>
              </w:rPr>
            </w:pPr>
          </w:p>
        </w:tc>
      </w:tr>
      <w:tr w14:paraId="4CB48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04" w:type="dxa"/>
            <w:vMerge w:val="continue"/>
            <w:vAlign w:val="top"/>
          </w:tcPr>
          <w:p w14:paraId="6F6B92F0">
            <w:pPr>
              <w:pStyle w:val="12"/>
              <w:rPr>
                <w:color w:val="auto"/>
                <w:highlight w:val="none"/>
              </w:rPr>
            </w:pPr>
          </w:p>
        </w:tc>
        <w:tc>
          <w:tcPr>
            <w:tcW w:w="2263" w:type="dxa"/>
            <w:tcBorders>
              <w:right w:val="single" w:color="auto" w:sz="4" w:space="0"/>
            </w:tcBorders>
            <w:vAlign w:val="top"/>
          </w:tcPr>
          <w:p w14:paraId="539BC737">
            <w:pPr>
              <w:spacing w:before="35" w:line="208" w:lineRule="auto"/>
              <w:jc w:val="center"/>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唐杨街</w:t>
            </w:r>
          </w:p>
        </w:tc>
        <w:tc>
          <w:tcPr>
            <w:tcW w:w="1459" w:type="dxa"/>
            <w:tcBorders>
              <w:left w:val="single" w:color="auto" w:sz="4" w:space="0"/>
              <w:right w:val="single" w:color="auto" w:sz="4" w:space="0"/>
            </w:tcBorders>
            <w:vAlign w:val="top"/>
          </w:tcPr>
          <w:p w14:paraId="724A88DC">
            <w:pPr>
              <w:spacing w:before="35" w:line="208" w:lineRule="auto"/>
              <w:jc w:val="center"/>
              <w:rPr>
                <w:rFonts w:hint="default"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四级</w:t>
            </w:r>
          </w:p>
        </w:tc>
        <w:tc>
          <w:tcPr>
            <w:tcW w:w="1774" w:type="dxa"/>
            <w:tcBorders>
              <w:left w:val="single" w:color="auto" w:sz="4" w:space="0"/>
            </w:tcBorders>
            <w:vAlign w:val="center"/>
          </w:tcPr>
          <w:p w14:paraId="6760BFF8">
            <w:pPr>
              <w:spacing w:before="35" w:line="208" w:lineRule="auto"/>
              <w:jc w:val="center"/>
              <w:rPr>
                <w:rFonts w:hint="default"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976</w:t>
            </w:r>
          </w:p>
        </w:tc>
        <w:tc>
          <w:tcPr>
            <w:tcW w:w="1433" w:type="dxa"/>
            <w:vMerge w:val="continue"/>
            <w:tcBorders>
              <w:left w:val="single" w:color="auto" w:sz="4" w:space="0"/>
            </w:tcBorders>
            <w:vAlign w:val="center"/>
          </w:tcPr>
          <w:p w14:paraId="5A4A47D4">
            <w:pPr>
              <w:spacing w:before="35" w:line="208" w:lineRule="auto"/>
              <w:jc w:val="center"/>
              <w:rPr>
                <w:rFonts w:hint="eastAsia" w:ascii="宋体" w:hAnsi="宋体" w:eastAsia="宋体" w:cs="宋体"/>
                <w:color w:val="auto"/>
                <w:spacing w:val="5"/>
                <w:sz w:val="24"/>
                <w:szCs w:val="24"/>
                <w:highlight w:val="none"/>
              </w:rPr>
            </w:pPr>
          </w:p>
        </w:tc>
      </w:tr>
      <w:tr w14:paraId="229E2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04" w:type="dxa"/>
            <w:vMerge w:val="continue"/>
            <w:vAlign w:val="top"/>
          </w:tcPr>
          <w:p w14:paraId="01C2A670">
            <w:pPr>
              <w:pStyle w:val="12"/>
              <w:rPr>
                <w:color w:val="auto"/>
                <w:highlight w:val="none"/>
              </w:rPr>
            </w:pPr>
          </w:p>
        </w:tc>
        <w:tc>
          <w:tcPr>
            <w:tcW w:w="2263" w:type="dxa"/>
            <w:tcBorders>
              <w:right w:val="single" w:color="auto" w:sz="4" w:space="0"/>
            </w:tcBorders>
            <w:vAlign w:val="top"/>
          </w:tcPr>
          <w:p w14:paraId="755D0DE8">
            <w:pPr>
              <w:spacing w:before="35" w:line="208" w:lineRule="auto"/>
              <w:jc w:val="center"/>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安远街</w:t>
            </w:r>
          </w:p>
        </w:tc>
        <w:tc>
          <w:tcPr>
            <w:tcW w:w="1459" w:type="dxa"/>
            <w:tcBorders>
              <w:left w:val="single" w:color="auto" w:sz="4" w:space="0"/>
              <w:right w:val="single" w:color="auto" w:sz="4" w:space="0"/>
            </w:tcBorders>
            <w:vAlign w:val="top"/>
          </w:tcPr>
          <w:p w14:paraId="7F5800B6">
            <w:pPr>
              <w:spacing w:before="35" w:line="208" w:lineRule="auto"/>
              <w:jc w:val="center"/>
              <w:rPr>
                <w:rFonts w:hint="default"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四级</w:t>
            </w:r>
          </w:p>
        </w:tc>
        <w:tc>
          <w:tcPr>
            <w:tcW w:w="1774" w:type="dxa"/>
            <w:tcBorders>
              <w:left w:val="single" w:color="auto" w:sz="4" w:space="0"/>
            </w:tcBorders>
            <w:vAlign w:val="center"/>
          </w:tcPr>
          <w:p w14:paraId="63CE8C53">
            <w:pPr>
              <w:spacing w:before="35" w:line="208" w:lineRule="auto"/>
              <w:jc w:val="center"/>
              <w:rPr>
                <w:rFonts w:hint="default"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419</w:t>
            </w:r>
          </w:p>
        </w:tc>
        <w:tc>
          <w:tcPr>
            <w:tcW w:w="1433" w:type="dxa"/>
            <w:vMerge w:val="continue"/>
            <w:tcBorders>
              <w:left w:val="single" w:color="auto" w:sz="4" w:space="0"/>
            </w:tcBorders>
            <w:vAlign w:val="center"/>
          </w:tcPr>
          <w:p w14:paraId="5CBF764F">
            <w:pPr>
              <w:spacing w:before="35" w:line="208" w:lineRule="auto"/>
              <w:jc w:val="center"/>
              <w:rPr>
                <w:rFonts w:hint="eastAsia" w:ascii="宋体" w:hAnsi="宋体" w:eastAsia="宋体" w:cs="宋体"/>
                <w:color w:val="auto"/>
                <w:spacing w:val="5"/>
                <w:sz w:val="24"/>
                <w:szCs w:val="24"/>
                <w:highlight w:val="none"/>
              </w:rPr>
            </w:pPr>
          </w:p>
        </w:tc>
      </w:tr>
      <w:tr w14:paraId="47EFA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04" w:type="dxa"/>
            <w:vMerge w:val="continue"/>
            <w:tcBorders>
              <w:bottom w:val="single" w:color="auto" w:sz="4" w:space="0"/>
            </w:tcBorders>
            <w:vAlign w:val="top"/>
          </w:tcPr>
          <w:p w14:paraId="713BBE78">
            <w:pPr>
              <w:pStyle w:val="12"/>
              <w:rPr>
                <w:color w:val="auto"/>
                <w:highlight w:val="none"/>
              </w:rPr>
            </w:pPr>
          </w:p>
        </w:tc>
        <w:tc>
          <w:tcPr>
            <w:tcW w:w="2263" w:type="dxa"/>
            <w:tcBorders>
              <w:bottom w:val="single" w:color="auto" w:sz="4" w:space="0"/>
              <w:right w:val="single" w:color="auto" w:sz="4" w:space="0"/>
            </w:tcBorders>
            <w:vAlign w:val="top"/>
          </w:tcPr>
          <w:p w14:paraId="2BE06F86">
            <w:pPr>
              <w:spacing w:before="35" w:line="208" w:lineRule="auto"/>
              <w:jc w:val="center"/>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盛达街</w:t>
            </w:r>
          </w:p>
        </w:tc>
        <w:tc>
          <w:tcPr>
            <w:tcW w:w="1459" w:type="dxa"/>
            <w:tcBorders>
              <w:left w:val="single" w:color="auto" w:sz="4" w:space="0"/>
              <w:bottom w:val="single" w:color="auto" w:sz="4" w:space="0"/>
              <w:right w:val="single" w:color="auto" w:sz="4" w:space="0"/>
            </w:tcBorders>
            <w:vAlign w:val="top"/>
          </w:tcPr>
          <w:p w14:paraId="74A75AA9">
            <w:pPr>
              <w:spacing w:before="35" w:line="208" w:lineRule="auto"/>
              <w:jc w:val="center"/>
              <w:rPr>
                <w:rFonts w:hint="default"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四级</w:t>
            </w:r>
          </w:p>
        </w:tc>
        <w:tc>
          <w:tcPr>
            <w:tcW w:w="1774" w:type="dxa"/>
            <w:tcBorders>
              <w:left w:val="single" w:color="auto" w:sz="4" w:space="0"/>
              <w:bottom w:val="single" w:color="auto" w:sz="4" w:space="0"/>
            </w:tcBorders>
            <w:vAlign w:val="center"/>
          </w:tcPr>
          <w:p w14:paraId="376C44CA">
            <w:pPr>
              <w:spacing w:before="35" w:line="208" w:lineRule="auto"/>
              <w:jc w:val="center"/>
              <w:rPr>
                <w:rFonts w:hint="default"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374</w:t>
            </w:r>
          </w:p>
        </w:tc>
        <w:tc>
          <w:tcPr>
            <w:tcW w:w="1433" w:type="dxa"/>
            <w:vMerge w:val="continue"/>
            <w:tcBorders>
              <w:left w:val="single" w:color="auto" w:sz="4" w:space="0"/>
              <w:bottom w:val="single" w:color="auto" w:sz="4" w:space="0"/>
            </w:tcBorders>
            <w:vAlign w:val="center"/>
          </w:tcPr>
          <w:p w14:paraId="43BBBF91">
            <w:pPr>
              <w:spacing w:before="35" w:line="208" w:lineRule="auto"/>
              <w:jc w:val="center"/>
              <w:rPr>
                <w:rFonts w:hint="eastAsia" w:ascii="宋体" w:hAnsi="宋体" w:eastAsia="宋体" w:cs="宋体"/>
                <w:color w:val="auto"/>
                <w:spacing w:val="5"/>
                <w:sz w:val="24"/>
                <w:szCs w:val="24"/>
                <w:highlight w:val="none"/>
              </w:rPr>
            </w:pPr>
          </w:p>
        </w:tc>
      </w:tr>
      <w:tr w14:paraId="6E187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2404" w:type="dxa"/>
            <w:tcBorders>
              <w:top w:val="single" w:color="auto" w:sz="4" w:space="0"/>
              <w:bottom w:val="single" w:color="auto" w:sz="4" w:space="0"/>
            </w:tcBorders>
            <w:vAlign w:val="center"/>
          </w:tcPr>
          <w:p w14:paraId="3C2D810D">
            <w:pPr>
              <w:pStyle w:val="12"/>
              <w:jc w:val="center"/>
              <w:rPr>
                <w:rFonts w:hint="default"/>
                <w:color w:val="auto"/>
                <w:highlight w:val="none"/>
                <w:lang w:val="en-US"/>
              </w:rPr>
            </w:pPr>
            <w:r>
              <w:rPr>
                <w:rFonts w:hint="eastAsia" w:ascii="宋体" w:hAnsi="宋体" w:eastAsia="宋体" w:cs="宋体"/>
                <w:color w:val="auto"/>
                <w:spacing w:val="-5"/>
                <w:sz w:val="24"/>
                <w:szCs w:val="24"/>
                <w:highlight w:val="none"/>
                <w:lang w:val="en-US" w:eastAsia="zh-CN"/>
              </w:rPr>
              <w:t>绿化管养</w:t>
            </w:r>
          </w:p>
        </w:tc>
        <w:tc>
          <w:tcPr>
            <w:tcW w:w="5496" w:type="dxa"/>
            <w:gridSpan w:val="3"/>
            <w:tcBorders>
              <w:top w:val="single" w:color="auto" w:sz="4" w:space="0"/>
              <w:bottom w:val="single" w:color="auto" w:sz="4" w:space="0"/>
            </w:tcBorders>
            <w:vAlign w:val="center"/>
          </w:tcPr>
          <w:p w14:paraId="515A5705">
            <w:pPr>
              <w:spacing w:before="39" w:line="205" w:lineRule="auto"/>
              <w:ind w:left="1392" w:firstLine="1440" w:firstLineChars="60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433" w:type="dxa"/>
            <w:tcBorders>
              <w:top w:val="single" w:color="auto" w:sz="4" w:space="0"/>
              <w:left w:val="single" w:color="auto" w:sz="4" w:space="0"/>
              <w:bottom w:val="single" w:color="auto" w:sz="4" w:space="0"/>
            </w:tcBorders>
            <w:vAlign w:val="center"/>
          </w:tcPr>
          <w:p w14:paraId="5EDB359A">
            <w:pPr>
              <w:spacing w:before="39" w:line="205" w:lineRule="auto"/>
              <w:ind w:firstLine="232"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11044㎡</w:t>
            </w:r>
          </w:p>
        </w:tc>
      </w:tr>
    </w:tbl>
    <w:p w14:paraId="1C93B92B">
      <w:pPr>
        <w:spacing w:line="218" w:lineRule="auto"/>
        <w:rPr>
          <w:rFonts w:ascii="宋体" w:hAnsi="宋体" w:eastAsia="宋体" w:cs="宋体"/>
          <w:b/>
          <w:bCs/>
          <w:color w:val="auto"/>
          <w:spacing w:val="-4"/>
          <w:sz w:val="24"/>
          <w:szCs w:val="24"/>
          <w:highlight w:val="none"/>
        </w:rPr>
      </w:pPr>
    </w:p>
    <w:tbl>
      <w:tblPr>
        <w:tblStyle w:val="9"/>
        <w:tblW w:w="9316"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6"/>
        <w:gridCol w:w="926"/>
        <w:gridCol w:w="608"/>
        <w:gridCol w:w="1561"/>
        <w:gridCol w:w="1777"/>
        <w:gridCol w:w="833"/>
        <w:gridCol w:w="719"/>
        <w:gridCol w:w="1556"/>
      </w:tblGrid>
      <w:tr w14:paraId="1E5D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16" w:type="dxa"/>
            <w:gridSpan w:val="8"/>
            <w:vAlign w:val="center"/>
          </w:tcPr>
          <w:p w14:paraId="2C6865F3">
            <w:pPr>
              <w:widowControl w:val="0"/>
              <w:spacing w:line="218" w:lineRule="auto"/>
              <w:jc w:val="center"/>
              <w:rPr>
                <w:rFonts w:hint="default" w:ascii="宋体" w:hAnsi="宋体" w:eastAsia="宋体" w:cs="宋体"/>
                <w:b w:val="0"/>
                <w:bCs w:val="0"/>
                <w:color w:val="auto"/>
                <w:spacing w:val="-4"/>
                <w:sz w:val="24"/>
                <w:szCs w:val="24"/>
                <w:highlight w:val="none"/>
                <w:vertAlign w:val="baseline"/>
                <w:lang w:val="en-US" w:eastAsia="zh-CN"/>
              </w:rPr>
            </w:pPr>
            <w:r>
              <w:rPr>
                <w:rFonts w:hint="eastAsia" w:ascii="宋体" w:hAnsi="宋体" w:eastAsia="宋体" w:cs="宋体"/>
                <w:b/>
                <w:bCs/>
                <w:color w:val="auto"/>
                <w:spacing w:val="-4"/>
                <w:sz w:val="24"/>
                <w:szCs w:val="24"/>
                <w:highlight w:val="none"/>
                <w:vertAlign w:val="baseline"/>
                <w:lang w:val="en-US" w:eastAsia="zh-CN"/>
              </w:rPr>
              <w:t>人员车辆配置表</w:t>
            </w:r>
          </w:p>
        </w:tc>
      </w:tr>
      <w:tr w14:paraId="3CD3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431" w:type="dxa"/>
            <w:gridSpan w:val="4"/>
            <w:vAlign w:val="center"/>
          </w:tcPr>
          <w:p w14:paraId="7867A942">
            <w:pPr>
              <w:widowControl w:val="0"/>
              <w:spacing w:line="218" w:lineRule="auto"/>
              <w:jc w:val="center"/>
              <w:rPr>
                <w:rFonts w:hint="eastAsia" w:ascii="宋体" w:hAnsi="宋体" w:eastAsia="宋体" w:cs="宋体"/>
                <w:b w:val="0"/>
                <w:bCs w:val="0"/>
                <w:color w:val="auto"/>
                <w:spacing w:val="-4"/>
                <w:sz w:val="24"/>
                <w:szCs w:val="24"/>
                <w:highlight w:val="none"/>
                <w:vertAlign w:val="baseline"/>
                <w:lang w:val="en-US" w:eastAsia="zh-CN"/>
              </w:rPr>
            </w:pPr>
            <w:r>
              <w:rPr>
                <w:rFonts w:hint="eastAsia" w:ascii="宋体" w:hAnsi="宋体" w:eastAsia="宋体" w:cs="宋体"/>
                <w:b w:val="0"/>
                <w:bCs w:val="0"/>
                <w:color w:val="auto"/>
                <w:spacing w:val="-4"/>
                <w:sz w:val="24"/>
                <w:szCs w:val="24"/>
                <w:highlight w:val="none"/>
                <w:vertAlign w:val="baseline"/>
                <w:lang w:val="en-US" w:eastAsia="zh-CN"/>
              </w:rPr>
              <w:t>洗扫车</w:t>
            </w:r>
          </w:p>
        </w:tc>
        <w:tc>
          <w:tcPr>
            <w:tcW w:w="4885" w:type="dxa"/>
            <w:gridSpan w:val="4"/>
            <w:vAlign w:val="center"/>
          </w:tcPr>
          <w:p w14:paraId="4E331396">
            <w:pPr>
              <w:widowControl w:val="0"/>
              <w:spacing w:line="218" w:lineRule="auto"/>
              <w:jc w:val="center"/>
              <w:rPr>
                <w:rFonts w:ascii="宋体" w:hAnsi="宋体" w:eastAsia="宋体" w:cs="宋体"/>
                <w:b w:val="0"/>
                <w:bCs w:val="0"/>
                <w:color w:val="auto"/>
                <w:spacing w:val="-4"/>
                <w:sz w:val="24"/>
                <w:szCs w:val="24"/>
                <w:highlight w:val="none"/>
                <w:vertAlign w:val="baseline"/>
              </w:rPr>
            </w:pPr>
            <w:r>
              <w:rPr>
                <w:rFonts w:hint="eastAsia" w:ascii="宋体" w:hAnsi="宋体" w:eastAsia="宋体" w:cs="宋体"/>
                <w:b w:val="0"/>
                <w:bCs w:val="0"/>
                <w:color w:val="auto"/>
                <w:spacing w:val="-4"/>
                <w:sz w:val="24"/>
                <w:szCs w:val="24"/>
                <w:highlight w:val="none"/>
                <w:vertAlign w:val="baseline"/>
                <w:lang w:val="en-US" w:eastAsia="zh-CN"/>
              </w:rPr>
              <w:t>洒水车</w:t>
            </w:r>
          </w:p>
        </w:tc>
      </w:tr>
      <w:tr w14:paraId="13F1A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2" w:type="dxa"/>
            <w:gridSpan w:val="2"/>
            <w:shd w:val="clear" w:color="auto" w:fill="auto"/>
            <w:vAlign w:val="top"/>
          </w:tcPr>
          <w:p w14:paraId="0F80C80F">
            <w:pPr>
              <w:widowControl w:val="0"/>
              <w:spacing w:line="218" w:lineRule="auto"/>
              <w:jc w:val="center"/>
              <w:rPr>
                <w:rFonts w:hint="eastAsia" w:ascii="宋体" w:hAnsi="宋体" w:eastAsia="宋体" w:cs="宋体"/>
                <w:b w:val="0"/>
                <w:bCs w:val="0"/>
                <w:snapToGrid w:val="0"/>
                <w:color w:val="auto"/>
                <w:spacing w:val="-4"/>
                <w:kern w:val="0"/>
                <w:sz w:val="24"/>
                <w:szCs w:val="24"/>
                <w:highlight w:val="none"/>
                <w:vertAlign w:val="baseline"/>
                <w:lang w:val="en-US" w:eastAsia="zh-CN" w:bidi="ar-SA"/>
              </w:rPr>
            </w:pPr>
            <w:r>
              <w:rPr>
                <w:rFonts w:hint="eastAsia" w:ascii="宋体" w:hAnsi="宋体" w:eastAsia="宋体" w:cs="宋体"/>
                <w:b w:val="0"/>
                <w:bCs w:val="0"/>
                <w:color w:val="auto"/>
                <w:spacing w:val="-4"/>
                <w:sz w:val="24"/>
                <w:szCs w:val="24"/>
                <w:highlight w:val="none"/>
                <w:vertAlign w:val="baseline"/>
                <w:lang w:val="en-US" w:eastAsia="zh-CN"/>
              </w:rPr>
              <w:t>规格（总质量）</w:t>
            </w:r>
          </w:p>
        </w:tc>
        <w:tc>
          <w:tcPr>
            <w:tcW w:w="2169" w:type="dxa"/>
            <w:gridSpan w:val="2"/>
            <w:shd w:val="clear" w:color="auto" w:fill="auto"/>
            <w:vAlign w:val="top"/>
          </w:tcPr>
          <w:p w14:paraId="4F8C7D73">
            <w:pPr>
              <w:widowControl w:val="0"/>
              <w:spacing w:line="218" w:lineRule="auto"/>
              <w:jc w:val="center"/>
              <w:rPr>
                <w:rFonts w:ascii="宋体" w:hAnsi="宋体" w:eastAsia="宋体" w:cs="宋体"/>
                <w:b w:val="0"/>
                <w:bCs w:val="0"/>
                <w:color w:val="auto"/>
                <w:spacing w:val="-4"/>
                <w:sz w:val="24"/>
                <w:szCs w:val="24"/>
                <w:highlight w:val="none"/>
                <w:vertAlign w:val="baseline"/>
              </w:rPr>
            </w:pPr>
            <w:r>
              <w:rPr>
                <w:rFonts w:hint="eastAsia" w:ascii="宋体" w:hAnsi="宋体" w:eastAsia="宋体" w:cs="宋体"/>
                <w:b w:val="0"/>
                <w:bCs w:val="0"/>
                <w:color w:val="auto"/>
                <w:spacing w:val="-4"/>
                <w:sz w:val="24"/>
                <w:szCs w:val="24"/>
                <w:highlight w:val="none"/>
                <w:vertAlign w:val="baseline"/>
                <w:lang w:val="en-US" w:eastAsia="zh-CN"/>
              </w:rPr>
              <w:t>数量</w:t>
            </w:r>
          </w:p>
        </w:tc>
        <w:tc>
          <w:tcPr>
            <w:tcW w:w="2610" w:type="dxa"/>
            <w:gridSpan w:val="2"/>
            <w:vAlign w:val="top"/>
          </w:tcPr>
          <w:p w14:paraId="0859277F">
            <w:pPr>
              <w:widowControl w:val="0"/>
              <w:spacing w:line="218" w:lineRule="auto"/>
              <w:jc w:val="center"/>
              <w:rPr>
                <w:rFonts w:ascii="宋体" w:hAnsi="宋体" w:eastAsia="宋体" w:cs="宋体"/>
                <w:b w:val="0"/>
                <w:bCs w:val="0"/>
                <w:color w:val="auto"/>
                <w:spacing w:val="-4"/>
                <w:sz w:val="24"/>
                <w:szCs w:val="24"/>
                <w:highlight w:val="none"/>
                <w:vertAlign w:val="baseline"/>
              </w:rPr>
            </w:pPr>
            <w:r>
              <w:rPr>
                <w:rFonts w:hint="eastAsia" w:ascii="宋体" w:hAnsi="宋体" w:eastAsia="宋体" w:cs="宋体"/>
                <w:b w:val="0"/>
                <w:bCs w:val="0"/>
                <w:color w:val="auto"/>
                <w:spacing w:val="-4"/>
                <w:sz w:val="24"/>
                <w:szCs w:val="24"/>
                <w:highlight w:val="none"/>
                <w:vertAlign w:val="baseline"/>
                <w:lang w:val="en-US" w:eastAsia="zh-CN"/>
              </w:rPr>
              <w:t>规格（总质量）</w:t>
            </w:r>
          </w:p>
        </w:tc>
        <w:tc>
          <w:tcPr>
            <w:tcW w:w="2275" w:type="dxa"/>
            <w:gridSpan w:val="2"/>
            <w:vAlign w:val="top"/>
          </w:tcPr>
          <w:p w14:paraId="462AAB6D">
            <w:pPr>
              <w:widowControl w:val="0"/>
              <w:spacing w:line="218" w:lineRule="auto"/>
              <w:jc w:val="center"/>
              <w:rPr>
                <w:rFonts w:ascii="宋体" w:hAnsi="宋体" w:eastAsia="宋体" w:cs="宋体"/>
                <w:b w:val="0"/>
                <w:bCs w:val="0"/>
                <w:color w:val="auto"/>
                <w:spacing w:val="-4"/>
                <w:sz w:val="24"/>
                <w:szCs w:val="24"/>
                <w:highlight w:val="none"/>
                <w:vertAlign w:val="baseline"/>
              </w:rPr>
            </w:pPr>
            <w:r>
              <w:rPr>
                <w:rFonts w:hint="eastAsia" w:ascii="宋体" w:hAnsi="宋体" w:eastAsia="宋体" w:cs="宋体"/>
                <w:b w:val="0"/>
                <w:bCs w:val="0"/>
                <w:color w:val="auto"/>
                <w:spacing w:val="-4"/>
                <w:sz w:val="24"/>
                <w:szCs w:val="24"/>
                <w:highlight w:val="none"/>
                <w:vertAlign w:val="baseline"/>
                <w:lang w:val="en-US" w:eastAsia="zh-CN"/>
              </w:rPr>
              <w:t>数量</w:t>
            </w:r>
          </w:p>
        </w:tc>
      </w:tr>
      <w:tr w14:paraId="719E9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2" w:type="dxa"/>
            <w:gridSpan w:val="2"/>
          </w:tcPr>
          <w:p w14:paraId="232AC403">
            <w:pPr>
              <w:widowControl w:val="0"/>
              <w:spacing w:line="218" w:lineRule="auto"/>
              <w:jc w:val="center"/>
              <w:rPr>
                <w:rFonts w:hint="default" w:ascii="宋体" w:hAnsi="宋体" w:eastAsia="宋体" w:cs="宋体"/>
                <w:b w:val="0"/>
                <w:bCs w:val="0"/>
                <w:color w:val="auto"/>
                <w:spacing w:val="-4"/>
                <w:sz w:val="24"/>
                <w:szCs w:val="24"/>
                <w:highlight w:val="none"/>
                <w:vertAlign w:val="baseline"/>
                <w:lang w:val="en-US" w:eastAsia="zh-CN"/>
              </w:rPr>
            </w:pPr>
            <w:r>
              <w:rPr>
                <w:rFonts w:hint="eastAsia" w:ascii="宋体" w:hAnsi="宋体" w:eastAsia="宋体" w:cs="宋体"/>
                <w:b w:val="0"/>
                <w:bCs w:val="0"/>
                <w:color w:val="auto"/>
                <w:spacing w:val="-4"/>
                <w:sz w:val="24"/>
                <w:szCs w:val="24"/>
                <w:highlight w:val="none"/>
                <w:vertAlign w:val="baseline"/>
                <w:lang w:val="en-US" w:eastAsia="zh-CN"/>
              </w:rPr>
              <w:t>≥8t</w:t>
            </w:r>
          </w:p>
        </w:tc>
        <w:tc>
          <w:tcPr>
            <w:tcW w:w="2169" w:type="dxa"/>
            <w:gridSpan w:val="2"/>
          </w:tcPr>
          <w:p w14:paraId="3978EEA7">
            <w:pPr>
              <w:widowControl w:val="0"/>
              <w:spacing w:line="218" w:lineRule="auto"/>
              <w:jc w:val="center"/>
              <w:rPr>
                <w:rFonts w:ascii="宋体" w:hAnsi="宋体" w:eastAsia="宋体" w:cs="宋体"/>
                <w:b w:val="0"/>
                <w:bCs w:val="0"/>
                <w:color w:val="auto"/>
                <w:spacing w:val="-4"/>
                <w:sz w:val="24"/>
                <w:szCs w:val="24"/>
                <w:highlight w:val="none"/>
                <w:vertAlign w:val="baseline"/>
              </w:rPr>
            </w:pPr>
            <w:r>
              <w:rPr>
                <w:rFonts w:hint="eastAsia" w:ascii="宋体" w:hAnsi="宋体" w:eastAsia="宋体" w:cs="宋体"/>
                <w:b w:val="0"/>
                <w:bCs w:val="0"/>
                <w:color w:val="auto"/>
                <w:spacing w:val="-4"/>
                <w:sz w:val="24"/>
                <w:szCs w:val="24"/>
                <w:highlight w:val="none"/>
                <w:vertAlign w:val="baseline"/>
                <w:lang w:val="en-US" w:eastAsia="zh-CN"/>
              </w:rPr>
              <w:t>1</w:t>
            </w:r>
          </w:p>
        </w:tc>
        <w:tc>
          <w:tcPr>
            <w:tcW w:w="2610" w:type="dxa"/>
            <w:gridSpan w:val="2"/>
            <w:vAlign w:val="top"/>
          </w:tcPr>
          <w:p w14:paraId="720EEAAD">
            <w:pPr>
              <w:widowControl w:val="0"/>
              <w:spacing w:line="218" w:lineRule="auto"/>
              <w:jc w:val="center"/>
              <w:rPr>
                <w:rFonts w:ascii="宋体" w:hAnsi="宋体" w:eastAsia="宋体" w:cs="宋体"/>
                <w:b w:val="0"/>
                <w:bCs w:val="0"/>
                <w:color w:val="auto"/>
                <w:spacing w:val="-4"/>
                <w:sz w:val="24"/>
                <w:szCs w:val="24"/>
                <w:highlight w:val="none"/>
                <w:vertAlign w:val="baseline"/>
              </w:rPr>
            </w:pPr>
            <w:r>
              <w:rPr>
                <w:rFonts w:hint="eastAsia" w:ascii="宋体" w:hAnsi="宋体" w:eastAsia="宋体" w:cs="宋体"/>
                <w:b w:val="0"/>
                <w:bCs w:val="0"/>
                <w:color w:val="auto"/>
                <w:spacing w:val="-4"/>
                <w:sz w:val="24"/>
                <w:szCs w:val="24"/>
                <w:highlight w:val="none"/>
                <w:vertAlign w:val="baseline"/>
                <w:lang w:val="en-US" w:eastAsia="zh-CN"/>
              </w:rPr>
              <w:t>≥8t</w:t>
            </w:r>
          </w:p>
        </w:tc>
        <w:tc>
          <w:tcPr>
            <w:tcW w:w="2275" w:type="dxa"/>
            <w:gridSpan w:val="2"/>
            <w:vAlign w:val="top"/>
          </w:tcPr>
          <w:p w14:paraId="2FB82A84">
            <w:pPr>
              <w:widowControl w:val="0"/>
              <w:spacing w:line="218" w:lineRule="auto"/>
              <w:jc w:val="center"/>
              <w:rPr>
                <w:rFonts w:ascii="宋体" w:hAnsi="宋体" w:eastAsia="宋体" w:cs="宋体"/>
                <w:b w:val="0"/>
                <w:bCs w:val="0"/>
                <w:color w:val="auto"/>
                <w:spacing w:val="-4"/>
                <w:sz w:val="24"/>
                <w:szCs w:val="24"/>
                <w:highlight w:val="none"/>
                <w:vertAlign w:val="baseline"/>
              </w:rPr>
            </w:pPr>
            <w:r>
              <w:rPr>
                <w:rFonts w:hint="eastAsia" w:ascii="宋体" w:hAnsi="宋体" w:eastAsia="宋体" w:cs="宋体"/>
                <w:b w:val="0"/>
                <w:bCs w:val="0"/>
                <w:color w:val="auto"/>
                <w:spacing w:val="-4"/>
                <w:sz w:val="24"/>
                <w:szCs w:val="24"/>
                <w:highlight w:val="none"/>
                <w:vertAlign w:val="baseline"/>
                <w:lang w:val="en-US" w:eastAsia="zh-CN"/>
              </w:rPr>
              <w:t>1</w:t>
            </w:r>
          </w:p>
        </w:tc>
      </w:tr>
      <w:tr w14:paraId="654B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16" w:type="dxa"/>
            <w:gridSpan w:val="8"/>
          </w:tcPr>
          <w:p w14:paraId="33C3C45C">
            <w:pPr>
              <w:widowControl w:val="0"/>
              <w:spacing w:line="218" w:lineRule="auto"/>
              <w:jc w:val="center"/>
              <w:rPr>
                <w:rFonts w:hint="default" w:ascii="宋体" w:hAnsi="宋体" w:eastAsia="宋体" w:cs="宋体"/>
                <w:b w:val="0"/>
                <w:bCs w:val="0"/>
                <w:color w:val="auto"/>
                <w:spacing w:val="-4"/>
                <w:sz w:val="24"/>
                <w:szCs w:val="24"/>
                <w:highlight w:val="none"/>
                <w:vertAlign w:val="baseline"/>
                <w:lang w:val="en-US" w:eastAsia="zh-CN"/>
              </w:rPr>
            </w:pPr>
            <w:r>
              <w:rPr>
                <w:rFonts w:hint="eastAsia" w:ascii="宋体" w:hAnsi="宋体" w:eastAsia="宋体" w:cs="宋体"/>
                <w:b w:val="0"/>
                <w:bCs w:val="0"/>
                <w:color w:val="auto"/>
                <w:spacing w:val="-4"/>
                <w:sz w:val="24"/>
                <w:szCs w:val="24"/>
                <w:highlight w:val="none"/>
                <w:vertAlign w:val="baseline"/>
                <w:lang w:val="en-US" w:eastAsia="zh-CN"/>
              </w:rPr>
              <w:t>注：本表所要求的车辆均为新能源纯电车辆</w:t>
            </w:r>
          </w:p>
        </w:tc>
      </w:tr>
      <w:tr w14:paraId="01D0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16" w:type="dxa"/>
            <w:gridSpan w:val="8"/>
          </w:tcPr>
          <w:p w14:paraId="2EA69D0D">
            <w:pPr>
              <w:widowControl w:val="0"/>
              <w:spacing w:line="218" w:lineRule="auto"/>
              <w:jc w:val="center"/>
              <w:rPr>
                <w:rFonts w:ascii="宋体" w:hAnsi="宋体" w:eastAsia="宋体" w:cs="宋体"/>
                <w:b w:val="0"/>
                <w:bCs w:val="0"/>
                <w:color w:val="auto"/>
                <w:spacing w:val="-4"/>
                <w:sz w:val="24"/>
                <w:szCs w:val="24"/>
                <w:highlight w:val="none"/>
                <w:vertAlign w:val="baseline"/>
              </w:rPr>
            </w:pPr>
            <w:r>
              <w:rPr>
                <w:rFonts w:hint="eastAsia" w:ascii="宋体" w:hAnsi="宋体" w:eastAsia="宋体" w:cs="宋体"/>
                <w:b/>
                <w:bCs/>
                <w:color w:val="auto"/>
                <w:spacing w:val="-4"/>
                <w:sz w:val="24"/>
                <w:szCs w:val="24"/>
                <w:highlight w:val="none"/>
                <w:vertAlign w:val="baseline"/>
                <w:lang w:val="en-US" w:eastAsia="zh-CN"/>
              </w:rPr>
              <w:t>人员配置</w:t>
            </w:r>
          </w:p>
        </w:tc>
      </w:tr>
      <w:tr w14:paraId="0673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336" w:type="dxa"/>
            <w:vAlign w:val="center"/>
          </w:tcPr>
          <w:p w14:paraId="75B8EBAF">
            <w:pPr>
              <w:widowControl w:val="0"/>
              <w:spacing w:line="218" w:lineRule="auto"/>
              <w:jc w:val="center"/>
              <w:rPr>
                <w:rFonts w:hint="eastAsia" w:ascii="宋体" w:hAnsi="宋体" w:eastAsia="宋体" w:cs="宋体"/>
                <w:b w:val="0"/>
                <w:bCs w:val="0"/>
                <w:color w:val="auto"/>
                <w:spacing w:val="-4"/>
                <w:sz w:val="24"/>
                <w:szCs w:val="24"/>
                <w:highlight w:val="none"/>
                <w:vertAlign w:val="baseline"/>
                <w:lang w:val="en-US" w:eastAsia="zh-CN"/>
              </w:rPr>
            </w:pPr>
            <w:r>
              <w:rPr>
                <w:rFonts w:hint="eastAsia" w:ascii="宋体" w:hAnsi="宋体" w:eastAsia="宋体" w:cs="宋体"/>
                <w:b w:val="0"/>
                <w:bCs w:val="0"/>
                <w:color w:val="auto"/>
                <w:spacing w:val="-4"/>
                <w:sz w:val="24"/>
                <w:szCs w:val="24"/>
                <w:highlight w:val="none"/>
                <w:vertAlign w:val="baseline"/>
                <w:lang w:val="en-US" w:eastAsia="zh-CN"/>
              </w:rPr>
              <w:t>司机</w:t>
            </w:r>
          </w:p>
        </w:tc>
        <w:tc>
          <w:tcPr>
            <w:tcW w:w="1534" w:type="dxa"/>
            <w:gridSpan w:val="2"/>
            <w:vAlign w:val="center"/>
          </w:tcPr>
          <w:p w14:paraId="487E6F0F">
            <w:pPr>
              <w:widowControl w:val="0"/>
              <w:spacing w:line="218" w:lineRule="auto"/>
              <w:jc w:val="center"/>
              <w:rPr>
                <w:rFonts w:hint="default" w:ascii="宋体" w:hAnsi="宋体" w:eastAsia="宋体" w:cs="宋体"/>
                <w:b w:val="0"/>
                <w:bCs w:val="0"/>
                <w:color w:val="auto"/>
                <w:spacing w:val="-4"/>
                <w:sz w:val="24"/>
                <w:szCs w:val="24"/>
                <w:highlight w:val="none"/>
                <w:vertAlign w:val="baseline"/>
                <w:lang w:val="en-US" w:eastAsia="zh-CN"/>
              </w:rPr>
            </w:pPr>
            <w:r>
              <w:rPr>
                <w:rFonts w:hint="eastAsia" w:ascii="宋体" w:hAnsi="宋体" w:eastAsia="宋体" w:cs="宋体"/>
                <w:b w:val="0"/>
                <w:bCs w:val="0"/>
                <w:color w:val="auto"/>
                <w:spacing w:val="-4"/>
                <w:sz w:val="24"/>
                <w:szCs w:val="24"/>
                <w:highlight w:val="none"/>
                <w:vertAlign w:val="baseline"/>
                <w:lang w:val="en-US" w:eastAsia="zh-CN"/>
              </w:rPr>
              <w:t>环卫人数</w:t>
            </w:r>
          </w:p>
        </w:tc>
        <w:tc>
          <w:tcPr>
            <w:tcW w:w="1561" w:type="dxa"/>
            <w:vAlign w:val="center"/>
          </w:tcPr>
          <w:p w14:paraId="7E52B940">
            <w:pPr>
              <w:widowControl w:val="0"/>
              <w:spacing w:line="218" w:lineRule="auto"/>
              <w:jc w:val="center"/>
              <w:rPr>
                <w:rFonts w:hint="default" w:ascii="宋体" w:hAnsi="宋体" w:eastAsia="宋体" w:cs="宋体"/>
                <w:b w:val="0"/>
                <w:bCs w:val="0"/>
                <w:color w:val="auto"/>
                <w:spacing w:val="-4"/>
                <w:sz w:val="24"/>
                <w:szCs w:val="24"/>
                <w:highlight w:val="none"/>
                <w:vertAlign w:val="baseline"/>
                <w:lang w:val="en-US" w:eastAsia="zh-CN"/>
              </w:rPr>
            </w:pPr>
            <w:r>
              <w:rPr>
                <w:rFonts w:hint="eastAsia" w:ascii="宋体" w:hAnsi="宋体" w:eastAsia="宋体" w:cs="宋体"/>
                <w:b w:val="0"/>
                <w:bCs w:val="0"/>
                <w:color w:val="auto"/>
                <w:spacing w:val="-4"/>
                <w:sz w:val="24"/>
                <w:szCs w:val="24"/>
                <w:highlight w:val="none"/>
                <w:vertAlign w:val="baseline"/>
                <w:lang w:val="en-US" w:eastAsia="zh-CN"/>
              </w:rPr>
              <w:t>绿化人数</w:t>
            </w:r>
          </w:p>
        </w:tc>
        <w:tc>
          <w:tcPr>
            <w:tcW w:w="1777" w:type="dxa"/>
            <w:vAlign w:val="center"/>
          </w:tcPr>
          <w:p w14:paraId="075D6945">
            <w:pPr>
              <w:widowControl w:val="0"/>
              <w:spacing w:line="218" w:lineRule="auto"/>
              <w:jc w:val="center"/>
              <w:rPr>
                <w:rFonts w:hint="default" w:ascii="宋体" w:hAnsi="宋体" w:eastAsia="宋体" w:cs="宋体"/>
                <w:b w:val="0"/>
                <w:bCs w:val="0"/>
                <w:color w:val="auto"/>
                <w:spacing w:val="-4"/>
                <w:sz w:val="24"/>
                <w:szCs w:val="24"/>
                <w:highlight w:val="none"/>
                <w:vertAlign w:val="baseline"/>
                <w:lang w:val="en-US" w:eastAsia="zh-CN"/>
              </w:rPr>
            </w:pPr>
            <w:r>
              <w:rPr>
                <w:rFonts w:hint="eastAsia" w:ascii="宋体" w:hAnsi="宋体" w:eastAsia="宋体" w:cs="宋体"/>
                <w:b w:val="0"/>
                <w:bCs w:val="0"/>
                <w:color w:val="auto"/>
                <w:spacing w:val="-4"/>
                <w:sz w:val="24"/>
                <w:szCs w:val="24"/>
                <w:highlight w:val="none"/>
                <w:vertAlign w:val="baseline"/>
                <w:lang w:val="en-US" w:eastAsia="zh-CN"/>
              </w:rPr>
              <w:t>绿化技术人员</w:t>
            </w:r>
          </w:p>
        </w:tc>
        <w:tc>
          <w:tcPr>
            <w:tcW w:w="1552" w:type="dxa"/>
            <w:gridSpan w:val="2"/>
            <w:vAlign w:val="center"/>
          </w:tcPr>
          <w:p w14:paraId="7DD13CAD">
            <w:pPr>
              <w:widowControl w:val="0"/>
              <w:spacing w:line="218" w:lineRule="auto"/>
              <w:jc w:val="center"/>
              <w:rPr>
                <w:rFonts w:ascii="宋体" w:hAnsi="宋体" w:eastAsia="宋体" w:cs="宋体"/>
                <w:b w:val="0"/>
                <w:bCs w:val="0"/>
                <w:color w:val="auto"/>
                <w:spacing w:val="-4"/>
                <w:sz w:val="24"/>
                <w:szCs w:val="24"/>
                <w:highlight w:val="none"/>
                <w:vertAlign w:val="baseline"/>
              </w:rPr>
            </w:pPr>
            <w:r>
              <w:rPr>
                <w:rFonts w:hint="eastAsia" w:ascii="宋体" w:hAnsi="宋体" w:eastAsia="宋体" w:cs="宋体"/>
                <w:b w:val="0"/>
                <w:bCs w:val="0"/>
                <w:color w:val="auto"/>
                <w:spacing w:val="-4"/>
                <w:sz w:val="24"/>
                <w:szCs w:val="24"/>
                <w:highlight w:val="none"/>
                <w:vertAlign w:val="baseline"/>
                <w:lang w:val="en-US" w:eastAsia="zh-CN"/>
              </w:rPr>
              <w:t>数字派件员</w:t>
            </w:r>
          </w:p>
        </w:tc>
        <w:tc>
          <w:tcPr>
            <w:tcW w:w="1556" w:type="dxa"/>
            <w:vAlign w:val="center"/>
          </w:tcPr>
          <w:p w14:paraId="790C1A4F">
            <w:pPr>
              <w:widowControl w:val="0"/>
              <w:spacing w:line="218" w:lineRule="auto"/>
              <w:jc w:val="center"/>
              <w:rPr>
                <w:rFonts w:hint="eastAsia" w:ascii="宋体" w:hAnsi="宋体" w:eastAsia="宋体" w:cs="宋体"/>
                <w:b w:val="0"/>
                <w:bCs w:val="0"/>
                <w:color w:val="auto"/>
                <w:spacing w:val="-4"/>
                <w:sz w:val="24"/>
                <w:szCs w:val="24"/>
                <w:highlight w:val="none"/>
                <w:vertAlign w:val="baseline"/>
                <w:lang w:val="en-US" w:eastAsia="zh-CN"/>
              </w:rPr>
            </w:pPr>
            <w:r>
              <w:rPr>
                <w:color w:val="auto"/>
                <w:spacing w:val="7"/>
                <w:highlight w:val="none"/>
              </w:rPr>
              <w:t>人数总计</w:t>
            </w:r>
          </w:p>
        </w:tc>
      </w:tr>
      <w:tr w14:paraId="62C46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336" w:type="dxa"/>
            <w:vAlign w:val="center"/>
          </w:tcPr>
          <w:p w14:paraId="28EEF6D9">
            <w:pPr>
              <w:widowControl w:val="0"/>
              <w:spacing w:line="218" w:lineRule="auto"/>
              <w:jc w:val="center"/>
              <w:rPr>
                <w:rFonts w:hint="eastAsia" w:ascii="宋体" w:hAnsi="宋体" w:eastAsia="宋体" w:cs="宋体"/>
                <w:b w:val="0"/>
                <w:bCs w:val="0"/>
                <w:color w:val="auto"/>
                <w:spacing w:val="-4"/>
                <w:sz w:val="24"/>
                <w:szCs w:val="24"/>
                <w:highlight w:val="none"/>
                <w:vertAlign w:val="baseline"/>
                <w:lang w:val="en-US" w:eastAsia="zh-CN"/>
              </w:rPr>
            </w:pPr>
            <w:r>
              <w:rPr>
                <w:rFonts w:hint="eastAsia" w:ascii="宋体" w:hAnsi="宋体" w:eastAsia="宋体" w:cs="宋体"/>
                <w:b w:val="0"/>
                <w:bCs w:val="0"/>
                <w:color w:val="auto"/>
                <w:spacing w:val="-4"/>
                <w:sz w:val="24"/>
                <w:szCs w:val="24"/>
                <w:highlight w:val="none"/>
                <w:vertAlign w:val="baseline"/>
                <w:lang w:val="en-US" w:eastAsia="zh-CN"/>
              </w:rPr>
              <w:t>3</w:t>
            </w:r>
          </w:p>
        </w:tc>
        <w:tc>
          <w:tcPr>
            <w:tcW w:w="1534" w:type="dxa"/>
            <w:gridSpan w:val="2"/>
            <w:vAlign w:val="center"/>
          </w:tcPr>
          <w:p w14:paraId="0C2515B6">
            <w:pPr>
              <w:widowControl w:val="0"/>
              <w:spacing w:line="218" w:lineRule="auto"/>
              <w:jc w:val="center"/>
              <w:rPr>
                <w:rFonts w:hint="default" w:ascii="宋体" w:hAnsi="宋体" w:eastAsia="宋体" w:cs="宋体"/>
                <w:b w:val="0"/>
                <w:bCs w:val="0"/>
                <w:color w:val="auto"/>
                <w:spacing w:val="-4"/>
                <w:sz w:val="24"/>
                <w:szCs w:val="24"/>
                <w:highlight w:val="none"/>
                <w:vertAlign w:val="baseline"/>
                <w:lang w:val="en-US" w:eastAsia="zh-CN"/>
              </w:rPr>
            </w:pPr>
            <w:r>
              <w:rPr>
                <w:rFonts w:hint="eastAsia" w:ascii="宋体" w:hAnsi="宋体" w:eastAsia="宋体" w:cs="宋体"/>
                <w:b w:val="0"/>
                <w:bCs w:val="0"/>
                <w:color w:val="auto"/>
                <w:spacing w:val="-4"/>
                <w:sz w:val="24"/>
                <w:szCs w:val="24"/>
                <w:highlight w:val="none"/>
                <w:vertAlign w:val="baseline"/>
                <w:lang w:val="en-US" w:eastAsia="zh-CN"/>
              </w:rPr>
              <w:t>17</w:t>
            </w:r>
          </w:p>
        </w:tc>
        <w:tc>
          <w:tcPr>
            <w:tcW w:w="1561" w:type="dxa"/>
            <w:vAlign w:val="center"/>
          </w:tcPr>
          <w:p w14:paraId="056DF6B7">
            <w:pPr>
              <w:widowControl w:val="0"/>
              <w:spacing w:line="218" w:lineRule="auto"/>
              <w:jc w:val="center"/>
              <w:rPr>
                <w:rFonts w:hint="eastAsia" w:ascii="宋体" w:hAnsi="宋体" w:eastAsia="宋体" w:cs="宋体"/>
                <w:b w:val="0"/>
                <w:bCs w:val="0"/>
                <w:color w:val="auto"/>
                <w:spacing w:val="-4"/>
                <w:sz w:val="24"/>
                <w:szCs w:val="24"/>
                <w:highlight w:val="none"/>
                <w:vertAlign w:val="baseline"/>
                <w:lang w:val="en-US" w:eastAsia="zh-CN"/>
              </w:rPr>
            </w:pPr>
            <w:r>
              <w:rPr>
                <w:rFonts w:hint="eastAsia" w:ascii="宋体" w:hAnsi="宋体" w:eastAsia="宋体" w:cs="宋体"/>
                <w:b w:val="0"/>
                <w:bCs w:val="0"/>
                <w:color w:val="auto"/>
                <w:spacing w:val="-4"/>
                <w:sz w:val="24"/>
                <w:szCs w:val="24"/>
                <w:highlight w:val="none"/>
                <w:vertAlign w:val="baseline"/>
                <w:lang w:val="en-US" w:eastAsia="zh-CN"/>
              </w:rPr>
              <w:t>1</w:t>
            </w:r>
          </w:p>
        </w:tc>
        <w:tc>
          <w:tcPr>
            <w:tcW w:w="1777" w:type="dxa"/>
            <w:vAlign w:val="center"/>
          </w:tcPr>
          <w:p w14:paraId="1A1DD21F">
            <w:pPr>
              <w:widowControl w:val="0"/>
              <w:spacing w:line="218" w:lineRule="auto"/>
              <w:jc w:val="center"/>
              <w:rPr>
                <w:rFonts w:hint="eastAsia" w:ascii="宋体" w:hAnsi="宋体" w:eastAsia="宋体" w:cs="宋体"/>
                <w:b w:val="0"/>
                <w:bCs w:val="0"/>
                <w:color w:val="auto"/>
                <w:spacing w:val="-4"/>
                <w:sz w:val="24"/>
                <w:szCs w:val="24"/>
                <w:highlight w:val="none"/>
                <w:vertAlign w:val="baseline"/>
                <w:lang w:val="en-US" w:eastAsia="zh-CN"/>
              </w:rPr>
            </w:pPr>
            <w:r>
              <w:rPr>
                <w:rFonts w:hint="eastAsia" w:ascii="宋体" w:hAnsi="宋体" w:eastAsia="宋体" w:cs="宋体"/>
                <w:b w:val="0"/>
                <w:bCs w:val="0"/>
                <w:color w:val="auto"/>
                <w:spacing w:val="-4"/>
                <w:sz w:val="24"/>
                <w:szCs w:val="24"/>
                <w:highlight w:val="none"/>
                <w:vertAlign w:val="baseline"/>
                <w:lang w:val="en-US" w:eastAsia="zh-CN"/>
              </w:rPr>
              <w:t>1</w:t>
            </w:r>
          </w:p>
        </w:tc>
        <w:tc>
          <w:tcPr>
            <w:tcW w:w="1552" w:type="dxa"/>
            <w:gridSpan w:val="2"/>
            <w:vAlign w:val="center"/>
          </w:tcPr>
          <w:p w14:paraId="786B2F1E">
            <w:pPr>
              <w:widowControl w:val="0"/>
              <w:spacing w:line="218" w:lineRule="auto"/>
              <w:jc w:val="center"/>
              <w:rPr>
                <w:rFonts w:hint="eastAsia" w:ascii="宋体" w:hAnsi="宋体" w:eastAsia="宋体" w:cs="宋体"/>
                <w:b w:val="0"/>
                <w:bCs w:val="0"/>
                <w:color w:val="auto"/>
                <w:spacing w:val="-4"/>
                <w:sz w:val="24"/>
                <w:szCs w:val="24"/>
                <w:highlight w:val="none"/>
                <w:vertAlign w:val="baseline"/>
                <w:lang w:val="en-US" w:eastAsia="zh-CN"/>
              </w:rPr>
            </w:pPr>
            <w:r>
              <w:rPr>
                <w:rFonts w:hint="eastAsia" w:ascii="宋体" w:hAnsi="宋体" w:eastAsia="宋体" w:cs="宋体"/>
                <w:b w:val="0"/>
                <w:bCs w:val="0"/>
                <w:color w:val="auto"/>
                <w:spacing w:val="-4"/>
                <w:sz w:val="24"/>
                <w:szCs w:val="24"/>
                <w:highlight w:val="none"/>
                <w:vertAlign w:val="baseline"/>
                <w:lang w:val="en-US" w:eastAsia="zh-CN"/>
              </w:rPr>
              <w:t>1</w:t>
            </w:r>
          </w:p>
        </w:tc>
        <w:tc>
          <w:tcPr>
            <w:tcW w:w="1556" w:type="dxa"/>
            <w:vAlign w:val="center"/>
          </w:tcPr>
          <w:p w14:paraId="50887B85">
            <w:pPr>
              <w:widowControl w:val="0"/>
              <w:spacing w:line="218" w:lineRule="auto"/>
              <w:jc w:val="center"/>
              <w:rPr>
                <w:rFonts w:hint="default" w:ascii="宋体" w:hAnsi="宋体" w:eastAsia="宋体" w:cs="宋体"/>
                <w:b w:val="0"/>
                <w:bCs w:val="0"/>
                <w:color w:val="auto"/>
                <w:spacing w:val="-4"/>
                <w:sz w:val="24"/>
                <w:szCs w:val="24"/>
                <w:highlight w:val="none"/>
                <w:vertAlign w:val="baseline"/>
                <w:lang w:val="en-US" w:eastAsia="zh-CN"/>
              </w:rPr>
            </w:pPr>
            <w:r>
              <w:rPr>
                <w:rFonts w:hint="eastAsia" w:ascii="宋体" w:hAnsi="宋体" w:eastAsia="宋体" w:cs="宋体"/>
                <w:b w:val="0"/>
                <w:bCs w:val="0"/>
                <w:color w:val="auto"/>
                <w:spacing w:val="-4"/>
                <w:sz w:val="24"/>
                <w:szCs w:val="24"/>
                <w:highlight w:val="none"/>
                <w:vertAlign w:val="baseline"/>
                <w:lang w:val="en-US" w:eastAsia="zh-CN"/>
              </w:rPr>
              <w:t>23</w:t>
            </w:r>
          </w:p>
        </w:tc>
      </w:tr>
    </w:tbl>
    <w:p w14:paraId="7B69E422">
      <w:pPr>
        <w:spacing w:before="154" w:line="338" w:lineRule="auto"/>
        <w:ind w:right="13" w:firstLine="485"/>
        <w:rPr>
          <w:rFonts w:hint="eastAsia"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注:</w:t>
      </w:r>
    </w:p>
    <w:p w14:paraId="69B73B48">
      <w:pPr>
        <w:spacing w:before="154" w:line="338" w:lineRule="auto"/>
        <w:ind w:right="13" w:firstLine="485"/>
        <w:rPr>
          <w:rFonts w:hint="eastAsia"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1、</w:t>
      </w:r>
      <w:r>
        <w:rPr>
          <w:rFonts w:hint="eastAsia" w:ascii="宋体" w:hAnsi="宋体" w:eastAsia="宋体" w:cs="宋体"/>
          <w:b/>
          <w:bCs/>
          <w:color w:val="auto"/>
          <w:spacing w:val="-2"/>
          <w:sz w:val="24"/>
          <w:szCs w:val="24"/>
          <w:highlight w:val="none"/>
          <w:lang w:val="en-US" w:eastAsia="zh-CN"/>
        </w:rPr>
        <w:t>司</w:t>
      </w:r>
      <w:r>
        <w:rPr>
          <w:rFonts w:hint="eastAsia" w:ascii="宋体" w:hAnsi="宋体" w:eastAsia="宋体" w:cs="宋体"/>
          <w:b/>
          <w:bCs/>
          <w:color w:val="auto"/>
          <w:spacing w:val="-2"/>
          <w:sz w:val="24"/>
          <w:szCs w:val="24"/>
          <w:highlight w:val="none"/>
        </w:rPr>
        <w:t>机须持有B2或A2等级的驾驶证(须在有效期内)</w:t>
      </w: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b/>
          <w:bCs/>
          <w:color w:val="auto"/>
          <w:spacing w:val="-2"/>
          <w:sz w:val="24"/>
          <w:szCs w:val="24"/>
          <w:highlight w:val="none"/>
          <w:lang w:val="en-US" w:eastAsia="zh-CN"/>
        </w:rPr>
        <w:t>洗扫车、洒水车须提供车辆行驶证（车辆自有或租赁）</w:t>
      </w: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b/>
          <w:bCs/>
          <w:color w:val="auto"/>
          <w:spacing w:val="-2"/>
          <w:sz w:val="24"/>
          <w:szCs w:val="24"/>
          <w:highlight w:val="none"/>
        </w:rPr>
        <w:t>数字城管案件专职处理人员能熟练操作电脑</w:t>
      </w: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b/>
          <w:bCs/>
          <w:color w:val="auto"/>
          <w:spacing w:val="-2"/>
          <w:sz w:val="24"/>
          <w:szCs w:val="24"/>
          <w:highlight w:val="none"/>
          <w:lang w:val="en-US" w:eastAsia="zh-CN"/>
        </w:rPr>
        <w:t>承诺</w:t>
      </w:r>
      <w:r>
        <w:rPr>
          <w:rFonts w:hint="eastAsia" w:ascii="宋体" w:hAnsi="宋体" w:eastAsia="宋体" w:cs="宋体"/>
          <w:b/>
          <w:bCs/>
          <w:color w:val="auto"/>
          <w:spacing w:val="-2"/>
          <w:sz w:val="24"/>
          <w:szCs w:val="24"/>
          <w:highlight w:val="none"/>
        </w:rPr>
        <w:t>所有人员均需缴纳意外伤害保险。</w:t>
      </w:r>
    </w:p>
    <w:p w14:paraId="0EB594B1">
      <w:pPr>
        <w:spacing w:before="154" w:line="338" w:lineRule="auto"/>
        <w:ind w:right="13" w:firstLine="485"/>
        <w:rPr>
          <w:rFonts w:hint="eastAsia"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2、投标人除满足基本要求外，还需准备除雪设备及物资:雪磙、雪铲、融雪剂，根据气候条件和道路状况，以保证在降雪后能够及时快速除雪，保障道路畅通。</w:t>
      </w:r>
    </w:p>
    <w:p w14:paraId="77A98882">
      <w:pPr>
        <w:spacing w:before="154" w:line="338" w:lineRule="auto"/>
        <w:ind w:right="13" w:firstLine="485"/>
        <w:rPr>
          <w:rFonts w:hint="eastAsia"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3、投标人还需准备专业的雾炮装置，在保障操作人员的人身安全前提下配合相关部门做好大气污染防治工作。</w:t>
      </w:r>
    </w:p>
    <w:p w14:paraId="486B9D9E">
      <w:pPr>
        <w:spacing w:before="154" w:line="338" w:lineRule="auto"/>
        <w:ind w:right="13" w:firstLine="485"/>
        <w:rPr>
          <w:rFonts w:hint="eastAsia"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4、上述所要求的人员、车辆及除雪设备物资和雾炮装置在投标时各投标单位应提供承诺函(无需提供证明材料)，承诺函内容须包括招标文件所要求的人员、车辆及除雪设备物资和雾炮装置在中标后7天内均能投入到该项目中使用。</w:t>
      </w:r>
    </w:p>
    <w:p w14:paraId="46EC7F90">
      <w:pPr>
        <w:spacing w:before="154" w:line="338" w:lineRule="auto"/>
        <w:ind w:right="13" w:firstLine="485"/>
        <w:rPr>
          <w:rFonts w:hint="eastAsia" w:ascii="宋体" w:hAnsi="宋体" w:eastAsia="宋体" w:cs="宋体"/>
          <w:b/>
          <w:bCs/>
          <w:color w:val="auto"/>
          <w:spacing w:val="-2"/>
          <w:sz w:val="24"/>
          <w:szCs w:val="24"/>
          <w:highlight w:val="none"/>
          <w:lang w:val="en-US" w:eastAsia="zh-CN"/>
        </w:rPr>
      </w:pPr>
      <w:r>
        <w:rPr>
          <w:rFonts w:hint="eastAsia" w:ascii="宋体" w:hAnsi="宋体" w:eastAsia="宋体" w:cs="宋体"/>
          <w:b/>
          <w:bCs/>
          <w:color w:val="auto"/>
          <w:spacing w:val="-2"/>
          <w:sz w:val="24"/>
          <w:szCs w:val="24"/>
          <w:highlight w:val="none"/>
          <w:lang w:val="en-US" w:eastAsia="zh-CN"/>
        </w:rPr>
        <w:t>5、本项目属于专门面向中小微企业采购的项目。本次采购项目严格遵循中小企业扶持、绿色环保作业等政府采购政策要求，项目服务过程中，供应商需配合采购人完成重大活动市容保障、恶劣天气应急处置等临时工作任务；服务质量接受采购人及社会公众监督，需建立24小时投诉响应机制，及时处理市容保洁、绿化管护相关投诉。</w:t>
      </w:r>
    </w:p>
    <w:p w14:paraId="59DBD726">
      <w:pPr>
        <w:spacing w:line="219" w:lineRule="auto"/>
        <w:ind w:left="5"/>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★三、服务标准、期限等要求</w:t>
      </w:r>
    </w:p>
    <w:p w14:paraId="223AC225">
      <w:pPr>
        <w:spacing w:before="155" w:line="220" w:lineRule="auto"/>
        <w:ind w:left="486"/>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pacing w:val="-3"/>
          <w:sz w:val="24"/>
          <w:szCs w:val="24"/>
          <w:highlight w:val="none"/>
          <w:lang w:val="en-US" w:eastAsia="zh-CN"/>
        </w:rPr>
        <w:t>1</w:t>
      </w:r>
      <w:r>
        <w:rPr>
          <w:rFonts w:ascii="宋体" w:hAnsi="宋体" w:eastAsia="宋体" w:cs="宋体"/>
          <w:b/>
          <w:bCs/>
          <w:color w:val="auto"/>
          <w:spacing w:val="-3"/>
          <w:sz w:val="24"/>
          <w:szCs w:val="24"/>
          <w:highlight w:val="none"/>
        </w:rPr>
        <w:t>、</w:t>
      </w:r>
      <w:r>
        <w:rPr>
          <w:rFonts w:hint="eastAsia" w:ascii="宋体" w:hAnsi="宋体" w:eastAsia="宋体" w:cs="宋体"/>
          <w:b/>
          <w:bCs/>
          <w:color w:val="auto"/>
          <w:spacing w:val="-3"/>
          <w:sz w:val="24"/>
          <w:szCs w:val="24"/>
          <w:highlight w:val="none"/>
          <w:lang w:val="en-US" w:eastAsia="zh-CN"/>
        </w:rPr>
        <w:t>服务标准</w:t>
      </w:r>
    </w:p>
    <w:p w14:paraId="7E829C77">
      <w:pPr>
        <w:spacing w:before="122" w:line="360" w:lineRule="auto"/>
        <w:ind w:firstLine="481"/>
        <w:jc w:val="both"/>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lang w:eastAsia="zh-CN"/>
        </w:rPr>
        <w:t>.1道路环卫标准：</w:t>
      </w:r>
    </w:p>
    <w:p w14:paraId="363B4D48">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lang w:eastAsia="zh-CN"/>
        </w:rPr>
        <w:t>.1.1</w:t>
      </w:r>
      <w:r>
        <w:rPr>
          <w:rFonts w:hint="eastAsia" w:ascii="宋体" w:hAnsi="宋体" w:eastAsia="宋体" w:cs="宋体"/>
          <w:color w:val="auto"/>
          <w:spacing w:val="-3"/>
          <w:sz w:val="24"/>
          <w:szCs w:val="24"/>
          <w:highlight w:val="none"/>
        </w:rPr>
        <w:t>人工普扫作业安排</w:t>
      </w:r>
    </w:p>
    <w:p w14:paraId="267D195C">
      <w:pPr>
        <w:spacing w:before="122" w:line="360" w:lineRule="auto"/>
        <w:ind w:firstLine="481"/>
        <w:jc w:val="both"/>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rPr>
        <w:t>(1)人工普扫</w:t>
      </w:r>
      <w:r>
        <w:rPr>
          <w:rFonts w:hint="eastAsia" w:ascii="宋体" w:hAnsi="宋体" w:eastAsia="宋体" w:cs="宋体"/>
          <w:color w:val="auto"/>
          <w:spacing w:val="-3"/>
          <w:sz w:val="24"/>
          <w:szCs w:val="24"/>
          <w:highlight w:val="none"/>
          <w:lang w:eastAsia="zh-CN"/>
        </w:rPr>
        <w:t>：每天第一次08:00前人工清扫结束；13:30-15:00进行第二次人工普扫。清扫范围包括路面、人行道、</w:t>
      </w:r>
      <w:r>
        <w:rPr>
          <w:rFonts w:hint="eastAsia" w:ascii="宋体" w:hAnsi="宋体" w:eastAsia="宋体" w:cs="宋体"/>
          <w:color w:val="auto"/>
          <w:spacing w:val="-3"/>
          <w:sz w:val="24"/>
          <w:szCs w:val="24"/>
          <w:highlight w:val="none"/>
        </w:rPr>
        <w:t>侧石、窨井口、树穴池等</w:t>
      </w:r>
      <w:r>
        <w:rPr>
          <w:rFonts w:hint="eastAsia" w:ascii="宋体" w:hAnsi="宋体" w:eastAsia="宋体" w:cs="宋体"/>
          <w:color w:val="auto"/>
          <w:spacing w:val="-3"/>
          <w:sz w:val="24"/>
          <w:szCs w:val="24"/>
          <w:highlight w:val="none"/>
          <w:lang w:eastAsia="zh-CN"/>
        </w:rPr>
        <w:t>。</w:t>
      </w:r>
    </w:p>
    <w:p w14:paraId="001F2925">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(2)随时收集</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路面及果皮箱内垃圾随时收集。</w:t>
      </w:r>
    </w:p>
    <w:p w14:paraId="666527AA">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(3)全天保洁</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除两次普扫时间以外</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其他时间进行路面常态化保洁。</w:t>
      </w:r>
    </w:p>
    <w:p w14:paraId="15BA4FCD">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以下特殊情况需人工配合清扫安排</w:t>
      </w:r>
    </w:p>
    <w:p w14:paraId="7846D6AF">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（1）死角</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车辆作业转弯、不规则路面、连通道和单位进出口等机械化作业盲区。</w:t>
      </w:r>
    </w:p>
    <w:p w14:paraId="4B1A3646">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（2）回深沟</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因路面原因洗扫车扫刷不能放到位的地方。</w:t>
      </w:r>
    </w:p>
    <w:p w14:paraId="5BE02995">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（3）道路两侧行道树过低过近</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容易划伤车体，洗扫车不能靠边清扫。</w:t>
      </w:r>
    </w:p>
    <w:p w14:paraId="3C53EB6E">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（4）垃圾杂物过长、过大、过多</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容易造成吸盘堵死，或机驾人员无法清除的。</w:t>
      </w:r>
    </w:p>
    <w:p w14:paraId="6484CCA8">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lang w:eastAsia="zh-CN"/>
        </w:rPr>
        <w:t>5</w:t>
      </w:r>
      <w:r>
        <w:rPr>
          <w:rFonts w:hint="eastAsia" w:ascii="宋体" w:hAnsi="宋体" w:eastAsia="宋体" w:cs="宋体"/>
          <w:color w:val="auto"/>
          <w:spacing w:val="-3"/>
          <w:sz w:val="24"/>
          <w:szCs w:val="24"/>
          <w:highlight w:val="none"/>
        </w:rPr>
        <w:t>）特殊情况保障</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遇有重大保障活动和突发污染事件，洗扫车迅速到位，有效配合人工和其他功能作业车辆进行快速处置。</w:t>
      </w:r>
    </w:p>
    <w:p w14:paraId="47C79C9C">
      <w:pPr>
        <w:spacing w:before="122" w:line="360" w:lineRule="auto"/>
        <w:ind w:firstLine="481"/>
        <w:jc w:val="both"/>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lang w:eastAsia="zh-CN"/>
        </w:rPr>
        <w:t>.1.2</w:t>
      </w:r>
      <w:r>
        <w:rPr>
          <w:rFonts w:hint="eastAsia" w:ascii="宋体" w:hAnsi="宋体" w:eastAsia="宋体" w:cs="宋体"/>
          <w:color w:val="auto"/>
          <w:spacing w:val="-3"/>
          <w:sz w:val="24"/>
          <w:szCs w:val="24"/>
          <w:highlight w:val="none"/>
        </w:rPr>
        <w:t>机械化作业</w:t>
      </w:r>
      <w:r>
        <w:rPr>
          <w:rFonts w:hint="eastAsia" w:ascii="宋体" w:hAnsi="宋体" w:eastAsia="宋体" w:cs="宋体"/>
          <w:color w:val="auto"/>
          <w:spacing w:val="-3"/>
          <w:sz w:val="24"/>
          <w:szCs w:val="24"/>
          <w:highlight w:val="none"/>
          <w:lang w:eastAsia="zh-CN"/>
        </w:rPr>
        <w:t>安排</w:t>
      </w:r>
    </w:p>
    <w:p w14:paraId="3ADC1328">
      <w:pPr>
        <w:spacing w:before="122" w:line="360" w:lineRule="auto"/>
        <w:ind w:firstLine="481"/>
        <w:jc w:val="both"/>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lang w:eastAsia="zh-CN"/>
        </w:rPr>
        <w:t>.1.2.1一天3次机扫</w:t>
      </w:r>
    </w:p>
    <w:p w14:paraId="4C821711">
      <w:pPr>
        <w:spacing w:before="122" w:line="360" w:lineRule="auto"/>
        <w:ind w:firstLine="481"/>
        <w:jc w:val="both"/>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第一次：07:00之前机扫作业结束（二级或三级联扫）；</w:t>
      </w:r>
    </w:p>
    <w:p w14:paraId="554ED35B">
      <w:pPr>
        <w:spacing w:before="122" w:line="360" w:lineRule="auto"/>
        <w:ind w:firstLine="481"/>
        <w:jc w:val="both"/>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第二次：10:30-12:00进行机扫作业（二级联扫）；</w:t>
      </w:r>
    </w:p>
    <w:p w14:paraId="6B93D8B9">
      <w:pPr>
        <w:spacing w:before="122" w:line="360" w:lineRule="auto"/>
        <w:ind w:firstLine="481"/>
        <w:jc w:val="both"/>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第三次：14:00-16:00进行机扫作业。</w:t>
      </w:r>
    </w:p>
    <w:p w14:paraId="1BDE3FFD">
      <w:pPr>
        <w:spacing w:before="122" w:line="360" w:lineRule="auto"/>
        <w:ind w:firstLine="481"/>
        <w:jc w:val="both"/>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如遇大风落叶天气等特殊情况，必须增加清扫频次。</w:t>
      </w:r>
    </w:p>
    <w:p w14:paraId="2502C05C">
      <w:pPr>
        <w:spacing w:before="122" w:line="360" w:lineRule="auto"/>
        <w:ind w:firstLine="481"/>
        <w:jc w:val="both"/>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lang w:eastAsia="zh-CN"/>
        </w:rPr>
        <w:t>.1.2.2</w:t>
      </w:r>
      <w:r>
        <w:rPr>
          <w:rFonts w:hint="eastAsia" w:ascii="宋体" w:hAnsi="宋体" w:eastAsia="宋体" w:cs="宋体"/>
          <w:color w:val="auto"/>
          <w:spacing w:val="-3"/>
          <w:sz w:val="24"/>
          <w:szCs w:val="24"/>
          <w:highlight w:val="none"/>
        </w:rPr>
        <w:t>洒水喷雾作业</w:t>
      </w:r>
    </w:p>
    <w:p w14:paraId="4AA72AE2">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eastAsia="zh-CN"/>
        </w:rPr>
        <w:t>（1）</w:t>
      </w:r>
      <w:r>
        <w:rPr>
          <w:rFonts w:hint="eastAsia" w:ascii="宋体" w:hAnsi="宋体" w:eastAsia="宋体" w:cs="宋体"/>
          <w:color w:val="auto"/>
          <w:spacing w:val="-3"/>
          <w:sz w:val="24"/>
          <w:szCs w:val="24"/>
          <w:highlight w:val="none"/>
        </w:rPr>
        <w:t>气温在低于4℃时停止洒水喷雾作业。</w:t>
      </w:r>
    </w:p>
    <w:p w14:paraId="6C327814">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eastAsia="zh-CN"/>
        </w:rPr>
        <w:t>（2）</w:t>
      </w:r>
      <w:r>
        <w:rPr>
          <w:rFonts w:hint="eastAsia" w:ascii="宋体" w:hAnsi="宋体" w:eastAsia="宋体" w:cs="宋体"/>
          <w:color w:val="auto"/>
          <w:spacing w:val="-3"/>
          <w:sz w:val="24"/>
          <w:szCs w:val="24"/>
          <w:highlight w:val="none"/>
        </w:rPr>
        <w:t>气温高于4℃时适时进行洒水喷雾作业。</w:t>
      </w:r>
    </w:p>
    <w:p w14:paraId="3513FACB">
      <w:pPr>
        <w:spacing w:before="122" w:line="360" w:lineRule="auto"/>
        <w:ind w:firstLine="481"/>
        <w:jc w:val="both"/>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（3）根据气象条件适时调整洒水作业。</w:t>
      </w:r>
    </w:p>
    <w:p w14:paraId="37514DB8">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eastAsia="zh-CN"/>
        </w:rPr>
        <w:t>（4）</w:t>
      </w:r>
      <w:r>
        <w:rPr>
          <w:rFonts w:hint="eastAsia" w:ascii="宋体" w:hAnsi="宋体" w:eastAsia="宋体" w:cs="宋体"/>
          <w:color w:val="auto"/>
          <w:spacing w:val="-3"/>
          <w:sz w:val="24"/>
          <w:szCs w:val="24"/>
          <w:highlight w:val="none"/>
        </w:rPr>
        <w:t>人行道适时冲洗。</w:t>
      </w:r>
    </w:p>
    <w:p w14:paraId="627C3A1E">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eastAsia="zh-CN"/>
        </w:rPr>
        <w:t>（5）</w:t>
      </w:r>
      <w:r>
        <w:rPr>
          <w:rFonts w:hint="eastAsia" w:ascii="宋体" w:hAnsi="宋体" w:eastAsia="宋体" w:cs="宋体"/>
          <w:color w:val="auto"/>
          <w:spacing w:val="-3"/>
          <w:sz w:val="24"/>
          <w:szCs w:val="24"/>
          <w:highlight w:val="none"/>
        </w:rPr>
        <w:t>路面冲洗、洒水作业时应鸣报信号，冲洗后路面应干净，下水口不堵塞，道路冲洗应在6:30前结束。</w:t>
      </w:r>
    </w:p>
    <w:p w14:paraId="38CBC7FC">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eastAsia="zh-CN"/>
        </w:rPr>
        <w:t>（6）</w:t>
      </w:r>
      <w:r>
        <w:rPr>
          <w:rFonts w:hint="eastAsia" w:ascii="宋体" w:hAnsi="宋体" w:eastAsia="宋体" w:cs="宋体"/>
          <w:color w:val="auto"/>
          <w:spacing w:val="-3"/>
          <w:sz w:val="24"/>
          <w:szCs w:val="24"/>
          <w:highlight w:val="none"/>
        </w:rPr>
        <w:t>人行道</w:t>
      </w:r>
      <w:r>
        <w:rPr>
          <w:rFonts w:hint="eastAsia" w:ascii="宋体" w:hAnsi="宋体" w:eastAsia="宋体" w:cs="宋体"/>
          <w:color w:val="auto"/>
          <w:spacing w:val="-3"/>
          <w:sz w:val="24"/>
          <w:szCs w:val="24"/>
          <w:highlight w:val="none"/>
          <w:lang w:eastAsia="zh-CN"/>
        </w:rPr>
        <w:t>每周冲洗3次以上（含3次）</w:t>
      </w:r>
      <w:r>
        <w:rPr>
          <w:rFonts w:hint="eastAsia" w:ascii="宋体" w:hAnsi="宋体" w:eastAsia="宋体" w:cs="宋体"/>
          <w:color w:val="auto"/>
          <w:spacing w:val="-3"/>
          <w:sz w:val="24"/>
          <w:szCs w:val="24"/>
          <w:highlight w:val="none"/>
        </w:rPr>
        <w:t>；</w:t>
      </w:r>
    </w:p>
    <w:p w14:paraId="474B5FAF">
      <w:pPr>
        <w:spacing w:before="122" w:line="360" w:lineRule="auto"/>
        <w:ind w:firstLine="481"/>
        <w:jc w:val="both"/>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lang w:eastAsia="zh-CN"/>
        </w:rPr>
        <w:t>7</w:t>
      </w:r>
      <w:r>
        <w:rPr>
          <w:rFonts w:hint="eastAsia" w:ascii="宋体" w:hAnsi="宋体" w:eastAsia="宋体" w:cs="宋体"/>
          <w:color w:val="auto"/>
          <w:spacing w:val="-3"/>
          <w:sz w:val="24"/>
          <w:szCs w:val="24"/>
          <w:highlight w:val="none"/>
        </w:rPr>
        <w:t>）洒水11月到3月每天4次，4月到6月每天6次，7月到10月每天8次；</w:t>
      </w:r>
    </w:p>
    <w:p w14:paraId="7F09A774">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lang w:eastAsia="zh-CN"/>
        </w:rPr>
        <w:t>.1.3</w:t>
      </w:r>
      <w:r>
        <w:rPr>
          <w:rFonts w:hint="eastAsia" w:ascii="宋体" w:hAnsi="宋体" w:eastAsia="宋体" w:cs="宋体"/>
          <w:color w:val="auto"/>
          <w:spacing w:val="-3"/>
          <w:sz w:val="24"/>
          <w:szCs w:val="24"/>
          <w:highlight w:val="none"/>
        </w:rPr>
        <w:t>特殊天气作业</w:t>
      </w:r>
    </w:p>
    <w:p w14:paraId="29B0F2F0">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eastAsia="zh-CN"/>
        </w:rPr>
        <w:t>（1）</w:t>
      </w:r>
      <w:r>
        <w:rPr>
          <w:rFonts w:hint="eastAsia" w:ascii="宋体" w:hAnsi="宋体" w:eastAsia="宋体" w:cs="宋体"/>
          <w:color w:val="auto"/>
          <w:spacing w:val="-3"/>
          <w:sz w:val="24"/>
          <w:szCs w:val="24"/>
          <w:highlight w:val="none"/>
        </w:rPr>
        <w:t>大风沙尘暴天气作业要求</w:t>
      </w:r>
    </w:p>
    <w:p w14:paraId="5183F301">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eastAsia="zh-CN"/>
        </w:rPr>
        <w:t>（2）</w:t>
      </w:r>
      <w:r>
        <w:rPr>
          <w:rFonts w:hint="eastAsia" w:ascii="宋体" w:hAnsi="宋体" w:eastAsia="宋体" w:cs="宋体"/>
          <w:color w:val="auto"/>
          <w:spacing w:val="-3"/>
          <w:sz w:val="24"/>
          <w:szCs w:val="24"/>
          <w:highlight w:val="none"/>
        </w:rPr>
        <w:t>大风沙尘暴来临前半小时</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所有人员、车辆均提前半小时到岗。</w:t>
      </w:r>
    </w:p>
    <w:p w14:paraId="1053031E">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eastAsia="zh-CN"/>
        </w:rPr>
        <w:t>（3）</w:t>
      </w:r>
      <w:r>
        <w:rPr>
          <w:rFonts w:hint="eastAsia" w:ascii="宋体" w:hAnsi="宋体" w:eastAsia="宋体" w:cs="宋体"/>
          <w:color w:val="auto"/>
          <w:spacing w:val="-3"/>
          <w:sz w:val="24"/>
          <w:szCs w:val="24"/>
          <w:highlight w:val="none"/>
        </w:rPr>
        <w:t>人工作业先捡拾路面大的枯枝</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为机械化清扫提供有利条件。</w:t>
      </w:r>
    </w:p>
    <w:p w14:paraId="58B2C015">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eastAsia="zh-CN"/>
        </w:rPr>
        <w:t>（4）</w:t>
      </w:r>
      <w:r>
        <w:rPr>
          <w:rFonts w:hint="eastAsia" w:ascii="宋体" w:hAnsi="宋体" w:eastAsia="宋体" w:cs="宋体"/>
          <w:color w:val="auto"/>
          <w:spacing w:val="-3"/>
          <w:sz w:val="24"/>
          <w:szCs w:val="24"/>
          <w:highlight w:val="none"/>
        </w:rPr>
        <w:t>环卫机械采用</w:t>
      </w:r>
      <w:r>
        <w:rPr>
          <w:rFonts w:hint="eastAsia" w:ascii="宋体" w:hAnsi="宋体" w:eastAsia="宋体" w:cs="宋体"/>
          <w:color w:val="auto"/>
          <w:spacing w:val="-3"/>
          <w:sz w:val="24"/>
          <w:szCs w:val="24"/>
          <w:highlight w:val="none"/>
          <w:lang w:eastAsia="zh-CN"/>
        </w:rPr>
        <w:t>三级或四级</w:t>
      </w:r>
      <w:r>
        <w:rPr>
          <w:rFonts w:hint="eastAsia" w:ascii="宋体" w:hAnsi="宋体" w:eastAsia="宋体" w:cs="宋体"/>
          <w:color w:val="auto"/>
          <w:spacing w:val="-3"/>
          <w:sz w:val="24"/>
          <w:szCs w:val="24"/>
          <w:highlight w:val="none"/>
        </w:rPr>
        <w:t>联合的作业模式对城区主次道路进行冲洗、洗扫、降尘。</w:t>
      </w:r>
    </w:p>
    <w:p w14:paraId="05EE9D15">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eastAsia="zh-CN"/>
        </w:rPr>
        <w:t>（5）</w:t>
      </w:r>
      <w:r>
        <w:rPr>
          <w:rFonts w:hint="eastAsia" w:ascii="宋体" w:hAnsi="宋体" w:eastAsia="宋体" w:cs="宋体"/>
          <w:color w:val="auto"/>
          <w:spacing w:val="-3"/>
          <w:sz w:val="24"/>
          <w:szCs w:val="24"/>
          <w:highlight w:val="none"/>
        </w:rPr>
        <w:t>人工在机械作业后及时清理零星落叶或</w:t>
      </w:r>
      <w:r>
        <w:rPr>
          <w:rFonts w:hint="eastAsia" w:ascii="宋体" w:hAnsi="宋体" w:eastAsia="宋体" w:cs="宋体"/>
          <w:color w:val="auto"/>
          <w:spacing w:val="-3"/>
          <w:sz w:val="24"/>
          <w:szCs w:val="24"/>
          <w:highlight w:val="none"/>
          <w:lang w:eastAsia="zh-CN"/>
        </w:rPr>
        <w:t>其他杂物</w:t>
      </w:r>
      <w:r>
        <w:rPr>
          <w:rFonts w:hint="eastAsia" w:ascii="宋体" w:hAnsi="宋体" w:eastAsia="宋体" w:cs="宋体"/>
          <w:color w:val="auto"/>
          <w:spacing w:val="-3"/>
          <w:sz w:val="24"/>
          <w:szCs w:val="24"/>
          <w:highlight w:val="none"/>
        </w:rPr>
        <w:t>。</w:t>
      </w:r>
    </w:p>
    <w:p w14:paraId="33A306F9">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eastAsia="zh-CN"/>
        </w:rPr>
        <w:t>（6）</w:t>
      </w:r>
      <w:r>
        <w:rPr>
          <w:rFonts w:hint="eastAsia" w:ascii="宋体" w:hAnsi="宋体" w:eastAsia="宋体" w:cs="宋体"/>
          <w:color w:val="auto"/>
          <w:spacing w:val="-3"/>
          <w:sz w:val="24"/>
          <w:szCs w:val="24"/>
          <w:highlight w:val="none"/>
        </w:rPr>
        <w:t>对不具备机械化清扫作业的路段</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采用人工不间断清扫作业</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并做好保洁车辆的密闭运输工作。</w:t>
      </w:r>
    </w:p>
    <w:p w14:paraId="7AECDF34">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lang w:eastAsia="zh-CN"/>
        </w:rPr>
        <w:t>.1.4</w:t>
      </w:r>
      <w:r>
        <w:rPr>
          <w:rFonts w:hint="eastAsia" w:ascii="宋体" w:hAnsi="宋体" w:eastAsia="宋体" w:cs="宋体"/>
          <w:color w:val="auto"/>
          <w:spacing w:val="-3"/>
          <w:sz w:val="24"/>
          <w:szCs w:val="24"/>
          <w:highlight w:val="none"/>
        </w:rPr>
        <w:t>降雨天气作业要求</w:t>
      </w:r>
    </w:p>
    <w:p w14:paraId="666C0C36">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lang w:eastAsia="zh-CN"/>
        </w:rPr>
        <w:t>.1.4.1</w:t>
      </w:r>
      <w:r>
        <w:rPr>
          <w:rFonts w:hint="eastAsia" w:ascii="宋体" w:hAnsi="宋体" w:eastAsia="宋体" w:cs="宋体"/>
          <w:color w:val="auto"/>
          <w:spacing w:val="-3"/>
          <w:sz w:val="24"/>
          <w:szCs w:val="24"/>
          <w:highlight w:val="none"/>
        </w:rPr>
        <w:t>小雨天气</w:t>
      </w:r>
    </w:p>
    <w:p w14:paraId="6120399E">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3"/>
          <w:sz w:val="24"/>
          <w:szCs w:val="24"/>
          <w:highlight w:val="none"/>
          <w:lang w:eastAsia="zh-CN"/>
        </w:rPr>
        <w:t>少</w:t>
      </w:r>
      <w:r>
        <w:rPr>
          <w:rFonts w:hint="eastAsia" w:ascii="宋体" w:hAnsi="宋体" w:eastAsia="宋体" w:cs="宋体"/>
          <w:color w:val="auto"/>
          <w:spacing w:val="-3"/>
          <w:sz w:val="24"/>
          <w:szCs w:val="24"/>
          <w:highlight w:val="none"/>
        </w:rPr>
        <w:t>量降雨时</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安排环卫机械正常洗扫作业。</w:t>
      </w:r>
    </w:p>
    <w:p w14:paraId="63F29B44">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(2)机械结合人工对慢车道、人行道、道牙边、交通护栏底部进行冲洗作业</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雨后及时对快车道进行洗扫作业。</w:t>
      </w:r>
    </w:p>
    <w:p w14:paraId="5487C93A">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(3)人工作业重点对公交站点、商场等人流量大、污染较快的部位及路段巡回保洁</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快速捡拾路面纸片、塑料袋等明显杂物</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对形成径流的路面及时推水。</w:t>
      </w:r>
    </w:p>
    <w:p w14:paraId="18666810">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lang w:eastAsia="zh-CN"/>
        </w:rPr>
        <w:t>.1.4.2</w:t>
      </w:r>
      <w:r>
        <w:rPr>
          <w:rFonts w:hint="eastAsia" w:ascii="宋体" w:hAnsi="宋体" w:eastAsia="宋体" w:cs="宋体"/>
          <w:color w:val="auto"/>
          <w:spacing w:val="-3"/>
          <w:sz w:val="24"/>
          <w:szCs w:val="24"/>
          <w:highlight w:val="none"/>
        </w:rPr>
        <w:t>中大暴雨天气</w:t>
      </w:r>
    </w:p>
    <w:p w14:paraId="5DEF4CD7">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(1)降中到大雨时</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及时对下水道口周边垃圾进行清理</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防止杂物堵塞下水道口</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造成下水不畅。</w:t>
      </w:r>
    </w:p>
    <w:p w14:paraId="3D331A5C">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(2)对路面掉落树枝、白色垃圾及时捡拾。</w:t>
      </w:r>
    </w:p>
    <w:p w14:paraId="153BA0A5">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(3)利用中雨时段采取人工推水作业</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可视雨情定时间</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清理路面和道牙边尘土和淤泥。</w:t>
      </w:r>
    </w:p>
    <w:p w14:paraId="45CBD757">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(4)雨停后洗扫车辆关闭喷水装置</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对城区主要道路进行吸水作业。</w:t>
      </w:r>
    </w:p>
    <w:p w14:paraId="1A427BD0">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(5)中大暴雨过后</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人工于2小时内将路面树枝、落叶和杂物清理完毕</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及时出动车辆对快慢车道进行高冲洗和洗扫作业。</w:t>
      </w:r>
    </w:p>
    <w:p w14:paraId="7EF94891">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lang w:eastAsia="zh-CN"/>
        </w:rPr>
        <w:t>.1.4.3</w:t>
      </w:r>
      <w:r>
        <w:rPr>
          <w:rFonts w:hint="eastAsia" w:ascii="宋体" w:hAnsi="宋体" w:eastAsia="宋体" w:cs="宋体"/>
          <w:color w:val="auto"/>
          <w:spacing w:val="-3"/>
          <w:sz w:val="24"/>
          <w:szCs w:val="24"/>
          <w:highlight w:val="none"/>
        </w:rPr>
        <w:t>夜间降雨</w:t>
      </w:r>
    </w:p>
    <w:p w14:paraId="58A378B2">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次日车辆、人员全部提前半小时到岗作业。</w:t>
      </w:r>
    </w:p>
    <w:p w14:paraId="7F5C4314">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lang w:eastAsia="zh-CN"/>
        </w:rPr>
        <w:t>.1.4.4</w:t>
      </w:r>
      <w:r>
        <w:rPr>
          <w:rFonts w:hint="eastAsia" w:ascii="宋体" w:hAnsi="宋体" w:eastAsia="宋体" w:cs="宋体"/>
          <w:color w:val="auto"/>
          <w:spacing w:val="-3"/>
          <w:sz w:val="24"/>
          <w:szCs w:val="24"/>
          <w:highlight w:val="none"/>
        </w:rPr>
        <w:t>降雪天气作业要求</w:t>
      </w:r>
    </w:p>
    <w:p w14:paraId="19D6CC4A">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降雪天气清雪除冰要求依据许昌市城市管理局或许昌市建安区城市管理局统一调配要求作业。（清雪除冰所需用品由中标人提供，其费用包含在保洁费用以内）</w:t>
      </w:r>
    </w:p>
    <w:p w14:paraId="36AEACBD">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注：（1）强风天气过后，组织人员对区域内环境卫生公用设施损坏情况进行勘察，并将损坏情况形成书面报告上报甲方单位。</w:t>
      </w:r>
    </w:p>
    <w:p w14:paraId="2F69E464">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（2）遇六级以上大风以及雷暴雨、冰雹等恶劣天气时，停止室外作业。特殊情况下，确需在恶劣天气进行抢修时，应组织应急人员充分讨论必要的安全措施，经主管领导批准后方可进行。</w:t>
      </w:r>
    </w:p>
    <w:p w14:paraId="11640CC6">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lang w:eastAsia="zh-CN"/>
        </w:rPr>
        <w:t>.1.5</w:t>
      </w:r>
      <w:r>
        <w:rPr>
          <w:rFonts w:hint="eastAsia" w:ascii="宋体" w:hAnsi="宋体" w:eastAsia="宋体" w:cs="宋体"/>
          <w:color w:val="auto"/>
          <w:spacing w:val="-3"/>
          <w:sz w:val="24"/>
          <w:szCs w:val="24"/>
          <w:highlight w:val="none"/>
        </w:rPr>
        <w:t>垃圾清运要求</w:t>
      </w:r>
    </w:p>
    <w:p w14:paraId="511404DB">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eastAsia="zh-CN"/>
        </w:rPr>
        <w:t>（1）</w:t>
      </w:r>
      <w:r>
        <w:rPr>
          <w:rFonts w:hint="eastAsia" w:ascii="宋体" w:hAnsi="宋体" w:eastAsia="宋体" w:cs="宋体"/>
          <w:color w:val="auto"/>
          <w:spacing w:val="-3"/>
          <w:sz w:val="24"/>
          <w:szCs w:val="24"/>
          <w:highlight w:val="none"/>
        </w:rPr>
        <w:t>每天分上</w:t>
      </w:r>
      <w:r>
        <w:rPr>
          <w:rFonts w:hint="eastAsia" w:ascii="宋体" w:hAnsi="宋体" w:eastAsia="宋体" w:cs="宋体"/>
          <w:color w:val="auto"/>
          <w:spacing w:val="-3"/>
          <w:sz w:val="24"/>
          <w:szCs w:val="24"/>
          <w:highlight w:val="none"/>
          <w:lang w:eastAsia="zh-CN"/>
        </w:rPr>
        <w:t>午和</w:t>
      </w:r>
      <w:r>
        <w:rPr>
          <w:rFonts w:hint="eastAsia" w:ascii="宋体" w:hAnsi="宋体" w:eastAsia="宋体" w:cs="宋体"/>
          <w:color w:val="auto"/>
          <w:spacing w:val="-3"/>
          <w:sz w:val="24"/>
          <w:szCs w:val="24"/>
          <w:highlight w:val="none"/>
        </w:rPr>
        <w:t>下午对垃圾清理两遍。</w:t>
      </w:r>
    </w:p>
    <w:p w14:paraId="06D62337">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eastAsia="zh-CN"/>
        </w:rPr>
        <w:t>（2）</w:t>
      </w:r>
      <w:r>
        <w:rPr>
          <w:rFonts w:hint="eastAsia" w:ascii="宋体" w:hAnsi="宋体" w:eastAsia="宋体" w:cs="宋体"/>
          <w:color w:val="auto"/>
          <w:spacing w:val="-3"/>
          <w:sz w:val="24"/>
          <w:szCs w:val="24"/>
          <w:highlight w:val="none"/>
        </w:rPr>
        <w:t>垃圾分类果皮箱应干净美观，与周围环境协调。每天清空箱内垃圾，周围地面清洁卫生，无废弃物。</w:t>
      </w:r>
    </w:p>
    <w:p w14:paraId="08F55FE6">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eastAsia="zh-CN"/>
        </w:rPr>
        <w:t>（3）</w:t>
      </w:r>
      <w:r>
        <w:rPr>
          <w:rFonts w:hint="eastAsia" w:ascii="宋体" w:hAnsi="宋体" w:eastAsia="宋体" w:cs="宋体"/>
          <w:color w:val="auto"/>
          <w:spacing w:val="-3"/>
          <w:sz w:val="24"/>
          <w:szCs w:val="24"/>
          <w:highlight w:val="none"/>
        </w:rPr>
        <w:t>上午</w:t>
      </w:r>
      <w:r>
        <w:rPr>
          <w:rFonts w:hint="eastAsia" w:ascii="宋体" w:hAnsi="宋体" w:eastAsia="宋体" w:cs="宋体"/>
          <w:color w:val="auto"/>
          <w:spacing w:val="-3"/>
          <w:sz w:val="24"/>
          <w:szCs w:val="24"/>
          <w:highlight w:val="none"/>
          <w:lang w:eastAsia="zh-CN"/>
        </w:rPr>
        <w:t>9:00</w:t>
      </w:r>
      <w:r>
        <w:rPr>
          <w:rFonts w:hint="eastAsia" w:ascii="宋体" w:hAnsi="宋体" w:eastAsia="宋体" w:cs="宋体"/>
          <w:color w:val="auto"/>
          <w:spacing w:val="-3"/>
          <w:sz w:val="24"/>
          <w:szCs w:val="24"/>
          <w:highlight w:val="none"/>
        </w:rPr>
        <w:t>之前清理完毕，</w:t>
      </w:r>
      <w:r>
        <w:rPr>
          <w:rFonts w:hint="eastAsia" w:ascii="宋体" w:hAnsi="宋体" w:eastAsia="宋体" w:cs="宋体"/>
          <w:color w:val="auto"/>
          <w:spacing w:val="-3"/>
          <w:sz w:val="24"/>
          <w:szCs w:val="24"/>
          <w:highlight w:val="none"/>
          <w:lang w:eastAsia="zh-CN"/>
        </w:rPr>
        <w:t>14:00</w:t>
      </w:r>
      <w:r>
        <w:rPr>
          <w:rFonts w:hint="eastAsia" w:ascii="宋体" w:hAnsi="宋体" w:eastAsia="宋体" w:cs="宋体"/>
          <w:color w:val="auto"/>
          <w:spacing w:val="-3"/>
          <w:sz w:val="24"/>
          <w:szCs w:val="24"/>
          <w:highlight w:val="none"/>
        </w:rPr>
        <w:t>之前清理完毕，如特殊情况时需调整清运时间的根据需要随时清理。</w:t>
      </w:r>
    </w:p>
    <w:p w14:paraId="288F8BAA">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eastAsia="zh-CN"/>
        </w:rPr>
        <w:t>（4）</w:t>
      </w:r>
      <w:r>
        <w:rPr>
          <w:rFonts w:hint="eastAsia" w:ascii="宋体" w:hAnsi="宋体" w:eastAsia="宋体" w:cs="宋体"/>
          <w:color w:val="auto"/>
          <w:spacing w:val="-3"/>
          <w:sz w:val="24"/>
          <w:szCs w:val="24"/>
          <w:highlight w:val="none"/>
        </w:rPr>
        <w:t>按照要求将垃圾分类清运到相应的垃圾中转站或存放点。严禁随处倾倒或随处存放垃圾。</w:t>
      </w:r>
    </w:p>
    <w:p w14:paraId="06DE0200">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eastAsia="zh-CN"/>
        </w:rPr>
        <w:t>（5）</w:t>
      </w:r>
      <w:r>
        <w:rPr>
          <w:rFonts w:hint="eastAsia" w:ascii="宋体" w:hAnsi="宋体" w:eastAsia="宋体" w:cs="宋体"/>
          <w:color w:val="auto"/>
          <w:spacing w:val="-3"/>
          <w:sz w:val="24"/>
          <w:szCs w:val="24"/>
          <w:highlight w:val="none"/>
        </w:rPr>
        <w:t>清运车辆要封闭，严禁垃圾在运输过程中撒落造成二次污染。</w:t>
      </w:r>
    </w:p>
    <w:p w14:paraId="2391B2FA">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eastAsia="zh-CN"/>
        </w:rPr>
        <w:t>（6）</w:t>
      </w:r>
      <w:r>
        <w:rPr>
          <w:rFonts w:hint="eastAsia" w:ascii="宋体" w:hAnsi="宋体" w:eastAsia="宋体" w:cs="宋体"/>
          <w:color w:val="auto"/>
          <w:spacing w:val="-3"/>
          <w:sz w:val="24"/>
          <w:szCs w:val="24"/>
          <w:highlight w:val="none"/>
        </w:rPr>
        <w:t>定期对垃圾箱内外进行清洗。5月—10月份每周清洗两遍，11月—次年4月份每周清洗一遍。如遇重特殊情况时根据需要随时清洗。</w:t>
      </w:r>
    </w:p>
    <w:p w14:paraId="2201CD97">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lang w:eastAsia="zh-CN"/>
        </w:rPr>
        <w:t>.2绿化管养标准</w:t>
      </w:r>
    </w:p>
    <w:p w14:paraId="1A0E050E">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lang w:eastAsia="zh-CN"/>
        </w:rPr>
        <w:t>.2.1</w:t>
      </w:r>
      <w:r>
        <w:rPr>
          <w:rFonts w:hint="eastAsia" w:ascii="宋体" w:hAnsi="宋体" w:eastAsia="宋体" w:cs="宋体"/>
          <w:color w:val="auto"/>
          <w:spacing w:val="-3"/>
          <w:sz w:val="24"/>
          <w:szCs w:val="24"/>
          <w:highlight w:val="none"/>
        </w:rPr>
        <w:t>绿化苗木养护</w:t>
      </w:r>
    </w:p>
    <w:p w14:paraId="29302087">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eastAsia="zh-CN"/>
        </w:rPr>
        <w:t>（1）</w:t>
      </w:r>
      <w:r>
        <w:rPr>
          <w:rFonts w:hint="eastAsia" w:ascii="宋体" w:hAnsi="宋体" w:eastAsia="宋体" w:cs="宋体"/>
          <w:color w:val="auto"/>
          <w:spacing w:val="-3"/>
          <w:sz w:val="24"/>
          <w:szCs w:val="24"/>
          <w:highlight w:val="none"/>
        </w:rPr>
        <w:t>城市道路绿化修剪、灌溉、病虫害防治及游园内保洁等工作。</w:t>
      </w:r>
    </w:p>
    <w:p w14:paraId="5F5B5666">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eastAsia="zh-CN"/>
        </w:rPr>
        <w:t>（2）</w:t>
      </w:r>
      <w:r>
        <w:rPr>
          <w:rFonts w:hint="eastAsia" w:ascii="宋体" w:hAnsi="宋体" w:eastAsia="宋体" w:cs="宋体"/>
          <w:color w:val="auto"/>
          <w:spacing w:val="-3"/>
          <w:sz w:val="24"/>
          <w:szCs w:val="24"/>
          <w:highlight w:val="none"/>
        </w:rPr>
        <w:t xml:space="preserve">草坪修剪：修剪掉的草及时清走；有杂草的应先剔除杂草后修剪。 </w:t>
      </w:r>
    </w:p>
    <w:p w14:paraId="31DC6A1F">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lang w:eastAsia="zh-CN"/>
        </w:rPr>
        <w:t>.2</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lang w:eastAsia="zh-CN"/>
        </w:rPr>
        <w:t>2</w:t>
      </w:r>
      <w:r>
        <w:rPr>
          <w:rFonts w:hint="eastAsia" w:ascii="宋体" w:hAnsi="宋体" w:eastAsia="宋体" w:cs="宋体"/>
          <w:color w:val="auto"/>
          <w:spacing w:val="-3"/>
          <w:sz w:val="24"/>
          <w:szCs w:val="24"/>
          <w:highlight w:val="none"/>
        </w:rPr>
        <w:t xml:space="preserve">除草 </w:t>
      </w:r>
    </w:p>
    <w:p w14:paraId="628C34ED">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eastAsia="zh-CN"/>
        </w:rPr>
        <w:t>（1）</w:t>
      </w:r>
      <w:r>
        <w:rPr>
          <w:rFonts w:hint="eastAsia" w:ascii="宋体" w:hAnsi="宋体" w:eastAsia="宋体" w:cs="宋体"/>
          <w:color w:val="auto"/>
          <w:spacing w:val="-3"/>
          <w:sz w:val="24"/>
          <w:szCs w:val="24"/>
          <w:highlight w:val="none"/>
        </w:rPr>
        <w:t xml:space="preserve">草坪剔草：杂草连根剔除，剔除的杂草及时清除并清运，草坪纯度保持在90%以上，对草坪内的裸露地及时补植。 </w:t>
      </w:r>
    </w:p>
    <w:p w14:paraId="5F39A7ED">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eastAsia="zh-CN"/>
        </w:rPr>
        <w:t>（2）</w:t>
      </w:r>
      <w:r>
        <w:rPr>
          <w:rFonts w:hint="eastAsia" w:ascii="宋体" w:hAnsi="宋体" w:eastAsia="宋体" w:cs="宋体"/>
          <w:color w:val="auto"/>
          <w:spacing w:val="-3"/>
          <w:sz w:val="24"/>
          <w:szCs w:val="24"/>
          <w:highlight w:val="none"/>
        </w:rPr>
        <w:t>地被植物：视杂草生长情况决定除草次数和除草方式</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削、拔</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 xml:space="preserve">。基本控制在无杂草状态，拔、削除的杂草及时清除并清运。 </w:t>
      </w:r>
    </w:p>
    <w:p w14:paraId="62122BD5">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lang w:eastAsia="zh-CN"/>
        </w:rPr>
        <w:t>.2</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lang w:eastAsia="zh-CN"/>
        </w:rPr>
        <w:t>3</w:t>
      </w:r>
      <w:r>
        <w:rPr>
          <w:rFonts w:hint="eastAsia" w:ascii="宋体" w:hAnsi="宋体" w:eastAsia="宋体" w:cs="宋体"/>
          <w:color w:val="auto"/>
          <w:spacing w:val="-3"/>
          <w:sz w:val="24"/>
          <w:szCs w:val="24"/>
          <w:highlight w:val="none"/>
        </w:rPr>
        <w:t>乔木、灌木及绿篱模纹修剪</w:t>
      </w:r>
    </w:p>
    <w:p w14:paraId="33FC9F4F">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eastAsia="zh-CN"/>
        </w:rPr>
        <w:t>（1）</w:t>
      </w:r>
      <w:r>
        <w:rPr>
          <w:rFonts w:hint="eastAsia" w:ascii="宋体" w:hAnsi="宋体" w:eastAsia="宋体" w:cs="宋体"/>
          <w:color w:val="auto"/>
          <w:spacing w:val="-3"/>
          <w:sz w:val="24"/>
          <w:szCs w:val="24"/>
          <w:highlight w:val="none"/>
        </w:rPr>
        <w:t xml:space="preserve">整形树修剪：剪下的树叶及时清除，保持整形的几何面基本平整，枯枝剪除。 </w:t>
      </w:r>
    </w:p>
    <w:p w14:paraId="5822181B">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eastAsia="zh-CN"/>
        </w:rPr>
        <w:t>（2）</w:t>
      </w:r>
      <w:r>
        <w:rPr>
          <w:rFonts w:hint="eastAsia" w:ascii="宋体" w:hAnsi="宋体" w:eastAsia="宋体" w:cs="宋体"/>
          <w:color w:val="auto"/>
          <w:spacing w:val="-3"/>
          <w:sz w:val="24"/>
          <w:szCs w:val="24"/>
          <w:highlight w:val="none"/>
        </w:rPr>
        <w:t xml:space="preserve">绿篱模纹修剪：保持篱面基本平整，枯枝剪除，夹于绿篱间杂树及剪下的枝叶及时清除并清运。 </w:t>
      </w:r>
    </w:p>
    <w:p w14:paraId="649ED167">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eastAsia="zh-CN"/>
        </w:rPr>
        <w:t>（3）</w:t>
      </w:r>
      <w:r>
        <w:rPr>
          <w:rFonts w:hint="eastAsia" w:ascii="宋体" w:hAnsi="宋体" w:eastAsia="宋体" w:cs="宋体"/>
          <w:color w:val="auto"/>
          <w:spacing w:val="-3"/>
          <w:sz w:val="24"/>
          <w:szCs w:val="24"/>
          <w:highlight w:val="none"/>
        </w:rPr>
        <w:t>灌木修剪：一年一次。夏季开花的于冬季进行，春季开花的于花后进行。</w:t>
      </w:r>
      <w:r>
        <w:rPr>
          <w:rFonts w:hint="eastAsia" w:ascii="宋体" w:hAnsi="宋体" w:eastAsia="宋体" w:cs="宋体"/>
          <w:color w:val="auto"/>
          <w:spacing w:val="-3"/>
          <w:sz w:val="24"/>
          <w:szCs w:val="24"/>
          <w:highlight w:val="none"/>
          <w:lang w:eastAsia="zh-CN"/>
        </w:rPr>
        <w:t>蜡梅</w:t>
      </w:r>
      <w:r>
        <w:rPr>
          <w:rFonts w:hint="eastAsia" w:ascii="宋体" w:hAnsi="宋体" w:eastAsia="宋体" w:cs="宋体"/>
          <w:color w:val="auto"/>
          <w:spacing w:val="-3"/>
          <w:sz w:val="24"/>
          <w:szCs w:val="24"/>
          <w:highlight w:val="none"/>
        </w:rPr>
        <w:t xml:space="preserve">、梅花、桃花、海棠、红叶李、紫荆等必须每年一次。 </w:t>
      </w:r>
    </w:p>
    <w:p w14:paraId="0EDA68D7">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eastAsia="zh-CN"/>
        </w:rPr>
        <w:t>（4）</w:t>
      </w:r>
      <w:r>
        <w:rPr>
          <w:rFonts w:hint="eastAsia" w:ascii="宋体" w:hAnsi="宋体" w:eastAsia="宋体" w:cs="宋体"/>
          <w:color w:val="auto"/>
          <w:spacing w:val="-3"/>
          <w:sz w:val="24"/>
          <w:szCs w:val="24"/>
          <w:highlight w:val="none"/>
        </w:rPr>
        <w:t>行道树抹芽</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指悬铃木行道树</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 xml:space="preserve">，一年2—3次。去除四米以下不必要的半木质化不定芽，抹下的芽及时清除并清运。 </w:t>
      </w:r>
    </w:p>
    <w:p w14:paraId="5488CDD9">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eastAsia="zh-CN"/>
        </w:rPr>
        <w:t>（5）</w:t>
      </w:r>
      <w:r>
        <w:rPr>
          <w:rFonts w:hint="eastAsia" w:ascii="宋体" w:hAnsi="宋体" w:eastAsia="宋体" w:cs="宋体"/>
          <w:color w:val="auto"/>
          <w:spacing w:val="-3"/>
          <w:sz w:val="24"/>
          <w:szCs w:val="24"/>
          <w:highlight w:val="none"/>
        </w:rPr>
        <w:t xml:space="preserve">行道树修剪，一年一次，按美观原则，于冬季进行。 </w:t>
      </w:r>
    </w:p>
    <w:p w14:paraId="57DD8020">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eastAsia="zh-CN"/>
        </w:rPr>
        <w:t>（6）</w:t>
      </w:r>
      <w:r>
        <w:rPr>
          <w:rFonts w:hint="eastAsia" w:ascii="宋体" w:hAnsi="宋体" w:eastAsia="宋体" w:cs="宋体"/>
          <w:color w:val="auto"/>
          <w:spacing w:val="-3"/>
          <w:sz w:val="24"/>
          <w:szCs w:val="24"/>
          <w:highlight w:val="none"/>
        </w:rPr>
        <w:t xml:space="preserve">一般树木修剪，必须按美观原则，随时进行。 </w:t>
      </w:r>
    </w:p>
    <w:p w14:paraId="63785EFF">
      <w:pPr>
        <w:spacing w:before="122" w:line="360" w:lineRule="auto"/>
        <w:ind w:firstLine="481"/>
        <w:jc w:val="both"/>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（7）如有影响和遮挡城市基础设施情况可依据要求进行修剪。</w:t>
      </w:r>
    </w:p>
    <w:p w14:paraId="4334E94D">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lang w:eastAsia="zh-CN"/>
        </w:rPr>
        <w:t>2</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lang w:eastAsia="zh-CN"/>
        </w:rPr>
        <w:t>4</w:t>
      </w:r>
      <w:r>
        <w:rPr>
          <w:rFonts w:hint="eastAsia" w:ascii="宋体" w:hAnsi="宋体" w:eastAsia="宋体" w:cs="宋体"/>
          <w:color w:val="auto"/>
          <w:spacing w:val="-3"/>
          <w:sz w:val="24"/>
          <w:szCs w:val="24"/>
          <w:highlight w:val="none"/>
        </w:rPr>
        <w:t xml:space="preserve">病虫害防治 </w:t>
      </w:r>
    </w:p>
    <w:p w14:paraId="732F914A">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eastAsia="zh-CN"/>
        </w:rPr>
        <w:t>（1）</w:t>
      </w:r>
      <w:r>
        <w:rPr>
          <w:rFonts w:hint="eastAsia" w:ascii="宋体" w:hAnsi="宋体" w:eastAsia="宋体" w:cs="宋体"/>
          <w:color w:val="auto"/>
          <w:spacing w:val="-3"/>
          <w:sz w:val="24"/>
          <w:szCs w:val="24"/>
          <w:highlight w:val="none"/>
        </w:rPr>
        <w:t xml:space="preserve">视病虫发生情况及时进行。 </w:t>
      </w:r>
    </w:p>
    <w:p w14:paraId="3B12F79D">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eastAsia="zh-CN"/>
        </w:rPr>
        <w:t>（2）</w:t>
      </w:r>
      <w:r>
        <w:rPr>
          <w:rFonts w:hint="eastAsia" w:ascii="宋体" w:hAnsi="宋体" w:eastAsia="宋体" w:cs="宋体"/>
          <w:color w:val="auto"/>
          <w:spacing w:val="-3"/>
          <w:sz w:val="24"/>
          <w:szCs w:val="24"/>
          <w:highlight w:val="none"/>
        </w:rPr>
        <w:t xml:space="preserve">其他寄生性植物及病害防治对象应及时清除。草坪锈病，大叶黄杨等灌木都应及时检查及时防治。喷洒药剂时做到均匀细致。事后要检查，对效果不好的要重新喷药，同一树种控制病虫株害率和死亡率。 </w:t>
      </w:r>
    </w:p>
    <w:p w14:paraId="07EBA6C3">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lang w:eastAsia="zh-CN"/>
        </w:rPr>
        <w:t>2</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lang w:eastAsia="zh-CN"/>
        </w:rPr>
        <w:t>5</w:t>
      </w:r>
      <w:r>
        <w:rPr>
          <w:rFonts w:hint="eastAsia" w:ascii="宋体" w:hAnsi="宋体" w:eastAsia="宋体" w:cs="宋体"/>
          <w:color w:val="auto"/>
          <w:spacing w:val="-3"/>
          <w:sz w:val="24"/>
          <w:szCs w:val="24"/>
          <w:highlight w:val="none"/>
        </w:rPr>
        <w:t xml:space="preserve">新种树木养护 </w:t>
      </w:r>
    </w:p>
    <w:p w14:paraId="75F80601">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eastAsia="zh-CN"/>
        </w:rPr>
        <w:t>（1）</w:t>
      </w:r>
      <w:r>
        <w:rPr>
          <w:rFonts w:hint="eastAsia" w:ascii="宋体" w:hAnsi="宋体" w:eastAsia="宋体" w:cs="宋体"/>
          <w:color w:val="auto"/>
          <w:spacing w:val="-3"/>
          <w:sz w:val="24"/>
          <w:szCs w:val="24"/>
          <w:highlight w:val="none"/>
        </w:rPr>
        <w:t xml:space="preserve">新种树木养护（工程养护期除外），第一次要浇透水，以后根据墒情及时浇水。无特殊原因成活率在95%以上。 </w:t>
      </w:r>
    </w:p>
    <w:p w14:paraId="29F35546">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eastAsia="zh-CN"/>
        </w:rPr>
        <w:t>（2）</w:t>
      </w:r>
      <w:r>
        <w:rPr>
          <w:rFonts w:hint="eastAsia" w:ascii="宋体" w:hAnsi="宋体" w:eastAsia="宋体" w:cs="宋体"/>
          <w:color w:val="auto"/>
          <w:spacing w:val="-3"/>
          <w:sz w:val="24"/>
          <w:szCs w:val="24"/>
          <w:highlight w:val="none"/>
        </w:rPr>
        <w:t>地被植物养护</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无特殊原因成活率</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面积比</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在95%以上，没有面积超过l平</w:t>
      </w:r>
      <w:r>
        <w:rPr>
          <w:rFonts w:hint="eastAsia" w:ascii="宋体" w:hAnsi="宋体" w:eastAsia="宋体" w:cs="宋体"/>
          <w:color w:val="auto"/>
          <w:spacing w:val="-3"/>
          <w:sz w:val="24"/>
          <w:szCs w:val="24"/>
          <w:highlight w:val="none"/>
          <w:lang w:eastAsia="zh-CN"/>
        </w:rPr>
        <w:t>方米</w:t>
      </w:r>
      <w:r>
        <w:rPr>
          <w:rFonts w:hint="eastAsia" w:ascii="宋体" w:hAnsi="宋体" w:eastAsia="宋体" w:cs="宋体"/>
          <w:color w:val="auto"/>
          <w:spacing w:val="-3"/>
          <w:sz w:val="24"/>
          <w:szCs w:val="24"/>
          <w:highlight w:val="none"/>
        </w:rPr>
        <w:t>以上的成块草皮死亡。</w:t>
      </w:r>
    </w:p>
    <w:p w14:paraId="1D9E9C0A">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lang w:eastAsia="zh-CN"/>
        </w:rPr>
        <w:t>2</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lang w:eastAsia="zh-CN"/>
        </w:rPr>
        <w:t>6</w:t>
      </w:r>
      <w:r>
        <w:rPr>
          <w:rFonts w:hint="eastAsia" w:ascii="宋体" w:hAnsi="宋体" w:eastAsia="宋体" w:cs="宋体"/>
          <w:color w:val="auto"/>
          <w:spacing w:val="-3"/>
          <w:sz w:val="24"/>
          <w:szCs w:val="24"/>
          <w:highlight w:val="none"/>
        </w:rPr>
        <w:t xml:space="preserve">干枯树枝、枯树的清理 </w:t>
      </w:r>
    </w:p>
    <w:p w14:paraId="757A185D">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eastAsia="zh-CN"/>
        </w:rPr>
        <w:t>（1）</w:t>
      </w:r>
      <w:r>
        <w:rPr>
          <w:rFonts w:hint="eastAsia" w:ascii="宋体" w:hAnsi="宋体" w:eastAsia="宋体" w:cs="宋体"/>
          <w:color w:val="auto"/>
          <w:spacing w:val="-3"/>
          <w:sz w:val="24"/>
          <w:szCs w:val="24"/>
          <w:highlight w:val="none"/>
        </w:rPr>
        <w:t xml:space="preserve">乔木的清除枯枝工作：高大行道树的清洁工作及时进行，不得挂树一周以上。 </w:t>
      </w:r>
    </w:p>
    <w:p w14:paraId="39720CB5">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eastAsia="zh-CN"/>
        </w:rPr>
        <w:t>（2）</w:t>
      </w:r>
      <w:r>
        <w:rPr>
          <w:rFonts w:hint="eastAsia" w:ascii="宋体" w:hAnsi="宋体" w:eastAsia="宋体" w:cs="宋体"/>
          <w:color w:val="auto"/>
          <w:spacing w:val="-3"/>
          <w:sz w:val="24"/>
          <w:szCs w:val="24"/>
          <w:highlight w:val="none"/>
        </w:rPr>
        <w:t xml:space="preserve">灌木绿篱的清除枯枝工作应随时进行，不得超过一周以上。 </w:t>
      </w:r>
    </w:p>
    <w:p w14:paraId="3A58C9D7">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eastAsia="zh-CN"/>
        </w:rPr>
        <w:t>（3）</w:t>
      </w:r>
      <w:r>
        <w:rPr>
          <w:rFonts w:hint="eastAsia" w:ascii="宋体" w:hAnsi="宋体" w:eastAsia="宋体" w:cs="宋体"/>
          <w:color w:val="auto"/>
          <w:spacing w:val="-3"/>
          <w:sz w:val="24"/>
          <w:szCs w:val="24"/>
          <w:highlight w:val="none"/>
        </w:rPr>
        <w:t xml:space="preserve">凡剔除、修剪、清理下来的树枝、死树等必须及时清运。 </w:t>
      </w:r>
    </w:p>
    <w:p w14:paraId="31F26D56">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lang w:eastAsia="zh-CN"/>
        </w:rPr>
        <w:t>2</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lang w:eastAsia="zh-CN"/>
        </w:rPr>
        <w:t>7</w:t>
      </w:r>
      <w:r>
        <w:rPr>
          <w:rFonts w:hint="eastAsia" w:ascii="宋体" w:hAnsi="宋体" w:eastAsia="宋体" w:cs="宋体"/>
          <w:color w:val="auto"/>
          <w:spacing w:val="-3"/>
          <w:sz w:val="24"/>
          <w:szCs w:val="24"/>
          <w:highlight w:val="none"/>
        </w:rPr>
        <w:t xml:space="preserve">抗旱、排涝 </w:t>
      </w:r>
    </w:p>
    <w:p w14:paraId="44E63D18">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eastAsia="zh-CN"/>
        </w:rPr>
        <w:t>（1）</w:t>
      </w:r>
      <w:r>
        <w:rPr>
          <w:rFonts w:hint="eastAsia" w:ascii="宋体" w:hAnsi="宋体" w:eastAsia="宋体" w:cs="宋体"/>
          <w:color w:val="auto"/>
          <w:spacing w:val="-3"/>
          <w:sz w:val="24"/>
          <w:szCs w:val="24"/>
          <w:highlight w:val="none"/>
        </w:rPr>
        <w:t xml:space="preserve">夏秋季经常关注墒情，一旦出现旱情立即组织浇水；秋冬两季普遍灌溉两次。 </w:t>
      </w:r>
    </w:p>
    <w:p w14:paraId="6446E243">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eastAsia="zh-CN"/>
        </w:rPr>
        <w:t>（2）</w:t>
      </w:r>
      <w:r>
        <w:rPr>
          <w:rFonts w:hint="eastAsia" w:ascii="宋体" w:hAnsi="宋体" w:eastAsia="宋体" w:cs="宋体"/>
          <w:color w:val="auto"/>
          <w:spacing w:val="-3"/>
          <w:sz w:val="24"/>
          <w:szCs w:val="24"/>
          <w:highlight w:val="none"/>
        </w:rPr>
        <w:t xml:space="preserve">非特殊情况下不得漫灌，杜绝浪费水资源。 </w:t>
      </w:r>
    </w:p>
    <w:p w14:paraId="615FBC81">
      <w:pPr>
        <w:spacing w:before="122" w:line="360" w:lineRule="auto"/>
        <w:ind w:firstLine="481"/>
        <w:jc w:val="both"/>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eastAsia="zh-CN"/>
        </w:rPr>
        <w:t>（3）</w:t>
      </w:r>
      <w:r>
        <w:rPr>
          <w:rFonts w:hint="eastAsia" w:ascii="宋体" w:hAnsi="宋体" w:eastAsia="宋体" w:cs="宋体"/>
          <w:color w:val="auto"/>
          <w:spacing w:val="6"/>
          <w:sz w:val="24"/>
          <w:szCs w:val="24"/>
          <w:highlight w:val="none"/>
        </w:rPr>
        <w:t xml:space="preserve">遇到持续强降雨天气出现涝情时，应及时采取相应排涝措施，防止花草树木因内涝死亡。 </w:t>
      </w:r>
    </w:p>
    <w:p w14:paraId="57B3EB1A">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lang w:eastAsia="zh-CN"/>
        </w:rPr>
        <w:t>2</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lang w:eastAsia="zh-CN"/>
        </w:rPr>
        <w:t>8</w:t>
      </w:r>
      <w:r>
        <w:rPr>
          <w:rFonts w:hint="eastAsia" w:ascii="宋体" w:hAnsi="宋体" w:eastAsia="宋体" w:cs="宋体"/>
          <w:color w:val="auto"/>
          <w:spacing w:val="-3"/>
          <w:sz w:val="24"/>
          <w:szCs w:val="24"/>
          <w:highlight w:val="none"/>
        </w:rPr>
        <w:t xml:space="preserve">防冻 </w:t>
      </w:r>
    </w:p>
    <w:p w14:paraId="0A8CC434">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 xml:space="preserve">冬季来临之前必须用保暖布条对个别树木进行保暖抗寒处理，遇到特别严寒天气时应对树冠进行保暖处理。 </w:t>
      </w:r>
    </w:p>
    <w:p w14:paraId="4A1D7F84">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lang w:eastAsia="zh-CN"/>
        </w:rPr>
        <w:t>2</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lang w:eastAsia="zh-CN"/>
        </w:rPr>
        <w:t>9</w:t>
      </w:r>
      <w:r>
        <w:rPr>
          <w:rFonts w:hint="eastAsia" w:ascii="宋体" w:hAnsi="宋体" w:eastAsia="宋体" w:cs="宋体"/>
          <w:color w:val="auto"/>
          <w:spacing w:val="-3"/>
          <w:sz w:val="24"/>
          <w:szCs w:val="24"/>
          <w:highlight w:val="none"/>
        </w:rPr>
        <w:t xml:space="preserve">施肥 </w:t>
      </w:r>
    </w:p>
    <w:p w14:paraId="602B703F">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eastAsia="zh-CN"/>
        </w:rPr>
        <w:t>（1）</w:t>
      </w:r>
      <w:r>
        <w:rPr>
          <w:rFonts w:hint="eastAsia" w:ascii="宋体" w:hAnsi="宋体" w:eastAsia="宋体" w:cs="宋体"/>
          <w:color w:val="auto"/>
          <w:spacing w:val="-3"/>
          <w:sz w:val="24"/>
          <w:szCs w:val="24"/>
          <w:highlight w:val="none"/>
        </w:rPr>
        <w:t xml:space="preserve">一般树木施肥，在冬季之前施肥一次，开沟施肥，施后覆土。 </w:t>
      </w:r>
    </w:p>
    <w:p w14:paraId="6A203D73">
      <w:pPr>
        <w:spacing w:before="122" w:line="360" w:lineRule="auto"/>
        <w:ind w:firstLine="481"/>
        <w:jc w:val="both"/>
        <w:rPr>
          <w:rFonts w:ascii="宋体" w:hAnsi="宋体" w:eastAsia="宋体" w:cs="宋体"/>
          <w:color w:val="auto"/>
          <w:spacing w:val="23"/>
          <w:sz w:val="24"/>
          <w:szCs w:val="24"/>
          <w:highlight w:val="none"/>
        </w:rPr>
      </w:pPr>
      <w:r>
        <w:rPr>
          <w:rFonts w:hint="eastAsia" w:ascii="宋体" w:hAnsi="宋体" w:eastAsia="宋体" w:cs="宋体"/>
          <w:color w:val="auto"/>
          <w:spacing w:val="34"/>
          <w:sz w:val="24"/>
          <w:szCs w:val="24"/>
          <w:highlight w:val="none"/>
          <w:lang w:eastAsia="zh-CN"/>
        </w:rPr>
        <w:t>（2）</w:t>
      </w:r>
      <w:r>
        <w:rPr>
          <w:rFonts w:hint="eastAsia" w:ascii="宋体" w:hAnsi="宋体" w:eastAsia="宋体" w:cs="宋体"/>
          <w:color w:val="auto"/>
          <w:spacing w:val="34"/>
          <w:sz w:val="24"/>
          <w:szCs w:val="24"/>
          <w:highlight w:val="none"/>
        </w:rPr>
        <w:t>低矮花灌木花坛施肥：一年</w:t>
      </w:r>
      <w:r>
        <w:rPr>
          <w:rFonts w:hint="eastAsia" w:ascii="宋体" w:hAnsi="宋体" w:eastAsia="宋体" w:cs="宋体"/>
          <w:color w:val="auto"/>
          <w:spacing w:val="34"/>
          <w:sz w:val="24"/>
          <w:szCs w:val="24"/>
          <w:highlight w:val="none"/>
          <w:lang w:eastAsia="zh-CN"/>
        </w:rPr>
        <w:t>两次</w:t>
      </w:r>
      <w:r>
        <w:rPr>
          <w:rFonts w:hint="eastAsia" w:ascii="宋体" w:hAnsi="宋体" w:eastAsia="宋体" w:cs="宋体"/>
          <w:color w:val="auto"/>
          <w:spacing w:val="34"/>
          <w:sz w:val="24"/>
          <w:szCs w:val="24"/>
          <w:highlight w:val="none"/>
        </w:rPr>
        <w:t>。秋季修剪后重施基肥一次</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pacing w:val="34"/>
          <w:sz w:val="24"/>
          <w:szCs w:val="24"/>
          <w:highlight w:val="none"/>
        </w:rPr>
        <w:t>春季开花前一次。</w:t>
      </w:r>
      <w:r>
        <w:rPr>
          <w:rFonts w:hint="eastAsia" w:ascii="宋体" w:hAnsi="宋体" w:eastAsia="宋体" w:cs="宋体"/>
          <w:color w:val="auto"/>
          <w:spacing w:val="23"/>
          <w:sz w:val="24"/>
          <w:szCs w:val="24"/>
          <w:highlight w:val="none"/>
        </w:rPr>
        <w:t xml:space="preserve"> </w:t>
      </w:r>
    </w:p>
    <w:p w14:paraId="04E444DB">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23"/>
          <w:sz w:val="24"/>
          <w:szCs w:val="24"/>
          <w:highlight w:val="none"/>
          <w:lang w:eastAsia="zh-CN"/>
        </w:rPr>
        <w:t>（3）</w:t>
      </w:r>
      <w:r>
        <w:rPr>
          <w:rFonts w:hint="eastAsia" w:ascii="宋体" w:hAnsi="宋体" w:eastAsia="宋体" w:cs="宋体"/>
          <w:color w:val="auto"/>
          <w:spacing w:val="23"/>
          <w:sz w:val="24"/>
          <w:szCs w:val="24"/>
          <w:highlight w:val="none"/>
        </w:rPr>
        <w:t>地被植物施肥：一年</w:t>
      </w:r>
      <w:r>
        <w:rPr>
          <w:rFonts w:hint="eastAsia" w:ascii="宋体" w:hAnsi="宋体" w:eastAsia="宋体" w:cs="宋体"/>
          <w:color w:val="auto"/>
          <w:spacing w:val="23"/>
          <w:sz w:val="24"/>
          <w:szCs w:val="24"/>
          <w:highlight w:val="none"/>
          <w:lang w:eastAsia="zh-CN"/>
        </w:rPr>
        <w:t>两次</w:t>
      </w:r>
      <w:r>
        <w:rPr>
          <w:rFonts w:hint="eastAsia" w:ascii="宋体" w:hAnsi="宋体" w:eastAsia="宋体" w:cs="宋体"/>
          <w:color w:val="auto"/>
          <w:spacing w:val="23"/>
          <w:sz w:val="24"/>
          <w:szCs w:val="24"/>
          <w:highlight w:val="none"/>
        </w:rPr>
        <w:t>，草坪可在下雨之前以化肥为主撒肥，天晴施肥必须随后喷水，以防肥伤。</w:t>
      </w:r>
    </w:p>
    <w:p w14:paraId="3BB11FD0">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lang w:eastAsia="zh-CN"/>
        </w:rPr>
        <w:t>2</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lang w:eastAsia="zh-CN"/>
        </w:rPr>
        <w:t>10</w:t>
      </w:r>
      <w:r>
        <w:rPr>
          <w:rFonts w:hint="eastAsia" w:ascii="宋体" w:hAnsi="宋体" w:eastAsia="宋体" w:cs="宋体"/>
          <w:color w:val="auto"/>
          <w:spacing w:val="-3"/>
          <w:sz w:val="24"/>
          <w:szCs w:val="24"/>
          <w:highlight w:val="none"/>
        </w:rPr>
        <w:t xml:space="preserve">部分行道树涂白 </w:t>
      </w:r>
    </w:p>
    <w:p w14:paraId="570599AA">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eastAsia="zh-CN"/>
        </w:rPr>
        <w:t>（1）</w:t>
      </w:r>
      <w:r>
        <w:rPr>
          <w:rFonts w:hint="eastAsia" w:ascii="宋体" w:hAnsi="宋体" w:eastAsia="宋体" w:cs="宋体"/>
          <w:color w:val="auto"/>
          <w:spacing w:val="-3"/>
          <w:sz w:val="24"/>
          <w:szCs w:val="24"/>
          <w:highlight w:val="none"/>
        </w:rPr>
        <w:t xml:space="preserve">使用正规的行道树涂白剂，确保杀虫、消毒、保暖效果； </w:t>
      </w:r>
    </w:p>
    <w:p w14:paraId="036F91BA">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eastAsia="zh-CN"/>
        </w:rPr>
        <w:t>（2）</w:t>
      </w:r>
      <w:r>
        <w:rPr>
          <w:rFonts w:hint="eastAsia" w:ascii="宋体" w:hAnsi="宋体" w:eastAsia="宋体" w:cs="宋体"/>
          <w:color w:val="auto"/>
          <w:spacing w:val="-3"/>
          <w:sz w:val="24"/>
          <w:szCs w:val="24"/>
          <w:highlight w:val="none"/>
        </w:rPr>
        <w:t xml:space="preserve">涂白高度1米，涂白前应先去除死皮，周身涂抹，涂抹均匀，美观。 </w:t>
      </w:r>
    </w:p>
    <w:p w14:paraId="338FCF30">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lang w:eastAsia="zh-CN"/>
        </w:rPr>
        <w:t>2</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lang w:eastAsia="zh-CN"/>
        </w:rPr>
        <w:t>11</w:t>
      </w:r>
      <w:r>
        <w:rPr>
          <w:rFonts w:hint="eastAsia" w:ascii="宋体" w:hAnsi="宋体" w:eastAsia="宋体" w:cs="宋体"/>
          <w:color w:val="auto"/>
          <w:spacing w:val="-3"/>
          <w:sz w:val="24"/>
          <w:szCs w:val="24"/>
          <w:highlight w:val="none"/>
        </w:rPr>
        <w:t xml:space="preserve">绿地保洁 </w:t>
      </w:r>
    </w:p>
    <w:p w14:paraId="70FCA13F">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 xml:space="preserve">及时清理绿化带内的落叶、树枝等垃圾，及时清运。 </w:t>
      </w:r>
    </w:p>
    <w:p w14:paraId="7000ADBF">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lang w:eastAsia="zh-CN"/>
        </w:rPr>
        <w:t>2</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lang w:eastAsia="zh-CN"/>
        </w:rPr>
        <w:t>12其他</w:t>
      </w:r>
      <w:r>
        <w:rPr>
          <w:rFonts w:hint="eastAsia" w:ascii="宋体" w:hAnsi="宋体" w:eastAsia="宋体" w:cs="宋体"/>
          <w:color w:val="auto"/>
          <w:spacing w:val="-3"/>
          <w:sz w:val="24"/>
          <w:szCs w:val="24"/>
          <w:highlight w:val="none"/>
        </w:rPr>
        <w:t xml:space="preserve">要求 </w:t>
      </w:r>
    </w:p>
    <w:p w14:paraId="3428C980">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配备足够必要的绿化养护机具。</w:t>
      </w:r>
    </w:p>
    <w:p w14:paraId="359A2E78">
      <w:pPr>
        <w:spacing w:before="122" w:line="360" w:lineRule="auto"/>
        <w:ind w:firstLine="481"/>
        <w:jc w:val="both"/>
        <w:rPr>
          <w:rFonts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lang w:val="en-US" w:eastAsia="zh-CN"/>
        </w:rPr>
        <w:t>2</w:t>
      </w:r>
      <w:r>
        <w:rPr>
          <w:rFonts w:hint="eastAsia" w:ascii="宋体" w:hAnsi="宋体" w:eastAsia="宋体" w:cs="宋体"/>
          <w:b/>
          <w:bCs/>
          <w:color w:val="auto"/>
          <w:spacing w:val="-3"/>
          <w:sz w:val="24"/>
          <w:szCs w:val="24"/>
          <w:highlight w:val="none"/>
        </w:rPr>
        <w:t>、安全标准</w:t>
      </w:r>
    </w:p>
    <w:p w14:paraId="7675CAD1">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（1）在机动车道、人员流动的场地作业时，要摆放安全锥桶。</w:t>
      </w:r>
    </w:p>
    <w:p w14:paraId="40937594">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（2）高压水枪作业时，不得影响行人通行。</w:t>
      </w:r>
    </w:p>
    <w:p w14:paraId="2EABCC40">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（3）严禁高压水枪向带电设施喷水。</w:t>
      </w:r>
    </w:p>
    <w:p w14:paraId="5C14BF64">
      <w:pPr>
        <w:spacing w:before="122" w:line="360" w:lineRule="auto"/>
        <w:ind w:firstLine="481"/>
        <w:jc w:val="both"/>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（4）登高作业时，架梯要支架牢固。</w:t>
      </w:r>
    </w:p>
    <w:p w14:paraId="0F8CAE08">
      <w:pPr>
        <w:spacing w:before="122" w:line="360" w:lineRule="auto"/>
        <w:ind w:firstLine="481"/>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（5）行车时，遵守交通法规，文明行车。</w:t>
      </w:r>
    </w:p>
    <w:p w14:paraId="3B265BAE">
      <w:pPr>
        <w:spacing w:before="122" w:line="360" w:lineRule="auto"/>
        <w:ind w:firstLine="481"/>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（6）人员作业时，佩戴好防护用品，穿戴安全服。</w:t>
      </w:r>
    </w:p>
    <w:p w14:paraId="6DD40092">
      <w:pPr>
        <w:spacing w:before="122" w:line="360" w:lineRule="auto"/>
        <w:ind w:firstLine="481"/>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道路清扫保洁标准参照《城市道路清扫保洁与质量评价标准》执行，其余未尽事宜参照国家相关法律法规执行。</w:t>
      </w:r>
    </w:p>
    <w:p w14:paraId="2F50CF67">
      <w:pPr>
        <w:spacing w:before="122" w:line="360" w:lineRule="auto"/>
        <w:ind w:firstLine="481"/>
        <w:jc w:val="both"/>
        <w:rPr>
          <w:rFonts w:hint="eastAsia" w:ascii="宋体" w:hAnsi="宋体" w:eastAsia="宋体" w:cs="宋体"/>
          <w:b/>
          <w:bCs/>
          <w:color w:val="auto"/>
          <w:spacing w:val="-3"/>
          <w:sz w:val="24"/>
          <w:szCs w:val="24"/>
          <w:highlight w:val="none"/>
          <w:lang w:eastAsia="zh-CN"/>
        </w:rPr>
      </w:pPr>
      <w:r>
        <w:rPr>
          <w:rFonts w:hint="eastAsia" w:ascii="宋体" w:hAnsi="宋体" w:eastAsia="宋体" w:cs="宋体"/>
          <w:b/>
          <w:bCs/>
          <w:color w:val="auto"/>
          <w:spacing w:val="-3"/>
          <w:sz w:val="24"/>
          <w:szCs w:val="24"/>
          <w:highlight w:val="none"/>
          <w:lang w:val="en-US" w:eastAsia="zh-CN"/>
        </w:rPr>
        <w:t>3、</w:t>
      </w:r>
      <w:r>
        <w:rPr>
          <w:rFonts w:hint="eastAsia" w:ascii="宋体" w:hAnsi="宋体" w:eastAsia="宋体" w:cs="宋体"/>
          <w:b/>
          <w:bCs/>
          <w:color w:val="auto"/>
          <w:spacing w:val="-3"/>
          <w:sz w:val="24"/>
          <w:szCs w:val="24"/>
          <w:highlight w:val="none"/>
          <w:lang w:val="en-US" w:eastAsia="en-US"/>
        </w:rPr>
        <w:t>合同履行期限：自合同签订之日起服务期三年</w:t>
      </w:r>
      <w:r>
        <w:rPr>
          <w:rFonts w:hint="eastAsia" w:ascii="宋体" w:hAnsi="宋体" w:eastAsia="宋体" w:cs="宋体"/>
          <w:b/>
          <w:bCs/>
          <w:color w:val="auto"/>
          <w:spacing w:val="-3"/>
          <w:sz w:val="24"/>
          <w:szCs w:val="24"/>
          <w:highlight w:val="none"/>
          <w:lang w:val="en-US" w:eastAsia="zh-CN"/>
        </w:rPr>
        <w:t>。</w:t>
      </w:r>
    </w:p>
    <w:p w14:paraId="058044F2">
      <w:pPr>
        <w:spacing w:before="1" w:line="218" w:lineRule="auto"/>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★四、采购标的的其他技术、服务等要求</w:t>
      </w:r>
    </w:p>
    <w:p w14:paraId="670FF543">
      <w:pPr>
        <w:spacing w:before="122" w:line="360" w:lineRule="auto"/>
        <w:ind w:firstLine="481"/>
        <w:jc w:val="both"/>
        <w:rPr>
          <w:rFonts w:hint="eastAsia" w:ascii="宋体" w:hAnsi="宋体" w:eastAsia="宋体" w:cs="宋体"/>
          <w:b/>
          <w:bCs/>
          <w:color w:val="auto"/>
          <w:spacing w:val="-3"/>
          <w:sz w:val="24"/>
          <w:szCs w:val="24"/>
          <w:highlight w:val="none"/>
        </w:rPr>
      </w:pPr>
      <w:r>
        <w:rPr>
          <w:rFonts w:hint="eastAsia" w:ascii="宋体" w:hAnsi="宋体" w:eastAsia="宋体" w:cs="宋体"/>
          <w:color w:val="auto"/>
          <w:spacing w:val="-3"/>
          <w:sz w:val="24"/>
          <w:szCs w:val="24"/>
          <w:highlight w:val="none"/>
        </w:rPr>
        <w:t>1、投标人应就本项目完整投标，</w:t>
      </w:r>
      <w:r>
        <w:rPr>
          <w:rFonts w:hint="eastAsia" w:ascii="宋体" w:hAnsi="宋体" w:eastAsia="宋体" w:cs="宋体"/>
          <w:b/>
          <w:bCs/>
          <w:color w:val="auto"/>
          <w:spacing w:val="-3"/>
          <w:sz w:val="24"/>
          <w:szCs w:val="24"/>
          <w:highlight w:val="none"/>
        </w:rPr>
        <w:t>否则为无效投标。</w:t>
      </w:r>
    </w:p>
    <w:p w14:paraId="7413EEF1">
      <w:pPr>
        <w:spacing w:before="122" w:line="360" w:lineRule="auto"/>
        <w:ind w:firstLine="481"/>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2、投标文件中须有技术(实施)方案，</w:t>
      </w:r>
      <w:r>
        <w:rPr>
          <w:rFonts w:hint="eastAsia" w:ascii="宋体" w:hAnsi="宋体" w:eastAsia="宋体" w:cs="宋体"/>
          <w:b/>
          <w:bCs/>
          <w:color w:val="auto"/>
          <w:spacing w:val="-3"/>
          <w:sz w:val="24"/>
          <w:szCs w:val="24"/>
          <w:highlight w:val="none"/>
        </w:rPr>
        <w:t>否则为无效投标。</w:t>
      </w:r>
    </w:p>
    <w:p w14:paraId="4EE89C4F">
      <w:pPr>
        <w:spacing w:before="122" w:line="360" w:lineRule="auto"/>
        <w:ind w:firstLine="481"/>
        <w:jc w:val="both"/>
        <w:rPr>
          <w:rFonts w:hint="eastAsia" w:ascii="宋体" w:hAnsi="宋体" w:eastAsia="宋体" w:cs="宋体"/>
          <w:color w:val="auto"/>
          <w:spacing w:val="23"/>
          <w:sz w:val="24"/>
          <w:szCs w:val="24"/>
          <w:highlight w:val="none"/>
        </w:rPr>
      </w:pPr>
      <w:r>
        <w:rPr>
          <w:rFonts w:hint="eastAsia" w:ascii="宋体" w:hAnsi="宋体" w:eastAsia="宋体" w:cs="宋体"/>
          <w:color w:val="auto"/>
          <w:spacing w:val="23"/>
          <w:sz w:val="24"/>
          <w:szCs w:val="24"/>
          <w:highlight w:val="none"/>
        </w:rPr>
        <w:t>3、投标人中标后提供现场技术培训，保证使用人员能够正确操作、使用设备的各种功能。</w:t>
      </w:r>
    </w:p>
    <w:p w14:paraId="5687C920">
      <w:pPr>
        <w:spacing w:before="122" w:line="360" w:lineRule="auto"/>
        <w:ind w:firstLine="481"/>
        <w:jc w:val="both"/>
        <w:rPr>
          <w:rFonts w:ascii="宋体" w:hAnsi="宋体" w:eastAsia="宋体" w:cs="宋体"/>
          <w:b/>
          <w:bCs/>
          <w:color w:val="auto"/>
          <w:spacing w:val="-1"/>
          <w:sz w:val="24"/>
          <w:szCs w:val="24"/>
          <w:highlight w:val="none"/>
        </w:rPr>
      </w:pPr>
      <w:r>
        <w:rPr>
          <w:rFonts w:hint="eastAsia" w:ascii="宋体" w:hAnsi="宋体" w:eastAsia="宋体" w:cs="宋体"/>
          <w:color w:val="auto"/>
          <w:spacing w:val="-3"/>
          <w:sz w:val="24"/>
          <w:szCs w:val="24"/>
          <w:highlight w:val="none"/>
        </w:rPr>
        <w:t>4、</w:t>
      </w:r>
      <w:r>
        <w:rPr>
          <w:rFonts w:hint="eastAsia" w:ascii="宋体" w:hAnsi="宋体" w:eastAsia="宋体" w:cs="宋体"/>
          <w:b/>
          <w:bCs/>
          <w:color w:val="auto"/>
          <w:spacing w:val="-3"/>
          <w:sz w:val="24"/>
          <w:szCs w:val="24"/>
          <w:highlight w:val="none"/>
        </w:rPr>
        <w:t>中标人在中标后7日内须取得“城市生活垃圾经营性清扫、收集、运输服务许可”的行政许可，否则取消其中标资格。</w:t>
      </w:r>
    </w:p>
    <w:p w14:paraId="45E22B3B">
      <w:pPr>
        <w:spacing w:before="154" w:line="339" w:lineRule="auto"/>
        <w:ind w:right="77"/>
        <w:rPr>
          <w:rFonts w:ascii="宋体" w:hAnsi="宋体" w:eastAsia="宋体" w:cs="宋体"/>
          <w:b w:val="0"/>
          <w:bCs w:val="0"/>
          <w:color w:val="auto"/>
          <w:sz w:val="24"/>
          <w:szCs w:val="24"/>
          <w:highlight w:val="none"/>
        </w:rPr>
      </w:pPr>
      <w:r>
        <w:rPr>
          <w:rFonts w:ascii="宋体" w:hAnsi="宋体" w:eastAsia="宋体" w:cs="宋体"/>
          <w:b/>
          <w:bCs/>
          <w:color w:val="auto"/>
          <w:spacing w:val="-1"/>
          <w:sz w:val="24"/>
          <w:szCs w:val="24"/>
          <w:highlight w:val="none"/>
        </w:rPr>
        <w:t>★五、本项目预算金额：</w:t>
      </w:r>
      <w:r>
        <w:rPr>
          <w:rFonts w:hint="eastAsia" w:ascii="宋体" w:hAnsi="宋体" w:eastAsia="宋体" w:cs="宋体"/>
          <w:b/>
          <w:bCs/>
          <w:color w:val="auto"/>
          <w:spacing w:val="-1"/>
          <w:sz w:val="24"/>
          <w:szCs w:val="24"/>
          <w:highlight w:val="none"/>
          <w:lang w:val="en-US" w:eastAsia="zh-CN"/>
        </w:rPr>
        <w:t>1624261.5</w:t>
      </w:r>
      <w:r>
        <w:rPr>
          <w:rFonts w:ascii="宋体" w:hAnsi="宋体" w:eastAsia="宋体" w:cs="宋体"/>
          <w:b/>
          <w:bCs/>
          <w:color w:val="auto"/>
          <w:spacing w:val="-1"/>
          <w:sz w:val="24"/>
          <w:szCs w:val="24"/>
          <w:highlight w:val="none"/>
        </w:rPr>
        <w:t>元</w:t>
      </w:r>
      <w:r>
        <w:rPr>
          <w:rFonts w:hint="eastAsia" w:ascii="宋体" w:hAnsi="宋体" w:eastAsia="宋体" w:cs="宋体"/>
          <w:b/>
          <w:bCs/>
          <w:color w:val="auto"/>
          <w:spacing w:val="-1"/>
          <w:sz w:val="24"/>
          <w:szCs w:val="24"/>
          <w:highlight w:val="none"/>
          <w:lang w:val="en-US" w:eastAsia="zh-CN"/>
        </w:rPr>
        <w:t>/三年</w:t>
      </w:r>
      <w:r>
        <w:rPr>
          <w:rFonts w:ascii="宋体" w:hAnsi="宋体" w:eastAsia="宋体" w:cs="宋体"/>
          <w:b/>
          <w:bCs/>
          <w:color w:val="auto"/>
          <w:spacing w:val="-1"/>
          <w:sz w:val="24"/>
          <w:szCs w:val="24"/>
          <w:highlight w:val="none"/>
        </w:rPr>
        <w:t>（财政资金</w:t>
      </w:r>
      <w:r>
        <w:rPr>
          <w:rFonts w:ascii="宋体" w:hAnsi="宋体" w:eastAsia="宋体" w:cs="宋体"/>
          <w:b/>
          <w:bCs/>
          <w:color w:val="auto"/>
          <w:spacing w:val="17"/>
          <w:sz w:val="24"/>
          <w:szCs w:val="24"/>
          <w:highlight w:val="none"/>
        </w:rPr>
        <w:t>），</w:t>
      </w:r>
      <w:r>
        <w:rPr>
          <w:rFonts w:ascii="宋体" w:hAnsi="宋体" w:eastAsia="宋体" w:cs="宋体"/>
          <w:b/>
          <w:bCs/>
          <w:color w:val="auto"/>
          <w:spacing w:val="-1"/>
          <w:sz w:val="24"/>
          <w:szCs w:val="24"/>
          <w:highlight w:val="none"/>
        </w:rPr>
        <w:t>最高限价：</w:t>
      </w:r>
      <w:r>
        <w:rPr>
          <w:rFonts w:hint="eastAsia" w:ascii="宋体" w:hAnsi="宋体" w:eastAsia="宋体" w:cs="宋体"/>
          <w:b/>
          <w:bCs/>
          <w:color w:val="auto"/>
          <w:spacing w:val="-1"/>
          <w:sz w:val="24"/>
          <w:szCs w:val="24"/>
          <w:highlight w:val="none"/>
          <w:lang w:val="en-US" w:eastAsia="zh-CN"/>
        </w:rPr>
        <w:t>1624261.5</w:t>
      </w:r>
      <w:r>
        <w:rPr>
          <w:rFonts w:ascii="宋体" w:hAnsi="宋体" w:eastAsia="宋体" w:cs="宋体"/>
          <w:b/>
          <w:bCs/>
          <w:color w:val="auto"/>
          <w:spacing w:val="-1"/>
          <w:sz w:val="24"/>
          <w:szCs w:val="24"/>
          <w:highlight w:val="none"/>
        </w:rPr>
        <w:t>元</w:t>
      </w:r>
      <w:r>
        <w:rPr>
          <w:rFonts w:hint="eastAsia" w:ascii="宋体" w:hAnsi="宋体" w:eastAsia="宋体" w:cs="宋体"/>
          <w:b/>
          <w:bCs/>
          <w:color w:val="auto"/>
          <w:spacing w:val="-1"/>
          <w:sz w:val="24"/>
          <w:szCs w:val="24"/>
          <w:highlight w:val="none"/>
          <w:lang w:val="en-US" w:eastAsia="zh-CN"/>
        </w:rPr>
        <w:t>/三年</w:t>
      </w:r>
      <w:r>
        <w:rPr>
          <w:rFonts w:ascii="宋体" w:hAnsi="宋体" w:eastAsia="宋体" w:cs="宋体"/>
          <w:b/>
          <w:bCs/>
          <w:color w:val="auto"/>
          <w:spacing w:val="-1"/>
          <w:sz w:val="24"/>
          <w:szCs w:val="24"/>
          <w:highlight w:val="none"/>
        </w:rPr>
        <w:t>，超出最</w:t>
      </w:r>
      <w:r>
        <w:rPr>
          <w:rFonts w:ascii="宋体" w:hAnsi="宋体" w:eastAsia="宋体" w:cs="宋体"/>
          <w:b/>
          <w:bCs/>
          <w:color w:val="auto"/>
          <w:spacing w:val="-4"/>
          <w:sz w:val="24"/>
          <w:szCs w:val="24"/>
          <w:highlight w:val="none"/>
        </w:rPr>
        <w:t>高限价的磋商响应无效。</w:t>
      </w:r>
    </w:p>
    <w:p w14:paraId="1C18DEEE">
      <w:pPr>
        <w:spacing w:before="1" w:line="219" w:lineRule="auto"/>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六、验收标准</w:t>
      </w:r>
    </w:p>
    <w:p w14:paraId="76951840">
      <w:pPr>
        <w:spacing w:before="122" w:line="360" w:lineRule="auto"/>
        <w:ind w:firstLine="481"/>
        <w:jc w:val="both"/>
        <w:rPr>
          <w:rFonts w:hint="eastAsia" w:ascii="宋体" w:hAnsi="宋体" w:eastAsia="宋体" w:cs="宋体"/>
          <w:color w:val="auto"/>
          <w:spacing w:val="17"/>
          <w:sz w:val="24"/>
          <w:szCs w:val="24"/>
          <w:highlight w:val="none"/>
        </w:rPr>
      </w:pPr>
      <w:r>
        <w:rPr>
          <w:rFonts w:hint="eastAsia" w:ascii="宋体" w:hAnsi="宋体" w:eastAsia="宋体" w:cs="宋体"/>
          <w:color w:val="auto"/>
          <w:spacing w:val="17"/>
          <w:sz w:val="24"/>
          <w:szCs w:val="24"/>
          <w:highlight w:val="none"/>
        </w:rPr>
        <w:t>1、由采购人成立验收小组，按照采购合同的约定对中标人履约情况进行验收。验收时，按照采购合同的约定对每一项技术、服务、安全标准的履约情况进行确认。验收结束后，出具验收书，列明各项标准的验收情况及项目总体评价，由参与验收方共同签署。</w:t>
      </w:r>
    </w:p>
    <w:p w14:paraId="141A257F">
      <w:pPr>
        <w:spacing w:before="122" w:line="360" w:lineRule="auto"/>
        <w:ind w:firstLine="481"/>
        <w:jc w:val="both"/>
        <w:rPr>
          <w:rFonts w:hint="eastAsia" w:ascii="宋体" w:hAnsi="宋体" w:eastAsia="宋体" w:cs="宋体"/>
          <w:color w:val="auto"/>
          <w:spacing w:val="17"/>
          <w:sz w:val="24"/>
          <w:szCs w:val="24"/>
          <w:highlight w:val="none"/>
        </w:rPr>
      </w:pPr>
      <w:r>
        <w:rPr>
          <w:rFonts w:hint="eastAsia" w:ascii="宋体" w:hAnsi="宋体" w:eastAsia="宋体" w:cs="宋体"/>
          <w:color w:val="auto"/>
          <w:spacing w:val="17"/>
          <w:sz w:val="24"/>
          <w:szCs w:val="24"/>
          <w:highlight w:val="none"/>
        </w:rPr>
        <w:t>2、按照招标文件要求、投标文件响应和承诺验收。</w:t>
      </w:r>
    </w:p>
    <w:p w14:paraId="1555287D">
      <w:pPr>
        <w:spacing w:before="122" w:line="360" w:lineRule="auto"/>
        <w:ind w:firstLine="481"/>
        <w:jc w:val="both"/>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3、满足国家、省、市相关规范及其他相关专业现行规范要求，符合招标人验收的有关要求。</w:t>
      </w:r>
    </w:p>
    <w:p w14:paraId="52892D84">
      <w:pPr>
        <w:spacing w:before="122" w:line="360" w:lineRule="auto"/>
        <w:jc w:val="both"/>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七、付款方式</w:t>
      </w:r>
    </w:p>
    <w:p w14:paraId="020F4169">
      <w:pPr>
        <w:spacing w:before="122" w:line="360" w:lineRule="auto"/>
        <w:ind w:firstLine="481"/>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1、支付方式：银行转账。</w:t>
      </w:r>
    </w:p>
    <w:p w14:paraId="29098CF8">
      <w:pPr>
        <w:spacing w:before="122" w:line="360" w:lineRule="auto"/>
        <w:ind w:firstLine="481"/>
        <w:jc w:val="both"/>
        <w:rPr>
          <w:rFonts w:hint="eastAsia" w:ascii="宋体" w:hAnsi="宋体" w:eastAsia="宋体" w:cs="宋体"/>
          <w:color w:val="auto"/>
          <w:spacing w:val="23"/>
          <w:sz w:val="24"/>
          <w:szCs w:val="24"/>
          <w:highlight w:val="none"/>
        </w:rPr>
      </w:pPr>
      <w:r>
        <w:rPr>
          <w:rFonts w:hint="eastAsia" w:ascii="宋体" w:hAnsi="宋体" w:eastAsia="宋体" w:cs="宋体"/>
          <w:color w:val="auto"/>
          <w:spacing w:val="23"/>
          <w:sz w:val="24"/>
          <w:szCs w:val="24"/>
          <w:highlight w:val="none"/>
        </w:rPr>
        <w:t>2、支付时间及条件：按政府采购资金拨付程序执行。</w:t>
      </w:r>
    </w:p>
    <w:p w14:paraId="17DE486C">
      <w:pPr>
        <w:spacing w:before="122" w:line="360" w:lineRule="auto"/>
        <w:ind w:firstLine="481"/>
        <w:jc w:val="both"/>
        <w:rPr>
          <w:rFonts w:hint="eastAsia" w:ascii="宋体" w:hAnsi="宋体" w:eastAsia="宋体" w:cs="宋体"/>
          <w:color w:val="auto"/>
          <w:spacing w:val="-3"/>
          <w:sz w:val="24"/>
          <w:szCs w:val="24"/>
          <w:highlight w:val="none"/>
        </w:rPr>
      </w:pPr>
    </w:p>
    <w:p w14:paraId="7B55DDF9">
      <w:pPr>
        <w:spacing w:before="122" w:line="360" w:lineRule="auto"/>
        <w:ind w:firstLine="481"/>
        <w:jc w:val="both"/>
        <w:rPr>
          <w:rFonts w:hint="eastAsia" w:ascii="宋体" w:hAnsi="宋体" w:eastAsia="宋体" w:cs="宋体"/>
          <w:color w:val="auto"/>
          <w:spacing w:val="-3"/>
          <w:sz w:val="24"/>
          <w:szCs w:val="24"/>
          <w:highlight w:val="none"/>
        </w:rPr>
      </w:pPr>
    </w:p>
    <w:p w14:paraId="163B506C">
      <w:pPr>
        <w:spacing w:before="122" w:line="360" w:lineRule="auto"/>
        <w:ind w:firstLine="481"/>
        <w:jc w:val="both"/>
        <w:rPr>
          <w:rFonts w:hint="eastAsia" w:ascii="宋体" w:hAnsi="宋体" w:eastAsia="宋体" w:cs="宋体"/>
          <w:color w:val="auto"/>
          <w:spacing w:val="-3"/>
          <w:sz w:val="24"/>
          <w:szCs w:val="24"/>
          <w:highlight w:val="none"/>
        </w:rPr>
      </w:pPr>
    </w:p>
    <w:p w14:paraId="26498197">
      <w:pPr>
        <w:spacing w:before="122" w:line="360" w:lineRule="auto"/>
        <w:ind w:firstLine="481"/>
        <w:jc w:val="both"/>
        <w:rPr>
          <w:rFonts w:hint="eastAsia" w:ascii="宋体" w:hAnsi="宋体" w:eastAsia="宋体" w:cs="宋体"/>
          <w:color w:val="auto"/>
          <w:spacing w:val="-3"/>
          <w:sz w:val="24"/>
          <w:szCs w:val="24"/>
          <w:highlight w:val="none"/>
        </w:rPr>
      </w:pPr>
    </w:p>
    <w:p w14:paraId="48B6C24E">
      <w:pPr>
        <w:spacing w:before="122" w:line="360" w:lineRule="auto"/>
        <w:ind w:firstLine="481"/>
        <w:jc w:val="both"/>
        <w:rPr>
          <w:rFonts w:hint="eastAsia" w:ascii="宋体" w:hAnsi="宋体" w:eastAsia="宋体" w:cs="宋体"/>
          <w:color w:val="auto"/>
          <w:spacing w:val="-3"/>
          <w:sz w:val="24"/>
          <w:szCs w:val="24"/>
          <w:highlight w:val="none"/>
        </w:rPr>
      </w:pPr>
    </w:p>
    <w:p w14:paraId="6E9C0C5A">
      <w:pPr>
        <w:spacing w:before="122" w:line="360" w:lineRule="auto"/>
        <w:ind w:firstLine="481"/>
        <w:jc w:val="both"/>
        <w:rPr>
          <w:rFonts w:hint="eastAsia" w:ascii="宋体" w:hAnsi="宋体" w:eastAsia="宋体" w:cs="宋体"/>
          <w:color w:val="auto"/>
          <w:spacing w:val="-3"/>
          <w:sz w:val="24"/>
          <w:szCs w:val="24"/>
          <w:highlight w:val="none"/>
        </w:rPr>
      </w:pPr>
    </w:p>
    <w:p w14:paraId="527DC210">
      <w:pPr>
        <w:spacing w:before="122" w:line="360" w:lineRule="auto"/>
        <w:ind w:firstLine="481"/>
        <w:jc w:val="both"/>
        <w:rPr>
          <w:rFonts w:hint="eastAsia" w:ascii="宋体" w:hAnsi="宋体" w:eastAsia="宋体" w:cs="宋体"/>
          <w:color w:val="auto"/>
          <w:spacing w:val="-3"/>
          <w:sz w:val="24"/>
          <w:szCs w:val="24"/>
          <w:highlight w:val="none"/>
        </w:rPr>
      </w:pPr>
    </w:p>
    <w:p w14:paraId="4898897B">
      <w:pPr>
        <w:spacing w:before="122" w:line="360" w:lineRule="auto"/>
        <w:ind w:firstLine="481"/>
        <w:jc w:val="both"/>
        <w:rPr>
          <w:rFonts w:hint="eastAsia" w:ascii="宋体" w:hAnsi="宋体" w:eastAsia="宋体" w:cs="宋体"/>
          <w:color w:val="auto"/>
          <w:spacing w:val="-3"/>
          <w:sz w:val="24"/>
          <w:szCs w:val="24"/>
          <w:highlight w:val="none"/>
        </w:rPr>
      </w:pPr>
    </w:p>
    <w:p w14:paraId="1429C918">
      <w:pPr>
        <w:spacing w:before="122" w:line="360" w:lineRule="auto"/>
        <w:ind w:firstLine="481"/>
        <w:jc w:val="both"/>
        <w:rPr>
          <w:rFonts w:hint="eastAsia" w:ascii="宋体" w:hAnsi="宋体" w:eastAsia="宋体" w:cs="宋体"/>
          <w:color w:val="auto"/>
          <w:spacing w:val="-3"/>
          <w:sz w:val="24"/>
          <w:szCs w:val="24"/>
          <w:highlight w:val="none"/>
        </w:rPr>
      </w:pPr>
    </w:p>
    <w:p w14:paraId="2ACE19C7">
      <w:pPr>
        <w:spacing w:before="122" w:line="360" w:lineRule="auto"/>
        <w:jc w:val="center"/>
        <w:rPr>
          <w:rFonts w:ascii="宋体" w:hAnsi="宋体" w:eastAsia="宋体" w:cs="宋体"/>
          <w:color w:val="auto"/>
          <w:sz w:val="35"/>
          <w:szCs w:val="35"/>
          <w:highlight w:val="none"/>
        </w:rPr>
      </w:pPr>
      <w:r>
        <w:rPr>
          <w:rFonts w:ascii="宋体" w:hAnsi="宋体" w:eastAsia="宋体" w:cs="宋体"/>
          <w:b/>
          <w:bCs/>
          <w:color w:val="auto"/>
          <w:spacing w:val="6"/>
          <w:sz w:val="35"/>
          <w:szCs w:val="35"/>
          <w:highlight w:val="none"/>
        </w:rPr>
        <w:t>第三章</w:t>
      </w:r>
      <w:r>
        <w:rPr>
          <w:rFonts w:ascii="宋体" w:hAnsi="宋体" w:eastAsia="宋体" w:cs="宋体"/>
          <w:color w:val="auto"/>
          <w:spacing w:val="6"/>
          <w:sz w:val="35"/>
          <w:szCs w:val="35"/>
          <w:highlight w:val="none"/>
        </w:rPr>
        <w:t xml:space="preserve"> </w:t>
      </w:r>
      <w:r>
        <w:rPr>
          <w:rFonts w:ascii="宋体" w:hAnsi="宋体" w:eastAsia="宋体" w:cs="宋体"/>
          <w:b/>
          <w:bCs/>
          <w:color w:val="auto"/>
          <w:spacing w:val="6"/>
          <w:sz w:val="35"/>
          <w:szCs w:val="35"/>
          <w:highlight w:val="none"/>
        </w:rPr>
        <w:t>供应商须知前附表</w:t>
      </w:r>
    </w:p>
    <w:p w14:paraId="5A400054">
      <w:pPr>
        <w:spacing w:before="183" w:line="316" w:lineRule="auto"/>
        <w:ind w:left="692" w:right="241" w:firstLine="459"/>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磋商文件中凡标有★条款均为实质性要求条款，响应文件须完全响应，未实质响应</w:t>
      </w:r>
      <w:r>
        <w:rPr>
          <w:rFonts w:ascii="宋体" w:hAnsi="宋体" w:eastAsia="宋体" w:cs="宋体"/>
          <w:b/>
          <w:bCs/>
          <w:color w:val="auto"/>
          <w:spacing w:val="-5"/>
          <w:sz w:val="24"/>
          <w:szCs w:val="24"/>
          <w:highlight w:val="none"/>
        </w:rPr>
        <w:t>的，按照无效投标处理。</w:t>
      </w:r>
    </w:p>
    <w:tbl>
      <w:tblPr>
        <w:tblStyle w:val="11"/>
        <w:tblW w:w="100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923"/>
        <w:gridCol w:w="7478"/>
      </w:tblGrid>
      <w:tr w14:paraId="58A4E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652" w:type="dxa"/>
            <w:textDirection w:val="tbRlV"/>
            <w:vAlign w:val="top"/>
          </w:tcPr>
          <w:p w14:paraId="5B425E06">
            <w:pPr>
              <w:pStyle w:val="12"/>
              <w:spacing w:before="204" w:line="210" w:lineRule="auto"/>
              <w:ind w:left="65"/>
              <w:rPr>
                <w:color w:val="auto"/>
                <w:highlight w:val="none"/>
              </w:rPr>
            </w:pPr>
            <w:r>
              <w:rPr>
                <w:b/>
                <w:bCs/>
                <w:color w:val="auto"/>
                <w:spacing w:val="-3"/>
                <w:highlight w:val="none"/>
              </w:rPr>
              <w:t>序</w:t>
            </w:r>
            <w:r>
              <w:rPr>
                <w:color w:val="auto"/>
                <w:spacing w:val="-3"/>
                <w:highlight w:val="none"/>
              </w:rPr>
              <w:t xml:space="preserve"> </w:t>
            </w:r>
            <w:r>
              <w:rPr>
                <w:b/>
                <w:bCs/>
                <w:color w:val="auto"/>
                <w:spacing w:val="-3"/>
                <w:highlight w:val="none"/>
              </w:rPr>
              <w:t>号</w:t>
            </w:r>
          </w:p>
        </w:tc>
        <w:tc>
          <w:tcPr>
            <w:tcW w:w="1923" w:type="dxa"/>
            <w:vAlign w:val="top"/>
          </w:tcPr>
          <w:p w14:paraId="0C2ACDB1">
            <w:pPr>
              <w:pStyle w:val="12"/>
              <w:spacing w:before="243" w:line="219" w:lineRule="auto"/>
              <w:ind w:left="487"/>
              <w:rPr>
                <w:color w:val="auto"/>
                <w:highlight w:val="none"/>
              </w:rPr>
            </w:pPr>
            <w:r>
              <w:rPr>
                <w:b/>
                <w:bCs/>
                <w:color w:val="auto"/>
                <w:spacing w:val="-5"/>
                <w:highlight w:val="none"/>
              </w:rPr>
              <w:t>条款名称</w:t>
            </w:r>
          </w:p>
        </w:tc>
        <w:tc>
          <w:tcPr>
            <w:tcW w:w="7478" w:type="dxa"/>
            <w:vAlign w:val="top"/>
          </w:tcPr>
          <w:p w14:paraId="2C210119">
            <w:pPr>
              <w:pStyle w:val="12"/>
              <w:spacing w:before="243" w:line="219" w:lineRule="auto"/>
              <w:ind w:left="3145"/>
              <w:rPr>
                <w:color w:val="auto"/>
                <w:highlight w:val="none"/>
              </w:rPr>
            </w:pPr>
            <w:r>
              <w:rPr>
                <w:b/>
                <w:bCs/>
                <w:color w:val="auto"/>
                <w:spacing w:val="-5"/>
                <w:highlight w:val="none"/>
              </w:rPr>
              <w:t>说明和要求</w:t>
            </w:r>
          </w:p>
        </w:tc>
      </w:tr>
      <w:tr w14:paraId="5C778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4" w:hRule="atLeast"/>
        </w:trPr>
        <w:tc>
          <w:tcPr>
            <w:tcW w:w="652" w:type="dxa"/>
            <w:vAlign w:val="center"/>
          </w:tcPr>
          <w:p w14:paraId="3D8BB715">
            <w:pPr>
              <w:pStyle w:val="12"/>
              <w:spacing w:before="78" w:line="241" w:lineRule="auto"/>
              <w:jc w:val="center"/>
              <w:rPr>
                <w:color w:val="auto"/>
                <w:highlight w:val="none"/>
              </w:rPr>
            </w:pPr>
            <w:r>
              <w:rPr>
                <w:color w:val="auto"/>
                <w:highlight w:val="none"/>
              </w:rPr>
              <w:t>1</w:t>
            </w:r>
          </w:p>
        </w:tc>
        <w:tc>
          <w:tcPr>
            <w:tcW w:w="1923" w:type="dxa"/>
            <w:vAlign w:val="center"/>
          </w:tcPr>
          <w:p w14:paraId="6BE8188F">
            <w:pPr>
              <w:pStyle w:val="12"/>
              <w:spacing w:before="165" w:line="219" w:lineRule="auto"/>
              <w:ind w:left="116"/>
              <w:jc w:val="center"/>
              <w:rPr>
                <w:color w:val="auto"/>
                <w:spacing w:val="-1"/>
                <w:highlight w:val="none"/>
              </w:rPr>
            </w:pPr>
            <w:r>
              <w:rPr>
                <w:color w:val="auto"/>
                <w:spacing w:val="-1"/>
                <w:highlight w:val="none"/>
              </w:rPr>
              <w:t>采购项目</w:t>
            </w:r>
          </w:p>
        </w:tc>
        <w:tc>
          <w:tcPr>
            <w:tcW w:w="7478" w:type="dxa"/>
            <w:vAlign w:val="top"/>
          </w:tcPr>
          <w:p w14:paraId="02E43129">
            <w:pPr>
              <w:spacing w:before="122" w:line="360" w:lineRule="auto"/>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项目名称：许昌市建安区新城区站前水系十条道路环卫、绿化管护项目</w:t>
            </w:r>
          </w:p>
          <w:p w14:paraId="014BEDB9">
            <w:pPr>
              <w:spacing w:before="122" w:line="360" w:lineRule="auto"/>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项目编号：建安政采竞磋商字〔2026〕</w:t>
            </w:r>
            <w:r>
              <w:rPr>
                <w:rFonts w:hint="eastAsia" w:ascii="宋体" w:hAnsi="宋体" w:eastAsia="宋体" w:cs="宋体"/>
                <w:color w:val="auto"/>
                <w:spacing w:val="-3"/>
                <w:sz w:val="24"/>
                <w:szCs w:val="24"/>
                <w:highlight w:val="none"/>
                <w:lang w:val="en-US" w:eastAsia="zh-CN"/>
              </w:rPr>
              <w:t>21</w:t>
            </w:r>
            <w:r>
              <w:rPr>
                <w:rFonts w:hint="eastAsia" w:ascii="宋体" w:hAnsi="宋体" w:eastAsia="宋体" w:cs="宋体"/>
                <w:color w:val="auto"/>
                <w:spacing w:val="-3"/>
                <w:sz w:val="24"/>
                <w:szCs w:val="24"/>
                <w:highlight w:val="none"/>
              </w:rPr>
              <w:t>号</w:t>
            </w:r>
          </w:p>
          <w:p w14:paraId="0FE2864F">
            <w:pPr>
              <w:spacing w:before="122" w:line="360" w:lineRule="auto"/>
              <w:jc w:val="both"/>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rPr>
              <w:t>项目内容：许昌市建安区新城区站前水系十条道路环卫、绿化管护项目</w:t>
            </w:r>
            <w:r>
              <w:rPr>
                <w:rFonts w:hint="eastAsia" w:ascii="宋体" w:hAnsi="宋体" w:eastAsia="宋体" w:cs="宋体"/>
                <w:color w:val="auto"/>
                <w:spacing w:val="-3"/>
                <w:sz w:val="24"/>
                <w:szCs w:val="24"/>
                <w:highlight w:val="none"/>
                <w:lang w:val="en-US" w:eastAsia="zh-CN"/>
              </w:rPr>
              <w:t>主要包括</w:t>
            </w:r>
            <w:r>
              <w:rPr>
                <w:rFonts w:hint="eastAsia" w:ascii="宋体" w:hAnsi="宋体" w:eastAsia="宋体" w:cs="宋体"/>
                <w:color w:val="auto"/>
                <w:spacing w:val="-3"/>
                <w:sz w:val="24"/>
                <w:szCs w:val="24"/>
                <w:highlight w:val="none"/>
              </w:rPr>
              <w:t>站前水系片区10条市政四级道路，机扫作业总里程7004</w:t>
            </w:r>
            <w:r>
              <w:rPr>
                <w:rFonts w:hint="eastAsia" w:ascii="宋体" w:hAnsi="宋体" w:eastAsia="宋体" w:cs="宋体"/>
                <w:color w:val="auto"/>
                <w:spacing w:val="-3"/>
                <w:sz w:val="24"/>
                <w:szCs w:val="24"/>
                <w:highlight w:val="none"/>
                <w:lang w:val="en-US" w:eastAsia="zh-CN"/>
              </w:rPr>
              <w:t>m</w:t>
            </w:r>
            <w:r>
              <w:rPr>
                <w:rFonts w:hint="eastAsia" w:ascii="宋体" w:hAnsi="宋体" w:eastAsia="宋体" w:cs="宋体"/>
                <w:color w:val="auto"/>
                <w:spacing w:val="-3"/>
                <w:sz w:val="24"/>
                <w:szCs w:val="24"/>
                <w:highlight w:val="none"/>
              </w:rPr>
              <w:t>，绿化管护总面积11044㎡</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道路总面积</w:t>
            </w:r>
            <w:r>
              <w:rPr>
                <w:rFonts w:hint="eastAsia" w:ascii="宋体" w:hAnsi="宋体" w:eastAsia="宋体" w:cs="宋体"/>
                <w:color w:val="auto"/>
                <w:spacing w:val="-3"/>
                <w:sz w:val="24"/>
                <w:szCs w:val="24"/>
                <w:highlight w:val="none"/>
                <w:lang w:eastAsia="zh-CN"/>
              </w:rPr>
              <w:t>144594.2</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val="en-US" w:eastAsia="en-US"/>
              </w:rPr>
              <w:t>合同履行期限</w:t>
            </w:r>
            <w:r>
              <w:rPr>
                <w:rFonts w:hint="eastAsia" w:ascii="宋体" w:hAnsi="宋体" w:eastAsia="宋体" w:cs="宋体"/>
                <w:color w:val="auto"/>
                <w:spacing w:val="-3"/>
                <w:sz w:val="24"/>
                <w:szCs w:val="24"/>
                <w:highlight w:val="none"/>
                <w:lang w:val="en-US" w:eastAsia="zh-CN"/>
              </w:rPr>
              <w:t>：</w:t>
            </w:r>
            <w:r>
              <w:rPr>
                <w:rFonts w:hint="eastAsia" w:ascii="宋体" w:hAnsi="宋体" w:eastAsia="宋体" w:cs="宋体"/>
                <w:color w:val="auto"/>
                <w:spacing w:val="-3"/>
                <w:sz w:val="24"/>
                <w:szCs w:val="24"/>
                <w:highlight w:val="none"/>
                <w:lang w:val="en-US" w:eastAsia="en-US"/>
              </w:rPr>
              <w:t>自合同签订之日起服务期三年</w:t>
            </w:r>
            <w:r>
              <w:rPr>
                <w:rFonts w:hint="eastAsia" w:ascii="宋体" w:hAnsi="宋体" w:eastAsia="宋体" w:cs="宋体"/>
                <w:color w:val="auto"/>
                <w:spacing w:val="-3"/>
                <w:sz w:val="24"/>
                <w:szCs w:val="24"/>
                <w:highlight w:val="none"/>
                <w:lang w:val="en-US" w:eastAsia="zh-CN"/>
              </w:rPr>
              <w:t>。</w:t>
            </w:r>
          </w:p>
          <w:p w14:paraId="7E2B8CCC">
            <w:pPr>
              <w:spacing w:before="122" w:line="360" w:lineRule="auto"/>
              <w:jc w:val="both"/>
              <w:rPr>
                <w:rFonts w:hint="eastAsia" w:eastAsia="宋体"/>
                <w:color w:val="auto"/>
                <w:spacing w:val="-1"/>
                <w:highlight w:val="none"/>
                <w:lang w:eastAsia="zh-CN"/>
              </w:rPr>
            </w:pPr>
            <w:r>
              <w:rPr>
                <w:rFonts w:hint="eastAsia" w:ascii="宋体" w:hAnsi="宋体" w:eastAsia="宋体" w:cs="宋体"/>
                <w:color w:val="auto"/>
                <w:spacing w:val="-3"/>
                <w:sz w:val="24"/>
                <w:szCs w:val="24"/>
                <w:highlight w:val="none"/>
              </w:rPr>
              <w:t>项目地址：许昌市建安区</w:t>
            </w:r>
            <w:r>
              <w:rPr>
                <w:rFonts w:hint="eastAsia" w:ascii="宋体" w:hAnsi="宋体" w:eastAsia="宋体" w:cs="宋体"/>
                <w:color w:val="auto"/>
                <w:spacing w:val="-3"/>
                <w:sz w:val="24"/>
                <w:szCs w:val="24"/>
                <w:highlight w:val="none"/>
                <w:lang w:eastAsia="zh-CN"/>
              </w:rPr>
              <w:t>。</w:t>
            </w:r>
          </w:p>
        </w:tc>
      </w:tr>
      <w:tr w14:paraId="267F5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4" w:hRule="atLeast"/>
        </w:trPr>
        <w:tc>
          <w:tcPr>
            <w:tcW w:w="652" w:type="dxa"/>
            <w:vAlign w:val="top"/>
          </w:tcPr>
          <w:p w14:paraId="7EFA43BA">
            <w:pPr>
              <w:spacing w:line="359" w:lineRule="auto"/>
              <w:rPr>
                <w:rFonts w:ascii="Arial"/>
                <w:color w:val="auto"/>
                <w:sz w:val="21"/>
                <w:highlight w:val="none"/>
              </w:rPr>
            </w:pPr>
          </w:p>
          <w:p w14:paraId="73AAB793">
            <w:pPr>
              <w:spacing w:line="360" w:lineRule="auto"/>
              <w:rPr>
                <w:rFonts w:ascii="Arial"/>
                <w:color w:val="auto"/>
                <w:sz w:val="21"/>
                <w:highlight w:val="none"/>
              </w:rPr>
            </w:pPr>
          </w:p>
          <w:p w14:paraId="004EE52D">
            <w:pPr>
              <w:pStyle w:val="12"/>
              <w:spacing w:before="78" w:line="241" w:lineRule="auto"/>
              <w:ind w:left="276"/>
              <w:rPr>
                <w:color w:val="auto"/>
                <w:highlight w:val="none"/>
              </w:rPr>
            </w:pPr>
            <w:r>
              <w:rPr>
                <w:color w:val="auto"/>
                <w:highlight w:val="none"/>
              </w:rPr>
              <w:t>2</w:t>
            </w:r>
          </w:p>
        </w:tc>
        <w:tc>
          <w:tcPr>
            <w:tcW w:w="1923" w:type="dxa"/>
            <w:vAlign w:val="top"/>
          </w:tcPr>
          <w:p w14:paraId="34D27837">
            <w:pPr>
              <w:spacing w:line="359" w:lineRule="auto"/>
              <w:rPr>
                <w:rFonts w:ascii="Arial"/>
                <w:color w:val="auto"/>
                <w:sz w:val="21"/>
                <w:highlight w:val="none"/>
              </w:rPr>
            </w:pPr>
          </w:p>
          <w:p w14:paraId="3C881EA9">
            <w:pPr>
              <w:spacing w:line="359" w:lineRule="auto"/>
              <w:rPr>
                <w:rFonts w:ascii="Arial"/>
                <w:color w:val="auto"/>
                <w:sz w:val="21"/>
                <w:highlight w:val="none"/>
              </w:rPr>
            </w:pPr>
          </w:p>
          <w:p w14:paraId="1F41AEAF">
            <w:pPr>
              <w:pStyle w:val="12"/>
              <w:spacing w:before="78" w:line="219" w:lineRule="auto"/>
              <w:ind w:left="605"/>
              <w:rPr>
                <w:color w:val="auto"/>
                <w:highlight w:val="none"/>
              </w:rPr>
            </w:pPr>
            <w:r>
              <w:rPr>
                <w:color w:val="auto"/>
                <w:spacing w:val="-3"/>
                <w:highlight w:val="none"/>
              </w:rPr>
              <w:t>采购人</w:t>
            </w:r>
          </w:p>
        </w:tc>
        <w:tc>
          <w:tcPr>
            <w:tcW w:w="7478" w:type="dxa"/>
            <w:vAlign w:val="top"/>
          </w:tcPr>
          <w:p w14:paraId="52DBE623">
            <w:pPr>
              <w:pStyle w:val="12"/>
              <w:spacing w:before="162" w:line="219" w:lineRule="auto"/>
              <w:ind w:left="116"/>
              <w:rPr>
                <w:color w:val="auto"/>
                <w:highlight w:val="none"/>
              </w:rPr>
            </w:pPr>
            <w:r>
              <w:rPr>
                <w:color w:val="auto"/>
                <w:spacing w:val="-1"/>
                <w:highlight w:val="none"/>
              </w:rPr>
              <w:t>名    称：</w:t>
            </w:r>
            <w:r>
              <w:rPr>
                <w:rFonts w:hint="eastAsia" w:ascii="宋体" w:hAnsi="宋体" w:eastAsia="宋体" w:cs="宋体"/>
                <w:color w:val="auto"/>
                <w:spacing w:val="-1"/>
                <w:sz w:val="24"/>
                <w:szCs w:val="24"/>
                <w:highlight w:val="none"/>
                <w:lang w:eastAsia="zh-CN"/>
              </w:rPr>
              <w:t>许昌市</w:t>
            </w:r>
            <w:r>
              <w:rPr>
                <w:rFonts w:hint="eastAsia" w:ascii="宋体" w:hAnsi="宋体" w:eastAsia="宋体" w:cs="宋体"/>
                <w:color w:val="auto"/>
                <w:spacing w:val="-1"/>
                <w:sz w:val="24"/>
                <w:szCs w:val="24"/>
                <w:highlight w:val="none"/>
              </w:rPr>
              <w:t>建安区城市管理局</w:t>
            </w:r>
          </w:p>
          <w:p w14:paraId="0885C030">
            <w:pPr>
              <w:pStyle w:val="12"/>
              <w:spacing w:before="177" w:line="219" w:lineRule="auto"/>
              <w:ind w:left="113"/>
              <w:rPr>
                <w:color w:val="auto"/>
                <w:highlight w:val="none"/>
              </w:rPr>
            </w:pPr>
            <w:r>
              <w:rPr>
                <w:color w:val="auto"/>
                <w:spacing w:val="-1"/>
                <w:highlight w:val="none"/>
              </w:rPr>
              <w:t>地    址：</w:t>
            </w:r>
            <w:r>
              <w:rPr>
                <w:rFonts w:ascii="宋体" w:hAnsi="宋体" w:eastAsia="宋体" w:cs="宋体"/>
                <w:color w:val="auto"/>
                <w:spacing w:val="-1"/>
                <w:sz w:val="24"/>
                <w:szCs w:val="24"/>
                <w:highlight w:val="none"/>
              </w:rPr>
              <w:t>许昌市建安区兴业大厦七楼</w:t>
            </w:r>
          </w:p>
          <w:p w14:paraId="40B4F214">
            <w:pPr>
              <w:pStyle w:val="12"/>
              <w:spacing w:before="172" w:line="221" w:lineRule="auto"/>
              <w:ind w:left="114"/>
              <w:rPr>
                <w:rFonts w:hint="eastAsia"/>
                <w:color w:val="auto"/>
                <w:spacing w:val="-1"/>
                <w:highlight w:val="none"/>
                <w:lang w:val="en-US" w:eastAsia="zh-CN"/>
              </w:rPr>
            </w:pPr>
            <w:r>
              <w:rPr>
                <w:rFonts w:hint="eastAsia"/>
                <w:color w:val="auto"/>
                <w:spacing w:val="-1"/>
                <w:highlight w:val="none"/>
                <w:lang w:val="en-US" w:eastAsia="zh-CN"/>
              </w:rPr>
              <w:t>联 系 人：王会杰</w:t>
            </w:r>
          </w:p>
          <w:p w14:paraId="550E0663">
            <w:pPr>
              <w:pStyle w:val="12"/>
              <w:spacing w:before="172" w:line="221" w:lineRule="auto"/>
              <w:ind w:left="114"/>
              <w:rPr>
                <w:rFonts w:hint="eastAsia" w:eastAsia="宋体"/>
                <w:color w:val="auto"/>
                <w:highlight w:val="none"/>
                <w:lang w:eastAsia="zh-CN"/>
              </w:rPr>
            </w:pPr>
            <w:r>
              <w:rPr>
                <w:rFonts w:hint="eastAsia"/>
                <w:color w:val="auto"/>
                <w:spacing w:val="-1"/>
                <w:highlight w:val="none"/>
                <w:lang w:val="en-US" w:eastAsia="zh-CN"/>
              </w:rPr>
              <w:t xml:space="preserve">联系方式：13733631326 </w:t>
            </w:r>
          </w:p>
        </w:tc>
      </w:tr>
      <w:tr w14:paraId="6045B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4" w:hRule="atLeast"/>
        </w:trPr>
        <w:tc>
          <w:tcPr>
            <w:tcW w:w="652" w:type="dxa"/>
            <w:vAlign w:val="top"/>
          </w:tcPr>
          <w:p w14:paraId="336EEDD0">
            <w:pPr>
              <w:spacing w:line="358" w:lineRule="auto"/>
              <w:rPr>
                <w:rFonts w:ascii="Arial"/>
                <w:color w:val="auto"/>
                <w:sz w:val="21"/>
                <w:highlight w:val="none"/>
              </w:rPr>
            </w:pPr>
          </w:p>
          <w:p w14:paraId="3E44B6D8">
            <w:pPr>
              <w:spacing w:line="359" w:lineRule="auto"/>
              <w:rPr>
                <w:rFonts w:ascii="Arial"/>
                <w:color w:val="auto"/>
                <w:sz w:val="21"/>
                <w:highlight w:val="none"/>
              </w:rPr>
            </w:pPr>
          </w:p>
          <w:p w14:paraId="7AADE0C0">
            <w:pPr>
              <w:pStyle w:val="12"/>
              <w:spacing w:before="78"/>
              <w:ind w:left="278"/>
              <w:rPr>
                <w:color w:val="auto"/>
                <w:highlight w:val="none"/>
              </w:rPr>
            </w:pPr>
            <w:r>
              <w:rPr>
                <w:color w:val="auto"/>
                <w:highlight w:val="none"/>
              </w:rPr>
              <w:t>3</w:t>
            </w:r>
          </w:p>
        </w:tc>
        <w:tc>
          <w:tcPr>
            <w:tcW w:w="1923" w:type="dxa"/>
            <w:vAlign w:val="top"/>
          </w:tcPr>
          <w:p w14:paraId="7066A1A2">
            <w:pPr>
              <w:spacing w:line="358" w:lineRule="auto"/>
              <w:rPr>
                <w:rFonts w:ascii="Arial"/>
                <w:color w:val="auto"/>
                <w:sz w:val="21"/>
                <w:highlight w:val="none"/>
              </w:rPr>
            </w:pPr>
          </w:p>
          <w:p w14:paraId="17F6AE94">
            <w:pPr>
              <w:spacing w:line="359" w:lineRule="auto"/>
              <w:rPr>
                <w:rFonts w:ascii="Arial"/>
                <w:color w:val="auto"/>
                <w:sz w:val="21"/>
                <w:highlight w:val="none"/>
              </w:rPr>
            </w:pPr>
          </w:p>
          <w:p w14:paraId="5489431E">
            <w:pPr>
              <w:pStyle w:val="12"/>
              <w:spacing w:before="78" w:line="219" w:lineRule="auto"/>
              <w:ind w:left="485"/>
              <w:rPr>
                <w:color w:val="auto"/>
                <w:highlight w:val="none"/>
              </w:rPr>
            </w:pPr>
            <w:r>
              <w:rPr>
                <w:color w:val="auto"/>
                <w:spacing w:val="-3"/>
                <w:highlight w:val="none"/>
              </w:rPr>
              <w:t>代理机构</w:t>
            </w:r>
          </w:p>
        </w:tc>
        <w:tc>
          <w:tcPr>
            <w:tcW w:w="7478" w:type="dxa"/>
            <w:vAlign w:val="top"/>
          </w:tcPr>
          <w:p w14:paraId="731CF44D">
            <w:pPr>
              <w:pStyle w:val="12"/>
              <w:spacing w:before="165" w:line="219" w:lineRule="auto"/>
              <w:ind w:left="116"/>
              <w:rPr>
                <w:color w:val="auto"/>
                <w:highlight w:val="none"/>
              </w:rPr>
            </w:pPr>
            <w:r>
              <w:rPr>
                <w:color w:val="auto"/>
                <w:spacing w:val="-1"/>
                <w:highlight w:val="none"/>
              </w:rPr>
              <w:t>名    称：河南</w:t>
            </w:r>
            <w:r>
              <w:rPr>
                <w:rFonts w:hint="eastAsia"/>
                <w:color w:val="auto"/>
                <w:spacing w:val="-1"/>
                <w:highlight w:val="none"/>
                <w:lang w:val="en-US" w:eastAsia="zh-CN"/>
              </w:rPr>
              <w:t>巨岩</w:t>
            </w:r>
            <w:r>
              <w:rPr>
                <w:color w:val="auto"/>
                <w:spacing w:val="-1"/>
                <w:highlight w:val="none"/>
              </w:rPr>
              <w:t>工程管理有限公司</w:t>
            </w:r>
          </w:p>
          <w:p w14:paraId="3B497D45">
            <w:pPr>
              <w:pStyle w:val="12"/>
              <w:spacing w:before="176" w:line="219" w:lineRule="auto"/>
              <w:ind w:left="113"/>
              <w:rPr>
                <w:color w:val="auto"/>
                <w:highlight w:val="none"/>
              </w:rPr>
            </w:pPr>
            <w:r>
              <w:rPr>
                <w:color w:val="auto"/>
                <w:spacing w:val="-1"/>
                <w:highlight w:val="none"/>
              </w:rPr>
              <w:t>地    址：</w:t>
            </w:r>
            <w:r>
              <w:rPr>
                <w:rFonts w:hint="eastAsia" w:ascii="宋体" w:hAnsi="宋体" w:eastAsia="宋体" w:cs="宋体"/>
                <w:color w:val="auto"/>
                <w:spacing w:val="-1"/>
                <w:sz w:val="24"/>
                <w:szCs w:val="24"/>
                <w:highlight w:val="none"/>
                <w:lang w:val="en-US" w:eastAsia="zh-CN"/>
              </w:rPr>
              <w:t>许昌市魏文路与学府街交叉口东南角云鼎广场三号楼十楼</w:t>
            </w:r>
          </w:p>
          <w:p w14:paraId="018B019D">
            <w:pPr>
              <w:pStyle w:val="12"/>
              <w:spacing w:before="173" w:line="219" w:lineRule="auto"/>
              <w:ind w:left="114"/>
              <w:rPr>
                <w:rFonts w:hint="default" w:eastAsia="宋体"/>
                <w:color w:val="auto"/>
                <w:highlight w:val="none"/>
                <w:lang w:val="en-US" w:eastAsia="zh-CN"/>
              </w:rPr>
            </w:pPr>
            <w:r>
              <w:rPr>
                <w:color w:val="auto"/>
                <w:spacing w:val="-4"/>
                <w:highlight w:val="none"/>
              </w:rPr>
              <w:t>联</w:t>
            </w:r>
            <w:r>
              <w:rPr>
                <w:color w:val="auto"/>
                <w:spacing w:val="20"/>
                <w:highlight w:val="none"/>
              </w:rPr>
              <w:t xml:space="preserve"> </w:t>
            </w:r>
            <w:r>
              <w:rPr>
                <w:color w:val="auto"/>
                <w:spacing w:val="-4"/>
                <w:highlight w:val="none"/>
              </w:rPr>
              <w:t>系 人：</w:t>
            </w:r>
            <w:r>
              <w:rPr>
                <w:rFonts w:hint="eastAsia"/>
                <w:color w:val="auto"/>
                <w:spacing w:val="-4"/>
                <w:highlight w:val="none"/>
                <w:lang w:val="en-US" w:eastAsia="zh-CN"/>
              </w:rPr>
              <w:t>张昕洋</w:t>
            </w:r>
          </w:p>
          <w:p w14:paraId="02FED0AE">
            <w:pPr>
              <w:pStyle w:val="12"/>
              <w:spacing w:before="175" w:line="221" w:lineRule="auto"/>
              <w:ind w:left="114"/>
              <w:rPr>
                <w:rFonts w:hint="default" w:eastAsia="宋体"/>
                <w:color w:val="auto"/>
                <w:highlight w:val="none"/>
                <w:lang w:val="en-US" w:eastAsia="zh-CN"/>
              </w:rPr>
            </w:pPr>
            <w:r>
              <w:rPr>
                <w:color w:val="auto"/>
                <w:spacing w:val="-1"/>
                <w:highlight w:val="none"/>
              </w:rPr>
              <w:t>联系方式：</w:t>
            </w:r>
            <w:r>
              <w:rPr>
                <w:rFonts w:hint="eastAsia"/>
                <w:color w:val="auto"/>
                <w:spacing w:val="-1"/>
                <w:highlight w:val="none"/>
                <w:lang w:val="en-US" w:eastAsia="zh-CN"/>
              </w:rPr>
              <w:t>17746990629</w:t>
            </w:r>
          </w:p>
        </w:tc>
      </w:tr>
      <w:tr w14:paraId="5E313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6" w:hRule="atLeast"/>
        </w:trPr>
        <w:tc>
          <w:tcPr>
            <w:tcW w:w="652" w:type="dxa"/>
            <w:vAlign w:val="top"/>
          </w:tcPr>
          <w:p w14:paraId="2DF36F35">
            <w:pPr>
              <w:spacing w:line="281" w:lineRule="auto"/>
              <w:rPr>
                <w:rFonts w:ascii="Arial"/>
                <w:color w:val="auto"/>
                <w:sz w:val="21"/>
                <w:highlight w:val="none"/>
              </w:rPr>
            </w:pPr>
          </w:p>
          <w:p w14:paraId="0F41CF54">
            <w:pPr>
              <w:spacing w:line="281" w:lineRule="auto"/>
              <w:rPr>
                <w:rFonts w:ascii="Arial"/>
                <w:color w:val="auto"/>
                <w:sz w:val="21"/>
                <w:highlight w:val="none"/>
              </w:rPr>
            </w:pPr>
          </w:p>
          <w:p w14:paraId="43FB1107">
            <w:pPr>
              <w:spacing w:line="281" w:lineRule="auto"/>
              <w:rPr>
                <w:rFonts w:ascii="Arial"/>
                <w:color w:val="auto"/>
                <w:sz w:val="21"/>
                <w:highlight w:val="none"/>
              </w:rPr>
            </w:pPr>
          </w:p>
          <w:p w14:paraId="646723E2">
            <w:pPr>
              <w:spacing w:line="281" w:lineRule="auto"/>
              <w:rPr>
                <w:rFonts w:ascii="Arial"/>
                <w:color w:val="auto"/>
                <w:sz w:val="21"/>
                <w:highlight w:val="none"/>
              </w:rPr>
            </w:pPr>
          </w:p>
          <w:p w14:paraId="296C1446">
            <w:pPr>
              <w:spacing w:line="282" w:lineRule="auto"/>
              <w:rPr>
                <w:rFonts w:ascii="Arial"/>
                <w:color w:val="auto"/>
                <w:sz w:val="21"/>
                <w:highlight w:val="none"/>
              </w:rPr>
            </w:pPr>
          </w:p>
          <w:p w14:paraId="1453D947">
            <w:pPr>
              <w:pStyle w:val="12"/>
              <w:spacing w:before="78" w:line="241" w:lineRule="auto"/>
              <w:ind w:left="272"/>
              <w:rPr>
                <w:color w:val="auto"/>
                <w:highlight w:val="none"/>
              </w:rPr>
            </w:pPr>
            <w:r>
              <w:rPr>
                <w:color w:val="auto"/>
                <w:highlight w:val="none"/>
              </w:rPr>
              <w:t>4</w:t>
            </w:r>
          </w:p>
        </w:tc>
        <w:tc>
          <w:tcPr>
            <w:tcW w:w="1923" w:type="dxa"/>
            <w:vAlign w:val="top"/>
          </w:tcPr>
          <w:p w14:paraId="284033C0">
            <w:pPr>
              <w:spacing w:line="281" w:lineRule="auto"/>
              <w:rPr>
                <w:rFonts w:ascii="Arial"/>
                <w:color w:val="auto"/>
                <w:sz w:val="21"/>
                <w:highlight w:val="none"/>
              </w:rPr>
            </w:pPr>
          </w:p>
          <w:p w14:paraId="7165AC29">
            <w:pPr>
              <w:spacing w:line="281" w:lineRule="auto"/>
              <w:rPr>
                <w:rFonts w:ascii="Arial"/>
                <w:color w:val="auto"/>
                <w:sz w:val="21"/>
                <w:highlight w:val="none"/>
              </w:rPr>
            </w:pPr>
          </w:p>
          <w:p w14:paraId="26015FB0">
            <w:pPr>
              <w:spacing w:line="281" w:lineRule="auto"/>
              <w:rPr>
                <w:rFonts w:ascii="Arial"/>
                <w:color w:val="auto"/>
                <w:sz w:val="21"/>
                <w:highlight w:val="none"/>
              </w:rPr>
            </w:pPr>
          </w:p>
          <w:p w14:paraId="5F03A586">
            <w:pPr>
              <w:spacing w:line="281" w:lineRule="auto"/>
              <w:rPr>
                <w:rFonts w:ascii="Arial"/>
                <w:color w:val="auto"/>
                <w:sz w:val="21"/>
                <w:highlight w:val="none"/>
              </w:rPr>
            </w:pPr>
          </w:p>
          <w:p w14:paraId="03E9D35C">
            <w:pPr>
              <w:spacing w:line="282" w:lineRule="auto"/>
              <w:rPr>
                <w:rFonts w:ascii="Arial"/>
                <w:color w:val="auto"/>
                <w:sz w:val="21"/>
                <w:highlight w:val="none"/>
              </w:rPr>
            </w:pPr>
          </w:p>
          <w:p w14:paraId="4AB566D1">
            <w:pPr>
              <w:pStyle w:val="12"/>
              <w:spacing w:before="78" w:line="219" w:lineRule="auto"/>
              <w:ind w:left="257"/>
              <w:rPr>
                <w:color w:val="auto"/>
                <w:highlight w:val="none"/>
              </w:rPr>
            </w:pPr>
            <w:r>
              <w:rPr>
                <w:color w:val="auto"/>
                <w:spacing w:val="-3"/>
                <w:highlight w:val="none"/>
              </w:rPr>
              <w:t>★供应商资格</w:t>
            </w:r>
          </w:p>
        </w:tc>
        <w:tc>
          <w:tcPr>
            <w:tcW w:w="7478" w:type="dxa"/>
            <w:vAlign w:val="top"/>
          </w:tcPr>
          <w:p w14:paraId="7EB2D0EB">
            <w:pPr>
              <w:pStyle w:val="12"/>
              <w:spacing w:before="166" w:line="219" w:lineRule="auto"/>
              <w:ind w:left="117"/>
              <w:rPr>
                <w:b/>
                <w:bCs/>
                <w:color w:val="auto"/>
                <w:highlight w:val="none"/>
              </w:rPr>
            </w:pPr>
            <w:r>
              <w:rPr>
                <w:b/>
                <w:bCs/>
                <w:color w:val="auto"/>
                <w:spacing w:val="-1"/>
                <w:highlight w:val="none"/>
              </w:rPr>
              <w:t>一、中小企业或者残疾人福利性单位声明函</w:t>
            </w:r>
          </w:p>
          <w:p w14:paraId="2367F6C9">
            <w:pPr>
              <w:pStyle w:val="12"/>
              <w:spacing w:before="176" w:line="219" w:lineRule="auto"/>
              <w:ind w:left="131"/>
              <w:rPr>
                <w:color w:val="auto"/>
                <w:highlight w:val="none"/>
              </w:rPr>
            </w:pPr>
            <w:r>
              <w:rPr>
                <w:color w:val="auto"/>
                <w:spacing w:val="-2"/>
                <w:highlight w:val="none"/>
              </w:rPr>
              <w:t>1．中小企业出具《中小企业声明函》</w:t>
            </w:r>
          </w:p>
          <w:p w14:paraId="6A3E1E33">
            <w:pPr>
              <w:pStyle w:val="12"/>
              <w:spacing w:before="173" w:line="219" w:lineRule="auto"/>
              <w:ind w:left="116"/>
              <w:rPr>
                <w:color w:val="auto"/>
                <w:highlight w:val="none"/>
              </w:rPr>
            </w:pPr>
            <w:r>
              <w:rPr>
                <w:color w:val="auto"/>
                <w:spacing w:val="-1"/>
                <w:highlight w:val="none"/>
              </w:rPr>
              <w:t>2．残疾人福利性单位出具《残疾人福利企业声明函》</w:t>
            </w:r>
          </w:p>
          <w:p w14:paraId="732326B2">
            <w:pPr>
              <w:pStyle w:val="12"/>
              <w:spacing w:before="174" w:line="354" w:lineRule="auto"/>
              <w:ind w:left="117" w:right="109"/>
              <w:rPr>
                <w:color w:val="auto"/>
                <w:highlight w:val="none"/>
              </w:rPr>
            </w:pPr>
            <w:r>
              <w:rPr>
                <w:color w:val="auto"/>
                <w:spacing w:val="-3"/>
                <w:highlight w:val="none"/>
              </w:rPr>
              <w:t>3．监狱企业提供由省级以上监狱管理局、戒毒管理局（含新疆生产建</w:t>
            </w:r>
            <w:r>
              <w:rPr>
                <w:color w:val="auto"/>
                <w:spacing w:val="-1"/>
                <w:highlight w:val="none"/>
              </w:rPr>
              <w:t>设兵团）出具的属于监狱企业的证明文件</w:t>
            </w:r>
          </w:p>
          <w:p w14:paraId="215B785A">
            <w:pPr>
              <w:pStyle w:val="12"/>
              <w:spacing w:line="218" w:lineRule="auto"/>
              <w:ind w:left="117"/>
              <w:rPr>
                <w:b/>
                <w:bCs/>
                <w:color w:val="auto"/>
                <w:highlight w:val="none"/>
              </w:rPr>
            </w:pPr>
            <w:r>
              <w:rPr>
                <w:b/>
                <w:bCs/>
                <w:color w:val="auto"/>
                <w:spacing w:val="-1"/>
                <w:highlight w:val="none"/>
              </w:rPr>
              <w:t>二、符合《中华人民共和国政府采购法》第二十二条规定</w:t>
            </w:r>
          </w:p>
          <w:p w14:paraId="54B00ED0">
            <w:pPr>
              <w:pStyle w:val="12"/>
              <w:spacing w:before="177" w:line="219" w:lineRule="auto"/>
              <w:ind w:left="131"/>
              <w:rPr>
                <w:color w:val="auto"/>
                <w:highlight w:val="none"/>
              </w:rPr>
            </w:pPr>
            <w:r>
              <w:rPr>
                <w:color w:val="auto"/>
                <w:spacing w:val="-2"/>
                <w:highlight w:val="none"/>
              </w:rPr>
              <w:t>1．具有独立承担民事责任的能力；</w:t>
            </w:r>
          </w:p>
        </w:tc>
      </w:tr>
    </w:tbl>
    <w:p w14:paraId="548A392E">
      <w:pPr>
        <w:pStyle w:val="5"/>
        <w:spacing w:line="109" w:lineRule="exact"/>
        <w:rPr>
          <w:color w:val="auto"/>
          <w:sz w:val="9"/>
          <w:highlight w:val="none"/>
        </w:rPr>
      </w:pPr>
    </w:p>
    <w:p w14:paraId="56CF121B">
      <w:pPr>
        <w:spacing w:line="91" w:lineRule="auto"/>
        <w:rPr>
          <w:rFonts w:ascii="Arial"/>
          <w:color w:val="auto"/>
          <w:sz w:val="2"/>
          <w:highlight w:val="none"/>
        </w:rPr>
      </w:pPr>
    </w:p>
    <w:tbl>
      <w:tblPr>
        <w:tblStyle w:val="11"/>
        <w:tblW w:w="101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923"/>
        <w:gridCol w:w="7543"/>
      </w:tblGrid>
      <w:tr w14:paraId="02426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6" w:hRule="atLeast"/>
        </w:trPr>
        <w:tc>
          <w:tcPr>
            <w:tcW w:w="652" w:type="dxa"/>
            <w:vAlign w:val="top"/>
          </w:tcPr>
          <w:p w14:paraId="2EB7955F">
            <w:pPr>
              <w:rPr>
                <w:rFonts w:ascii="Arial"/>
                <w:color w:val="auto"/>
                <w:sz w:val="21"/>
                <w:highlight w:val="none"/>
              </w:rPr>
            </w:pPr>
          </w:p>
        </w:tc>
        <w:tc>
          <w:tcPr>
            <w:tcW w:w="1923" w:type="dxa"/>
            <w:vAlign w:val="top"/>
          </w:tcPr>
          <w:p w14:paraId="28EBA752">
            <w:pPr>
              <w:rPr>
                <w:rFonts w:ascii="Arial"/>
                <w:color w:val="auto"/>
                <w:sz w:val="21"/>
                <w:highlight w:val="none"/>
              </w:rPr>
            </w:pPr>
          </w:p>
        </w:tc>
        <w:tc>
          <w:tcPr>
            <w:tcW w:w="7543" w:type="dxa"/>
            <w:vAlign w:val="top"/>
          </w:tcPr>
          <w:p w14:paraId="4DFFF339">
            <w:pPr>
              <w:pStyle w:val="12"/>
              <w:spacing w:before="166" w:line="219" w:lineRule="auto"/>
              <w:ind w:left="116"/>
              <w:rPr>
                <w:color w:val="auto"/>
                <w:highlight w:val="none"/>
              </w:rPr>
            </w:pPr>
            <w:r>
              <w:rPr>
                <w:color w:val="auto"/>
                <w:spacing w:val="-1"/>
                <w:highlight w:val="none"/>
              </w:rPr>
              <w:t>2．具有良好的商业信誉和健全的财务会计制度；</w:t>
            </w:r>
          </w:p>
          <w:p w14:paraId="178B4F5C">
            <w:pPr>
              <w:pStyle w:val="12"/>
              <w:spacing w:before="177" w:line="219" w:lineRule="auto"/>
              <w:ind w:left="118"/>
              <w:rPr>
                <w:color w:val="auto"/>
                <w:highlight w:val="none"/>
              </w:rPr>
            </w:pPr>
            <w:r>
              <w:rPr>
                <w:color w:val="auto"/>
                <w:spacing w:val="-1"/>
                <w:highlight w:val="none"/>
              </w:rPr>
              <w:t>3．具有履行合同所必需的设备和专业技术能力；</w:t>
            </w:r>
          </w:p>
          <w:p w14:paraId="07C26D6E">
            <w:pPr>
              <w:pStyle w:val="12"/>
              <w:spacing w:before="175" w:line="219" w:lineRule="auto"/>
              <w:ind w:left="112"/>
              <w:rPr>
                <w:color w:val="auto"/>
                <w:highlight w:val="none"/>
              </w:rPr>
            </w:pPr>
            <w:r>
              <w:rPr>
                <w:color w:val="auto"/>
                <w:spacing w:val="-1"/>
                <w:highlight w:val="none"/>
              </w:rPr>
              <w:t>4．具有依法缴纳税收和社会保障资金的良好记录；</w:t>
            </w:r>
          </w:p>
          <w:p w14:paraId="35E4ED5C">
            <w:pPr>
              <w:pStyle w:val="12"/>
              <w:spacing w:before="173" w:line="219" w:lineRule="auto"/>
              <w:ind w:left="118"/>
              <w:rPr>
                <w:color w:val="auto"/>
                <w:highlight w:val="none"/>
              </w:rPr>
            </w:pPr>
            <w:r>
              <w:rPr>
                <w:color w:val="auto"/>
                <w:spacing w:val="-1"/>
                <w:highlight w:val="none"/>
              </w:rPr>
              <w:t>5．参加政府采购活动前三年内，在经营活动中没有重大违法记录；</w:t>
            </w:r>
          </w:p>
          <w:p w14:paraId="693A1F95">
            <w:pPr>
              <w:pStyle w:val="12"/>
              <w:spacing w:before="175" w:line="354" w:lineRule="auto"/>
              <w:ind w:left="113"/>
              <w:rPr>
                <w:rFonts w:hint="eastAsia" w:eastAsia="宋体"/>
                <w:b/>
                <w:bCs/>
                <w:color w:val="auto"/>
                <w:highlight w:val="none"/>
                <w:lang w:val="en-US" w:eastAsia="zh-CN"/>
              </w:rPr>
            </w:pPr>
            <w:r>
              <w:rPr>
                <w:b/>
                <w:bCs/>
                <w:color w:val="auto"/>
                <w:spacing w:val="-1"/>
                <w:highlight w:val="none"/>
              </w:rPr>
              <w:t>三、投标人应具备的特殊要求：</w:t>
            </w:r>
            <w:r>
              <w:rPr>
                <w:rFonts w:hint="eastAsia"/>
                <w:b/>
                <w:bCs/>
                <w:color w:val="auto"/>
                <w:spacing w:val="-1"/>
                <w:highlight w:val="none"/>
                <w:lang w:val="en-US" w:eastAsia="zh-CN"/>
              </w:rPr>
              <w:t>无</w:t>
            </w:r>
          </w:p>
          <w:p w14:paraId="219B06D8">
            <w:pPr>
              <w:pStyle w:val="12"/>
              <w:spacing w:line="223" w:lineRule="auto"/>
              <w:ind w:left="113"/>
              <w:rPr>
                <w:color w:val="auto"/>
                <w:highlight w:val="none"/>
              </w:rPr>
            </w:pPr>
            <w:r>
              <w:rPr>
                <w:color w:val="auto"/>
                <w:spacing w:val="-5"/>
                <w:highlight w:val="none"/>
              </w:rPr>
              <w:t>注：</w:t>
            </w:r>
          </w:p>
          <w:p w14:paraId="0C5AEE60">
            <w:pPr>
              <w:pStyle w:val="12"/>
              <w:spacing w:before="169" w:line="354" w:lineRule="auto"/>
              <w:ind w:left="124" w:right="65" w:firstLine="6"/>
              <w:rPr>
                <w:color w:val="auto"/>
                <w:highlight w:val="none"/>
              </w:rPr>
            </w:pPr>
            <w:r>
              <w:rPr>
                <w:color w:val="auto"/>
                <w:spacing w:val="-7"/>
                <w:highlight w:val="none"/>
              </w:rPr>
              <w:t>1、供应商在投标时，提供《许昌市建安区政府采购供应商信用承诺函》</w:t>
            </w:r>
            <w:r>
              <w:rPr>
                <w:color w:val="auto"/>
                <w:spacing w:val="3"/>
                <w:highlight w:val="none"/>
              </w:rPr>
              <w:t xml:space="preserve"> </w:t>
            </w:r>
            <w:r>
              <w:rPr>
                <w:color w:val="auto"/>
                <w:spacing w:val="-1"/>
                <w:highlight w:val="none"/>
              </w:rPr>
              <w:t>（详见磋商文件第八章3.6格式</w:t>
            </w:r>
            <w:r>
              <w:rPr>
                <w:color w:val="auto"/>
                <w:spacing w:val="6"/>
                <w:highlight w:val="none"/>
              </w:rPr>
              <w:t>），</w:t>
            </w:r>
            <w:r>
              <w:rPr>
                <w:color w:val="auto"/>
                <w:spacing w:val="-1"/>
                <w:highlight w:val="none"/>
              </w:rPr>
              <w:t>无需再提交</w:t>
            </w:r>
            <w:r>
              <w:rPr>
                <w:color w:val="auto"/>
                <w:spacing w:val="-2"/>
                <w:highlight w:val="none"/>
              </w:rPr>
              <w:t>上述证明材料。</w:t>
            </w:r>
          </w:p>
          <w:p w14:paraId="7861BEE5">
            <w:pPr>
              <w:pStyle w:val="12"/>
              <w:spacing w:before="1" w:line="354" w:lineRule="auto"/>
              <w:ind w:left="135" w:right="171" w:hanging="19"/>
              <w:rPr>
                <w:color w:val="auto"/>
                <w:highlight w:val="none"/>
              </w:rPr>
            </w:pPr>
            <w:r>
              <w:rPr>
                <w:color w:val="auto"/>
                <w:spacing w:val="-2"/>
                <w:highlight w:val="none"/>
              </w:rPr>
              <w:t>2、采购人有权在签订合同前要求中标供应商提供</w:t>
            </w:r>
            <w:r>
              <w:rPr>
                <w:color w:val="auto"/>
                <w:spacing w:val="-3"/>
                <w:highlight w:val="none"/>
              </w:rPr>
              <w:t>相关证明材料以核实中标供应商承诺事项的真实性。</w:t>
            </w:r>
          </w:p>
          <w:p w14:paraId="7F0DC427">
            <w:pPr>
              <w:pStyle w:val="12"/>
              <w:spacing w:before="2" w:line="287" w:lineRule="auto"/>
              <w:ind w:left="113" w:right="474"/>
              <w:rPr>
                <w:color w:val="auto"/>
                <w:highlight w:val="none"/>
              </w:rPr>
            </w:pPr>
            <w:r>
              <w:rPr>
                <w:color w:val="auto"/>
                <w:spacing w:val="-1"/>
                <w:highlight w:val="none"/>
              </w:rPr>
              <w:t>供应商对信用承诺内容的真实性、合法性、有效性负责。如作出虚</w:t>
            </w:r>
            <w:r>
              <w:rPr>
                <w:color w:val="auto"/>
                <w:spacing w:val="-2"/>
                <w:highlight w:val="none"/>
              </w:rPr>
              <w:t>假信用承诺，视同为“提供虚假材料谋取中标</w:t>
            </w:r>
            <w:r>
              <w:rPr>
                <w:color w:val="auto"/>
                <w:spacing w:val="-77"/>
                <w:highlight w:val="none"/>
              </w:rPr>
              <w:t xml:space="preserve"> </w:t>
            </w:r>
            <w:r>
              <w:rPr>
                <w:color w:val="auto"/>
                <w:spacing w:val="-2"/>
                <w:highlight w:val="none"/>
              </w:rPr>
              <w:t>”的违法行为。</w:t>
            </w:r>
          </w:p>
        </w:tc>
      </w:tr>
      <w:tr w14:paraId="4DFEC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652" w:type="dxa"/>
            <w:vAlign w:val="top"/>
          </w:tcPr>
          <w:p w14:paraId="364FA585">
            <w:pPr>
              <w:pStyle w:val="12"/>
              <w:spacing w:before="236"/>
              <w:ind w:left="278"/>
              <w:rPr>
                <w:color w:val="auto"/>
                <w:highlight w:val="none"/>
              </w:rPr>
            </w:pPr>
            <w:r>
              <w:rPr>
                <w:color w:val="auto"/>
                <w:highlight w:val="none"/>
              </w:rPr>
              <w:t>5</w:t>
            </w:r>
          </w:p>
        </w:tc>
        <w:tc>
          <w:tcPr>
            <w:tcW w:w="1923" w:type="dxa"/>
            <w:vAlign w:val="top"/>
          </w:tcPr>
          <w:p w14:paraId="5FF25990">
            <w:pPr>
              <w:pStyle w:val="12"/>
              <w:spacing w:before="237" w:line="220" w:lineRule="auto"/>
              <w:ind w:left="249"/>
              <w:rPr>
                <w:color w:val="auto"/>
                <w:highlight w:val="none"/>
              </w:rPr>
            </w:pPr>
            <w:r>
              <w:rPr>
                <w:b/>
                <w:bCs/>
                <w:color w:val="auto"/>
                <w:spacing w:val="-3"/>
                <w:highlight w:val="none"/>
              </w:rPr>
              <w:t>★</w:t>
            </w:r>
            <w:r>
              <w:rPr>
                <w:color w:val="auto"/>
                <w:spacing w:val="-3"/>
                <w:highlight w:val="none"/>
              </w:rPr>
              <w:t>联合体投标</w:t>
            </w:r>
          </w:p>
        </w:tc>
        <w:tc>
          <w:tcPr>
            <w:tcW w:w="7543" w:type="dxa"/>
            <w:vAlign w:val="top"/>
          </w:tcPr>
          <w:p w14:paraId="228ADC2C">
            <w:pPr>
              <w:pStyle w:val="12"/>
              <w:spacing w:before="225"/>
              <w:ind w:left="114"/>
              <w:rPr>
                <w:color w:val="auto"/>
                <w:highlight w:val="none"/>
              </w:rPr>
            </w:pPr>
            <w:r>
              <w:rPr>
                <w:color w:val="auto"/>
                <w:spacing w:val="-1"/>
                <w:highlight w:val="none"/>
              </w:rPr>
              <w:t>本项目</w:t>
            </w:r>
            <w:r>
              <w:rPr>
                <w:color w:val="auto"/>
                <w:position w:val="-8"/>
                <w:highlight w:val="none"/>
              </w:rPr>
              <w:drawing>
                <wp:inline distT="0" distB="0" distL="0" distR="0">
                  <wp:extent cx="228600" cy="22796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7"/>
                          <a:stretch>
                            <a:fillRect/>
                          </a:stretch>
                        </pic:blipFill>
                        <pic:spPr>
                          <a:xfrm>
                            <a:off x="0" y="0"/>
                            <a:ext cx="228600" cy="228371"/>
                          </a:xfrm>
                          <a:prstGeom prst="rect">
                            <a:avLst/>
                          </a:prstGeom>
                        </pic:spPr>
                      </pic:pic>
                    </a:graphicData>
                  </a:graphic>
                </wp:inline>
              </w:drawing>
            </w:r>
            <w:r>
              <w:rPr>
                <w:color w:val="auto"/>
                <w:spacing w:val="-1"/>
                <w:highlight w:val="none"/>
              </w:rPr>
              <w:t>不接受□接受联合体投标</w:t>
            </w:r>
          </w:p>
        </w:tc>
      </w:tr>
      <w:tr w14:paraId="0CEF3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652" w:type="dxa"/>
            <w:vAlign w:val="top"/>
          </w:tcPr>
          <w:p w14:paraId="66F85F1B">
            <w:pPr>
              <w:pStyle w:val="12"/>
              <w:spacing w:before="138"/>
              <w:ind w:left="275"/>
              <w:rPr>
                <w:color w:val="auto"/>
                <w:highlight w:val="none"/>
              </w:rPr>
            </w:pPr>
            <w:r>
              <w:rPr>
                <w:color w:val="auto"/>
                <w:highlight w:val="none"/>
              </w:rPr>
              <w:t>6</w:t>
            </w:r>
          </w:p>
        </w:tc>
        <w:tc>
          <w:tcPr>
            <w:tcW w:w="1923" w:type="dxa"/>
            <w:vAlign w:val="top"/>
          </w:tcPr>
          <w:p w14:paraId="41ED6703">
            <w:pPr>
              <w:pStyle w:val="12"/>
              <w:spacing w:before="138" w:line="218" w:lineRule="auto"/>
              <w:ind w:left="369"/>
              <w:rPr>
                <w:color w:val="auto"/>
                <w:highlight w:val="none"/>
              </w:rPr>
            </w:pPr>
            <w:r>
              <w:rPr>
                <w:b/>
                <w:bCs/>
                <w:color w:val="auto"/>
                <w:spacing w:val="-4"/>
                <w:highlight w:val="none"/>
              </w:rPr>
              <w:t>★</w:t>
            </w:r>
            <w:r>
              <w:rPr>
                <w:color w:val="auto"/>
                <w:spacing w:val="-4"/>
                <w:highlight w:val="none"/>
              </w:rPr>
              <w:t>最高限价</w:t>
            </w:r>
          </w:p>
        </w:tc>
        <w:tc>
          <w:tcPr>
            <w:tcW w:w="7543" w:type="dxa"/>
            <w:vAlign w:val="top"/>
          </w:tcPr>
          <w:p w14:paraId="2AFCFE77">
            <w:pPr>
              <w:pStyle w:val="12"/>
              <w:spacing w:before="191" w:line="218" w:lineRule="auto"/>
              <w:ind w:left="119"/>
              <w:rPr>
                <w:color w:val="auto"/>
                <w:highlight w:val="none"/>
              </w:rPr>
            </w:pPr>
            <w:r>
              <w:rPr>
                <w:rFonts w:hint="eastAsia"/>
                <w:b/>
                <w:bCs/>
                <w:color w:val="auto"/>
                <w:spacing w:val="-2"/>
                <w:highlight w:val="none"/>
                <w:lang w:val="en-US" w:eastAsia="zh-CN"/>
              </w:rPr>
              <w:t>1624261.5</w:t>
            </w:r>
            <w:r>
              <w:rPr>
                <w:b/>
                <w:bCs/>
                <w:color w:val="auto"/>
                <w:spacing w:val="-2"/>
                <w:highlight w:val="none"/>
              </w:rPr>
              <w:t>元</w:t>
            </w:r>
            <w:r>
              <w:rPr>
                <w:rFonts w:hint="eastAsia"/>
                <w:b/>
                <w:bCs/>
                <w:color w:val="auto"/>
                <w:spacing w:val="-2"/>
                <w:highlight w:val="none"/>
                <w:lang w:val="en-US" w:eastAsia="zh-CN"/>
              </w:rPr>
              <w:t>/三年</w:t>
            </w:r>
            <w:r>
              <w:rPr>
                <w:b/>
                <w:bCs/>
                <w:color w:val="auto"/>
                <w:spacing w:val="-2"/>
                <w:highlight w:val="none"/>
              </w:rPr>
              <w:t>（财政资金），超出最高限价的投标无效</w:t>
            </w:r>
            <w:r>
              <w:rPr>
                <w:color w:val="auto"/>
                <w:spacing w:val="-2"/>
                <w:highlight w:val="none"/>
              </w:rPr>
              <w:t>。</w:t>
            </w:r>
          </w:p>
        </w:tc>
      </w:tr>
      <w:tr w14:paraId="31A50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trPr>
        <w:tc>
          <w:tcPr>
            <w:tcW w:w="652" w:type="dxa"/>
            <w:vAlign w:val="top"/>
          </w:tcPr>
          <w:p w14:paraId="3D753B83">
            <w:pPr>
              <w:spacing w:line="300" w:lineRule="auto"/>
              <w:rPr>
                <w:rFonts w:ascii="Arial"/>
                <w:color w:val="auto"/>
                <w:sz w:val="21"/>
                <w:highlight w:val="none"/>
              </w:rPr>
            </w:pPr>
          </w:p>
          <w:p w14:paraId="059A93B1">
            <w:pPr>
              <w:pStyle w:val="12"/>
              <w:spacing w:before="78"/>
              <w:ind w:left="279"/>
              <w:rPr>
                <w:color w:val="auto"/>
                <w:highlight w:val="none"/>
              </w:rPr>
            </w:pPr>
            <w:r>
              <w:rPr>
                <w:color w:val="auto"/>
                <w:highlight w:val="none"/>
              </w:rPr>
              <w:t>7</w:t>
            </w:r>
          </w:p>
        </w:tc>
        <w:tc>
          <w:tcPr>
            <w:tcW w:w="1923" w:type="dxa"/>
            <w:vAlign w:val="top"/>
          </w:tcPr>
          <w:p w14:paraId="131C60E6">
            <w:pPr>
              <w:spacing w:line="301" w:lineRule="auto"/>
              <w:rPr>
                <w:rFonts w:ascii="Arial"/>
                <w:color w:val="auto"/>
                <w:sz w:val="21"/>
                <w:highlight w:val="none"/>
              </w:rPr>
            </w:pPr>
          </w:p>
          <w:p w14:paraId="24F192F9">
            <w:pPr>
              <w:pStyle w:val="12"/>
              <w:spacing w:before="78" w:line="219" w:lineRule="auto"/>
              <w:ind w:left="487"/>
              <w:rPr>
                <w:color w:val="auto"/>
                <w:highlight w:val="none"/>
              </w:rPr>
            </w:pPr>
            <w:r>
              <w:rPr>
                <w:color w:val="auto"/>
                <w:spacing w:val="-3"/>
                <w:highlight w:val="none"/>
              </w:rPr>
              <w:t>现场考察</w:t>
            </w:r>
          </w:p>
        </w:tc>
        <w:tc>
          <w:tcPr>
            <w:tcW w:w="7543" w:type="dxa"/>
            <w:vAlign w:val="top"/>
          </w:tcPr>
          <w:p w14:paraId="51661EBD">
            <w:pPr>
              <w:pStyle w:val="12"/>
              <w:spacing w:before="138"/>
              <w:ind w:left="154"/>
              <w:rPr>
                <w:color w:val="auto"/>
                <w:highlight w:val="none"/>
              </w:rPr>
            </w:pPr>
            <w:r>
              <w:rPr>
                <w:color w:val="auto"/>
                <w:position w:val="-7"/>
                <w:highlight w:val="none"/>
              </w:rPr>
              <w:drawing>
                <wp:inline distT="0" distB="0" distL="0" distR="0">
                  <wp:extent cx="196215" cy="22796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8"/>
                          <a:stretch>
                            <a:fillRect/>
                          </a:stretch>
                        </pic:blipFill>
                        <pic:spPr>
                          <a:xfrm>
                            <a:off x="0" y="0"/>
                            <a:ext cx="196367" cy="228371"/>
                          </a:xfrm>
                          <a:prstGeom prst="rect">
                            <a:avLst/>
                          </a:prstGeom>
                        </pic:spPr>
                      </pic:pic>
                    </a:graphicData>
                  </a:graphic>
                </wp:inline>
              </w:drawing>
            </w:r>
            <w:r>
              <w:rPr>
                <w:color w:val="auto"/>
                <w:position w:val="1"/>
                <w:highlight w:val="none"/>
              </w:rPr>
              <w:t>不组织</w:t>
            </w:r>
          </w:p>
          <w:p w14:paraId="6DD26C00">
            <w:pPr>
              <w:pStyle w:val="12"/>
              <w:spacing w:before="164" w:line="221" w:lineRule="auto"/>
              <w:ind w:left="137"/>
              <w:rPr>
                <w:color w:val="auto"/>
                <w:highlight w:val="none"/>
              </w:rPr>
            </w:pPr>
            <w:r>
              <w:rPr>
                <w:b/>
                <w:bCs/>
                <w:color w:val="auto"/>
                <w:spacing w:val="-3"/>
                <w:highlight w:val="none"/>
              </w:rPr>
              <w:t>□</w:t>
            </w:r>
            <w:r>
              <w:rPr>
                <w:color w:val="auto"/>
                <w:spacing w:val="-3"/>
                <w:highlight w:val="none"/>
              </w:rPr>
              <w:t>组织，时间：      地点：</w:t>
            </w:r>
          </w:p>
        </w:tc>
      </w:tr>
      <w:tr w14:paraId="5001B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trPr>
        <w:tc>
          <w:tcPr>
            <w:tcW w:w="652" w:type="dxa"/>
            <w:vAlign w:val="top"/>
          </w:tcPr>
          <w:p w14:paraId="051D52B4">
            <w:pPr>
              <w:spacing w:line="299" w:lineRule="auto"/>
              <w:rPr>
                <w:rFonts w:ascii="Arial"/>
                <w:color w:val="auto"/>
                <w:sz w:val="21"/>
                <w:highlight w:val="none"/>
              </w:rPr>
            </w:pPr>
          </w:p>
          <w:p w14:paraId="5745AF59">
            <w:pPr>
              <w:pStyle w:val="12"/>
              <w:spacing w:before="78"/>
              <w:ind w:left="274"/>
              <w:rPr>
                <w:color w:val="auto"/>
                <w:highlight w:val="none"/>
              </w:rPr>
            </w:pPr>
            <w:r>
              <w:rPr>
                <w:color w:val="auto"/>
                <w:highlight w:val="none"/>
              </w:rPr>
              <w:t>8</w:t>
            </w:r>
          </w:p>
        </w:tc>
        <w:tc>
          <w:tcPr>
            <w:tcW w:w="1923" w:type="dxa"/>
            <w:vAlign w:val="top"/>
          </w:tcPr>
          <w:p w14:paraId="1E9C1137">
            <w:pPr>
              <w:spacing w:line="299" w:lineRule="auto"/>
              <w:rPr>
                <w:rFonts w:ascii="Arial"/>
                <w:color w:val="auto"/>
                <w:sz w:val="21"/>
                <w:highlight w:val="none"/>
              </w:rPr>
            </w:pPr>
          </w:p>
          <w:p w14:paraId="328C86F5">
            <w:pPr>
              <w:pStyle w:val="12"/>
              <w:spacing w:before="78" w:line="219" w:lineRule="auto"/>
              <w:ind w:left="245"/>
              <w:rPr>
                <w:color w:val="auto"/>
                <w:highlight w:val="none"/>
              </w:rPr>
            </w:pPr>
            <w:r>
              <w:rPr>
                <w:color w:val="auto"/>
                <w:spacing w:val="-2"/>
                <w:highlight w:val="none"/>
              </w:rPr>
              <w:t>磋商前答疑会</w:t>
            </w:r>
          </w:p>
        </w:tc>
        <w:tc>
          <w:tcPr>
            <w:tcW w:w="7543" w:type="dxa"/>
            <w:vAlign w:val="top"/>
          </w:tcPr>
          <w:p w14:paraId="1B05019B">
            <w:pPr>
              <w:pStyle w:val="12"/>
              <w:spacing w:before="137"/>
              <w:ind w:left="154"/>
              <w:rPr>
                <w:color w:val="auto"/>
                <w:highlight w:val="none"/>
              </w:rPr>
            </w:pPr>
            <w:r>
              <w:rPr>
                <w:color w:val="auto"/>
                <w:position w:val="-7"/>
                <w:highlight w:val="none"/>
              </w:rPr>
              <w:drawing>
                <wp:inline distT="0" distB="0" distL="0" distR="0">
                  <wp:extent cx="196215" cy="22796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9"/>
                          <a:stretch>
                            <a:fillRect/>
                          </a:stretch>
                        </pic:blipFill>
                        <pic:spPr>
                          <a:xfrm>
                            <a:off x="0" y="0"/>
                            <a:ext cx="196367" cy="228371"/>
                          </a:xfrm>
                          <a:prstGeom prst="rect">
                            <a:avLst/>
                          </a:prstGeom>
                        </pic:spPr>
                      </pic:pic>
                    </a:graphicData>
                  </a:graphic>
                </wp:inline>
              </w:drawing>
            </w:r>
            <w:r>
              <w:rPr>
                <w:color w:val="auto"/>
                <w:position w:val="1"/>
                <w:highlight w:val="none"/>
              </w:rPr>
              <w:t>不召开</w:t>
            </w:r>
          </w:p>
          <w:p w14:paraId="5091F118">
            <w:pPr>
              <w:pStyle w:val="12"/>
              <w:spacing w:before="165" w:line="221" w:lineRule="auto"/>
              <w:ind w:left="137"/>
              <w:rPr>
                <w:color w:val="auto"/>
                <w:highlight w:val="none"/>
              </w:rPr>
            </w:pPr>
            <w:r>
              <w:rPr>
                <w:color w:val="auto"/>
                <w:spacing w:val="-3"/>
                <w:highlight w:val="none"/>
              </w:rPr>
              <w:t>□召开，时间：      地点：</w:t>
            </w:r>
          </w:p>
        </w:tc>
      </w:tr>
      <w:tr w14:paraId="0D079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652" w:type="dxa"/>
            <w:vAlign w:val="top"/>
          </w:tcPr>
          <w:p w14:paraId="68E0DCBF">
            <w:pPr>
              <w:pStyle w:val="12"/>
              <w:spacing w:before="229"/>
              <w:ind w:left="274"/>
              <w:rPr>
                <w:color w:val="auto"/>
                <w:highlight w:val="none"/>
              </w:rPr>
            </w:pPr>
            <w:r>
              <w:rPr>
                <w:color w:val="auto"/>
                <w:highlight w:val="none"/>
              </w:rPr>
              <w:t>9</w:t>
            </w:r>
          </w:p>
        </w:tc>
        <w:tc>
          <w:tcPr>
            <w:tcW w:w="1923" w:type="dxa"/>
            <w:vAlign w:val="top"/>
          </w:tcPr>
          <w:p w14:paraId="38EE845B">
            <w:pPr>
              <w:pStyle w:val="12"/>
              <w:spacing w:before="230" w:line="219" w:lineRule="auto"/>
              <w:ind w:left="244"/>
              <w:rPr>
                <w:color w:val="auto"/>
                <w:highlight w:val="none"/>
              </w:rPr>
            </w:pPr>
            <w:r>
              <w:rPr>
                <w:color w:val="auto"/>
                <w:spacing w:val="-2"/>
                <w:highlight w:val="none"/>
              </w:rPr>
              <w:t>进口产品参与</w:t>
            </w:r>
          </w:p>
        </w:tc>
        <w:tc>
          <w:tcPr>
            <w:tcW w:w="7543" w:type="dxa"/>
            <w:vAlign w:val="top"/>
          </w:tcPr>
          <w:p w14:paraId="425F455B">
            <w:pPr>
              <w:pStyle w:val="12"/>
              <w:spacing w:before="218"/>
              <w:ind w:left="154"/>
              <w:rPr>
                <w:color w:val="auto"/>
                <w:highlight w:val="none"/>
              </w:rPr>
            </w:pPr>
            <w:r>
              <w:rPr>
                <w:color w:val="auto"/>
                <w:position w:val="-8"/>
                <w:highlight w:val="none"/>
              </w:rPr>
              <w:drawing>
                <wp:inline distT="0" distB="0" distL="0" distR="0">
                  <wp:extent cx="196215" cy="22796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0"/>
                          <a:stretch>
                            <a:fillRect/>
                          </a:stretch>
                        </pic:blipFill>
                        <pic:spPr>
                          <a:xfrm>
                            <a:off x="0" y="0"/>
                            <a:ext cx="196367" cy="228371"/>
                          </a:xfrm>
                          <a:prstGeom prst="rect">
                            <a:avLst/>
                          </a:prstGeom>
                        </pic:spPr>
                      </pic:pic>
                    </a:graphicData>
                  </a:graphic>
                </wp:inline>
              </w:drawing>
            </w:r>
            <w:r>
              <w:rPr>
                <w:color w:val="auto"/>
                <w:spacing w:val="-6"/>
                <w:highlight w:val="none"/>
              </w:rPr>
              <w:t>不允许</w:t>
            </w:r>
            <w:r>
              <w:rPr>
                <w:color w:val="auto"/>
                <w:spacing w:val="8"/>
                <w:highlight w:val="none"/>
              </w:rPr>
              <w:t xml:space="preserve">    </w:t>
            </w:r>
            <w:r>
              <w:rPr>
                <w:b/>
                <w:bCs/>
                <w:color w:val="auto"/>
                <w:spacing w:val="-6"/>
                <w:highlight w:val="none"/>
              </w:rPr>
              <w:t>□</w:t>
            </w:r>
            <w:r>
              <w:rPr>
                <w:color w:val="auto"/>
                <w:spacing w:val="-6"/>
                <w:highlight w:val="none"/>
              </w:rPr>
              <w:t>允许</w:t>
            </w:r>
          </w:p>
        </w:tc>
      </w:tr>
      <w:tr w14:paraId="7DA74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trPr>
        <w:tc>
          <w:tcPr>
            <w:tcW w:w="652" w:type="dxa"/>
            <w:vAlign w:val="top"/>
          </w:tcPr>
          <w:p w14:paraId="67DC6EF7">
            <w:pPr>
              <w:spacing w:line="245" w:lineRule="auto"/>
              <w:rPr>
                <w:rFonts w:ascii="Arial"/>
                <w:color w:val="auto"/>
                <w:sz w:val="21"/>
                <w:highlight w:val="none"/>
              </w:rPr>
            </w:pPr>
          </w:p>
          <w:p w14:paraId="288C2F0E">
            <w:pPr>
              <w:spacing w:line="246" w:lineRule="auto"/>
              <w:rPr>
                <w:rFonts w:ascii="Arial"/>
                <w:color w:val="auto"/>
                <w:sz w:val="21"/>
                <w:highlight w:val="none"/>
              </w:rPr>
            </w:pPr>
          </w:p>
          <w:p w14:paraId="2782A291">
            <w:pPr>
              <w:pStyle w:val="12"/>
              <w:spacing w:before="78"/>
              <w:ind w:left="231"/>
              <w:rPr>
                <w:color w:val="auto"/>
                <w:highlight w:val="none"/>
              </w:rPr>
            </w:pPr>
            <w:r>
              <w:rPr>
                <w:color w:val="auto"/>
                <w:spacing w:val="-14"/>
                <w:highlight w:val="none"/>
              </w:rPr>
              <w:t>10</w:t>
            </w:r>
          </w:p>
        </w:tc>
        <w:tc>
          <w:tcPr>
            <w:tcW w:w="1923" w:type="dxa"/>
            <w:vAlign w:val="top"/>
          </w:tcPr>
          <w:p w14:paraId="610D2A10">
            <w:pPr>
              <w:spacing w:line="246" w:lineRule="auto"/>
              <w:rPr>
                <w:rFonts w:ascii="Arial"/>
                <w:color w:val="auto"/>
                <w:sz w:val="21"/>
                <w:highlight w:val="none"/>
              </w:rPr>
            </w:pPr>
          </w:p>
          <w:p w14:paraId="1B3A3CD7">
            <w:pPr>
              <w:spacing w:line="246" w:lineRule="auto"/>
              <w:rPr>
                <w:rFonts w:ascii="Arial"/>
                <w:color w:val="auto"/>
                <w:sz w:val="21"/>
                <w:highlight w:val="none"/>
              </w:rPr>
            </w:pPr>
          </w:p>
          <w:p w14:paraId="6F2CF706">
            <w:pPr>
              <w:pStyle w:val="12"/>
              <w:spacing w:before="78" w:line="220" w:lineRule="auto"/>
              <w:ind w:left="249"/>
              <w:rPr>
                <w:color w:val="auto"/>
                <w:highlight w:val="none"/>
              </w:rPr>
            </w:pPr>
            <w:r>
              <w:rPr>
                <w:b/>
                <w:bCs/>
                <w:color w:val="auto"/>
                <w:spacing w:val="-3"/>
                <w:highlight w:val="none"/>
              </w:rPr>
              <w:t>★</w:t>
            </w:r>
            <w:r>
              <w:rPr>
                <w:color w:val="auto"/>
                <w:spacing w:val="-3"/>
                <w:highlight w:val="none"/>
              </w:rPr>
              <w:t>磋商有效期</w:t>
            </w:r>
          </w:p>
        </w:tc>
        <w:tc>
          <w:tcPr>
            <w:tcW w:w="7543" w:type="dxa"/>
            <w:vAlign w:val="top"/>
          </w:tcPr>
          <w:p w14:paraId="44C45B47">
            <w:pPr>
              <w:pStyle w:val="12"/>
              <w:spacing w:before="165" w:line="219" w:lineRule="auto"/>
              <w:ind w:left="114"/>
              <w:rPr>
                <w:color w:val="auto"/>
                <w:highlight w:val="none"/>
              </w:rPr>
            </w:pPr>
            <w:r>
              <w:rPr>
                <w:color w:val="auto"/>
                <w:spacing w:val="-1"/>
                <w:highlight w:val="none"/>
              </w:rPr>
              <w:t>90天（自提交磋商文件的截止之日起算）</w:t>
            </w:r>
          </w:p>
          <w:p w14:paraId="50F9BDCC">
            <w:pPr>
              <w:pStyle w:val="12"/>
              <w:spacing w:before="174" w:line="288" w:lineRule="auto"/>
              <w:ind w:left="116" w:right="174" w:hanging="1"/>
              <w:rPr>
                <w:color w:val="auto"/>
                <w:highlight w:val="none"/>
              </w:rPr>
            </w:pPr>
            <w:r>
              <w:rPr>
                <w:color w:val="auto"/>
                <w:spacing w:val="1"/>
                <w:highlight w:val="none"/>
              </w:rPr>
              <w:t>成交供应商磋商有效期延至合同验收之日，成交供应商全部合同义务</w:t>
            </w:r>
            <w:r>
              <w:rPr>
                <w:color w:val="auto"/>
                <w:spacing w:val="-2"/>
                <w:highlight w:val="none"/>
              </w:rPr>
              <w:t>履行完毕为止。</w:t>
            </w:r>
          </w:p>
        </w:tc>
      </w:tr>
      <w:tr w14:paraId="494F8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0" w:hRule="atLeast"/>
        </w:trPr>
        <w:tc>
          <w:tcPr>
            <w:tcW w:w="652" w:type="dxa"/>
            <w:vAlign w:val="top"/>
          </w:tcPr>
          <w:p w14:paraId="79F43D10">
            <w:pPr>
              <w:spacing w:line="342" w:lineRule="auto"/>
              <w:rPr>
                <w:rFonts w:ascii="Arial"/>
                <w:color w:val="auto"/>
                <w:sz w:val="21"/>
                <w:highlight w:val="none"/>
              </w:rPr>
            </w:pPr>
          </w:p>
          <w:p w14:paraId="3597D577">
            <w:pPr>
              <w:pStyle w:val="12"/>
              <w:spacing w:before="78" w:line="241" w:lineRule="auto"/>
              <w:ind w:left="231"/>
              <w:rPr>
                <w:color w:val="auto"/>
                <w:highlight w:val="none"/>
              </w:rPr>
            </w:pPr>
            <w:r>
              <w:rPr>
                <w:color w:val="auto"/>
                <w:spacing w:val="-14"/>
                <w:highlight w:val="none"/>
              </w:rPr>
              <w:t>11</w:t>
            </w:r>
          </w:p>
        </w:tc>
        <w:tc>
          <w:tcPr>
            <w:tcW w:w="1923" w:type="dxa"/>
            <w:vAlign w:val="top"/>
          </w:tcPr>
          <w:p w14:paraId="31DC6961">
            <w:pPr>
              <w:pStyle w:val="12"/>
              <w:spacing w:before="63" w:line="258" w:lineRule="auto"/>
              <w:ind w:left="145" w:right="121" w:firstLine="2"/>
              <w:jc w:val="both"/>
              <w:rPr>
                <w:color w:val="auto"/>
                <w:highlight w:val="none"/>
              </w:rPr>
            </w:pPr>
            <w:r>
              <w:rPr>
                <w:color w:val="auto"/>
                <w:spacing w:val="-5"/>
                <w:highlight w:val="none"/>
              </w:rPr>
              <w:t>中标人将本项目的非主体、非关</w:t>
            </w:r>
            <w:r>
              <w:rPr>
                <w:color w:val="auto"/>
                <w:spacing w:val="15"/>
                <w:highlight w:val="none"/>
              </w:rPr>
              <w:t>键性工作分包</w:t>
            </w:r>
          </w:p>
        </w:tc>
        <w:tc>
          <w:tcPr>
            <w:tcW w:w="7543" w:type="dxa"/>
            <w:vAlign w:val="top"/>
          </w:tcPr>
          <w:p w14:paraId="459D8EE3">
            <w:pPr>
              <w:spacing w:line="295" w:lineRule="auto"/>
              <w:rPr>
                <w:rFonts w:ascii="Arial"/>
                <w:color w:val="auto"/>
                <w:sz w:val="21"/>
                <w:highlight w:val="none"/>
              </w:rPr>
            </w:pPr>
          </w:p>
          <w:p w14:paraId="39E5E1D4">
            <w:pPr>
              <w:pStyle w:val="12"/>
              <w:spacing w:before="113" w:line="217" w:lineRule="auto"/>
              <w:ind w:left="154"/>
              <w:rPr>
                <w:color w:val="auto"/>
                <w:highlight w:val="none"/>
              </w:rPr>
            </w:pPr>
            <w:r>
              <w:rPr>
                <w:color w:val="auto"/>
                <w:position w:val="-7"/>
                <w:highlight w:val="none"/>
              </w:rPr>
              <w:drawing>
                <wp:inline distT="0" distB="0" distL="0" distR="0">
                  <wp:extent cx="196215" cy="22796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61"/>
                          <a:stretch>
                            <a:fillRect/>
                          </a:stretch>
                        </pic:blipFill>
                        <pic:spPr>
                          <a:xfrm>
                            <a:off x="0" y="0"/>
                            <a:ext cx="196367" cy="228371"/>
                          </a:xfrm>
                          <a:prstGeom prst="rect">
                            <a:avLst/>
                          </a:prstGeom>
                        </pic:spPr>
                      </pic:pic>
                    </a:graphicData>
                  </a:graphic>
                </wp:inline>
              </w:drawing>
            </w:r>
            <w:r>
              <w:rPr>
                <w:color w:val="auto"/>
                <w:spacing w:val="-8"/>
                <w:position w:val="1"/>
                <w:highlight w:val="none"/>
              </w:rPr>
              <w:t>不允许</w:t>
            </w:r>
            <w:r>
              <w:rPr>
                <w:color w:val="auto"/>
                <w:spacing w:val="18"/>
                <w:position w:val="1"/>
                <w:highlight w:val="none"/>
              </w:rPr>
              <w:t xml:space="preserve">   </w:t>
            </w:r>
            <w:r>
              <w:rPr>
                <w:b/>
                <w:bCs/>
                <w:color w:val="auto"/>
                <w:spacing w:val="-8"/>
                <w:position w:val="-2"/>
                <w:sz w:val="35"/>
                <w:szCs w:val="35"/>
                <w:highlight w:val="none"/>
              </w:rPr>
              <w:t>□</w:t>
            </w:r>
            <w:r>
              <w:rPr>
                <w:color w:val="auto"/>
                <w:spacing w:val="-8"/>
                <w:position w:val="1"/>
                <w:highlight w:val="none"/>
              </w:rPr>
              <w:t>允许</w:t>
            </w:r>
          </w:p>
        </w:tc>
      </w:tr>
      <w:tr w14:paraId="2F73B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652" w:type="dxa"/>
            <w:vAlign w:val="top"/>
          </w:tcPr>
          <w:p w14:paraId="61A04A89">
            <w:pPr>
              <w:pStyle w:val="12"/>
              <w:spacing w:before="311" w:line="241" w:lineRule="auto"/>
              <w:ind w:left="231"/>
              <w:rPr>
                <w:color w:val="auto"/>
                <w:highlight w:val="none"/>
              </w:rPr>
            </w:pPr>
            <w:r>
              <w:rPr>
                <w:color w:val="auto"/>
                <w:spacing w:val="-14"/>
                <w:highlight w:val="none"/>
              </w:rPr>
              <w:t>12</w:t>
            </w:r>
          </w:p>
        </w:tc>
        <w:tc>
          <w:tcPr>
            <w:tcW w:w="1923" w:type="dxa"/>
            <w:vAlign w:val="top"/>
          </w:tcPr>
          <w:p w14:paraId="7E039555">
            <w:pPr>
              <w:pStyle w:val="12"/>
              <w:spacing w:before="131" w:line="277" w:lineRule="auto"/>
              <w:ind w:left="368" w:right="121" w:hanging="242"/>
              <w:rPr>
                <w:color w:val="auto"/>
                <w:highlight w:val="none"/>
              </w:rPr>
            </w:pPr>
            <w:r>
              <w:rPr>
                <w:color w:val="auto"/>
                <w:spacing w:val="-2"/>
                <w:highlight w:val="none"/>
              </w:rPr>
              <w:t>本项目是否采用</w:t>
            </w:r>
            <w:r>
              <w:rPr>
                <w:color w:val="auto"/>
                <w:spacing w:val="-3"/>
                <w:highlight w:val="none"/>
              </w:rPr>
              <w:t>不见面开标</w:t>
            </w:r>
          </w:p>
        </w:tc>
        <w:tc>
          <w:tcPr>
            <w:tcW w:w="7543" w:type="dxa"/>
            <w:vAlign w:val="top"/>
          </w:tcPr>
          <w:p w14:paraId="0219C98A">
            <w:pPr>
              <w:spacing w:line="284" w:lineRule="auto"/>
              <w:rPr>
                <w:rFonts w:ascii="Arial"/>
                <w:color w:val="auto"/>
                <w:sz w:val="21"/>
                <w:highlight w:val="none"/>
              </w:rPr>
            </w:pPr>
          </w:p>
          <w:p w14:paraId="10239B21">
            <w:pPr>
              <w:pStyle w:val="12"/>
              <w:spacing w:before="78" w:line="219" w:lineRule="auto"/>
              <w:ind w:left="114"/>
              <w:rPr>
                <w:color w:val="auto"/>
                <w:highlight w:val="none"/>
              </w:rPr>
            </w:pPr>
            <w:r>
              <w:rPr>
                <w:color w:val="auto"/>
                <w:spacing w:val="-1"/>
                <w:highlight w:val="none"/>
              </w:rPr>
              <w:t>本项目采用不见面开标。</w:t>
            </w:r>
          </w:p>
        </w:tc>
      </w:tr>
    </w:tbl>
    <w:p w14:paraId="383BB425">
      <w:pPr>
        <w:pStyle w:val="5"/>
        <w:rPr>
          <w:color w:val="auto"/>
          <w:highlight w:val="none"/>
        </w:rPr>
      </w:pPr>
    </w:p>
    <w:p w14:paraId="764F9842">
      <w:pPr>
        <w:rPr>
          <w:color w:val="auto"/>
          <w:highlight w:val="none"/>
        </w:rPr>
        <w:sectPr>
          <w:footerReference r:id="rId7" w:type="default"/>
          <w:pgSz w:w="11906" w:h="16839"/>
          <w:pgMar w:top="1431" w:right="858" w:bottom="1443" w:left="923" w:header="0" w:footer="1202" w:gutter="0"/>
          <w:pgNumType w:fmt="decimal"/>
          <w:cols w:space="720" w:num="1"/>
        </w:sectPr>
      </w:pPr>
    </w:p>
    <w:p w14:paraId="6EF0495D">
      <w:pPr>
        <w:spacing w:line="91" w:lineRule="auto"/>
        <w:rPr>
          <w:rFonts w:ascii="Arial"/>
          <w:color w:val="auto"/>
          <w:sz w:val="2"/>
          <w:highlight w:val="none"/>
        </w:rPr>
      </w:pPr>
    </w:p>
    <w:tbl>
      <w:tblPr>
        <w:tblStyle w:val="11"/>
        <w:tblW w:w="100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923"/>
        <w:gridCol w:w="7478"/>
      </w:tblGrid>
      <w:tr w14:paraId="3BB95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trPr>
        <w:tc>
          <w:tcPr>
            <w:tcW w:w="652" w:type="dxa"/>
            <w:vAlign w:val="top"/>
          </w:tcPr>
          <w:p w14:paraId="5393C171">
            <w:pPr>
              <w:spacing w:line="288" w:lineRule="auto"/>
              <w:rPr>
                <w:rFonts w:ascii="Arial"/>
                <w:color w:val="auto"/>
                <w:sz w:val="21"/>
                <w:highlight w:val="none"/>
              </w:rPr>
            </w:pPr>
          </w:p>
          <w:p w14:paraId="65393A15">
            <w:pPr>
              <w:spacing w:line="288" w:lineRule="auto"/>
              <w:rPr>
                <w:rFonts w:ascii="Arial"/>
                <w:color w:val="auto"/>
                <w:sz w:val="21"/>
                <w:highlight w:val="none"/>
              </w:rPr>
            </w:pPr>
          </w:p>
          <w:p w14:paraId="739E3B4C">
            <w:pPr>
              <w:pStyle w:val="12"/>
              <w:spacing w:before="78"/>
              <w:ind w:left="231"/>
              <w:rPr>
                <w:color w:val="auto"/>
                <w:highlight w:val="none"/>
              </w:rPr>
            </w:pPr>
            <w:r>
              <w:rPr>
                <w:color w:val="auto"/>
                <w:spacing w:val="-14"/>
                <w:highlight w:val="none"/>
              </w:rPr>
              <w:t>13</w:t>
            </w:r>
          </w:p>
        </w:tc>
        <w:tc>
          <w:tcPr>
            <w:tcW w:w="1923" w:type="dxa"/>
            <w:vAlign w:val="top"/>
          </w:tcPr>
          <w:p w14:paraId="2448433F">
            <w:pPr>
              <w:spacing w:line="421" w:lineRule="auto"/>
              <w:rPr>
                <w:rFonts w:ascii="Arial"/>
                <w:color w:val="auto"/>
                <w:sz w:val="21"/>
                <w:highlight w:val="none"/>
              </w:rPr>
            </w:pPr>
          </w:p>
          <w:p w14:paraId="6E3C3E64">
            <w:pPr>
              <w:pStyle w:val="12"/>
              <w:spacing w:before="78" w:line="280" w:lineRule="auto"/>
              <w:ind w:left="610" w:right="121" w:hanging="456"/>
              <w:rPr>
                <w:color w:val="auto"/>
                <w:highlight w:val="none"/>
              </w:rPr>
            </w:pPr>
            <w:r>
              <w:rPr>
                <w:color w:val="auto"/>
                <w:spacing w:val="-6"/>
                <w:highlight w:val="none"/>
              </w:rPr>
              <w:t>电子投标文件递</w:t>
            </w:r>
            <w:r>
              <w:rPr>
                <w:color w:val="auto"/>
                <w:spacing w:val="-5"/>
                <w:highlight w:val="none"/>
              </w:rPr>
              <w:t>交地点</w:t>
            </w:r>
          </w:p>
        </w:tc>
        <w:tc>
          <w:tcPr>
            <w:tcW w:w="7478" w:type="dxa"/>
            <w:vAlign w:val="top"/>
          </w:tcPr>
          <w:p w14:paraId="6EC11D66">
            <w:pPr>
              <w:pStyle w:val="12"/>
              <w:spacing w:before="252" w:line="332" w:lineRule="auto"/>
              <w:ind w:left="119" w:right="109" w:firstLine="22"/>
              <w:jc w:val="both"/>
              <w:rPr>
                <w:color w:val="auto"/>
                <w:highlight w:val="none"/>
              </w:rPr>
            </w:pPr>
            <w:r>
              <w:rPr>
                <w:color w:val="auto"/>
                <w:spacing w:val="1"/>
                <w:highlight w:val="none"/>
              </w:rPr>
              <w:t>电子响应文件应按规定在投标截止时间（开标时</w:t>
            </w:r>
            <w:r>
              <w:rPr>
                <w:color w:val="auto"/>
                <w:highlight w:val="none"/>
              </w:rPr>
              <w:t>间）之前成功提交至</w:t>
            </w:r>
            <w:r>
              <w:rPr>
                <w:color w:val="auto"/>
                <w:spacing w:val="5"/>
                <w:highlight w:val="none"/>
              </w:rPr>
              <w:t>《全国公共资源交易平台（河南省</w:t>
            </w:r>
            <w:r>
              <w:rPr>
                <w:color w:val="auto"/>
                <w:spacing w:val="-4"/>
                <w:highlight w:val="none"/>
              </w:rPr>
              <w:t xml:space="preserve"> </w:t>
            </w:r>
            <w:r>
              <w:rPr>
                <w:color w:val="auto"/>
                <w:spacing w:val="5"/>
                <w:highlight w:val="none"/>
              </w:rPr>
              <w:t>·</w:t>
            </w:r>
            <w:r>
              <w:rPr>
                <w:color w:val="auto"/>
                <w:spacing w:val="-98"/>
                <w:highlight w:val="none"/>
              </w:rPr>
              <w:t xml:space="preserve"> </w:t>
            </w:r>
            <w:r>
              <w:rPr>
                <w:color w:val="auto"/>
                <w:spacing w:val="5"/>
                <w:highlight w:val="none"/>
              </w:rPr>
              <w:t>许昌市）》公共资源交易系统</w:t>
            </w:r>
            <w:r>
              <w:rPr>
                <w:color w:val="auto"/>
                <w:spacing w:val="-1"/>
                <w:highlight w:val="none"/>
              </w:rPr>
              <w:t>（</w:t>
            </w:r>
            <w:r>
              <w:rPr>
                <w:color w:val="auto"/>
                <w:highlight w:val="none"/>
              </w:rPr>
              <w:fldChar w:fldCharType="begin"/>
            </w:r>
            <w:r>
              <w:rPr>
                <w:color w:val="auto"/>
                <w:highlight w:val="none"/>
              </w:rPr>
              <w:instrText xml:space="preserve"> HYPERLINK "https://ggzy.xuchang.gov.cn" </w:instrText>
            </w:r>
            <w:r>
              <w:rPr>
                <w:color w:val="auto"/>
                <w:highlight w:val="none"/>
              </w:rPr>
              <w:fldChar w:fldCharType="separate"/>
            </w:r>
            <w:r>
              <w:rPr>
                <w:color w:val="auto"/>
                <w:spacing w:val="-1"/>
                <w:highlight w:val="none"/>
              </w:rPr>
              <w:t>https://ggzy.xuchang.gov.cn</w:t>
            </w:r>
            <w:r>
              <w:rPr>
                <w:color w:val="auto"/>
                <w:spacing w:val="-1"/>
                <w:highlight w:val="none"/>
              </w:rPr>
              <w:fldChar w:fldCharType="end"/>
            </w:r>
            <w:r>
              <w:rPr>
                <w:color w:val="auto"/>
                <w:spacing w:val="-1"/>
                <w:highlight w:val="none"/>
              </w:rPr>
              <w:t>）。</w:t>
            </w:r>
          </w:p>
        </w:tc>
      </w:tr>
      <w:tr w14:paraId="672C6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652" w:type="dxa"/>
            <w:vAlign w:val="top"/>
          </w:tcPr>
          <w:p w14:paraId="43375F41">
            <w:pPr>
              <w:spacing w:line="400" w:lineRule="auto"/>
              <w:rPr>
                <w:rFonts w:ascii="Arial"/>
                <w:color w:val="auto"/>
                <w:sz w:val="21"/>
                <w:highlight w:val="none"/>
              </w:rPr>
            </w:pPr>
          </w:p>
          <w:p w14:paraId="22C3A819">
            <w:pPr>
              <w:pStyle w:val="12"/>
              <w:spacing w:before="78" w:line="241" w:lineRule="auto"/>
              <w:ind w:left="231"/>
              <w:rPr>
                <w:color w:val="auto"/>
                <w:highlight w:val="none"/>
              </w:rPr>
            </w:pPr>
            <w:r>
              <w:rPr>
                <w:color w:val="auto"/>
                <w:spacing w:val="-14"/>
                <w:highlight w:val="none"/>
              </w:rPr>
              <w:t>14</w:t>
            </w:r>
          </w:p>
        </w:tc>
        <w:tc>
          <w:tcPr>
            <w:tcW w:w="1923" w:type="dxa"/>
            <w:vAlign w:val="top"/>
          </w:tcPr>
          <w:p w14:paraId="65D805F8">
            <w:pPr>
              <w:pStyle w:val="12"/>
              <w:spacing w:before="117" w:line="307" w:lineRule="auto"/>
              <w:ind w:left="114" w:right="95" w:firstLine="11"/>
              <w:rPr>
                <w:color w:val="auto"/>
                <w:highlight w:val="none"/>
              </w:rPr>
            </w:pPr>
            <w:r>
              <w:rPr>
                <w:color w:val="auto"/>
                <w:spacing w:val="-4"/>
                <w:highlight w:val="none"/>
              </w:rPr>
              <w:t>响应文件提交截</w:t>
            </w:r>
            <w:r>
              <w:rPr>
                <w:color w:val="auto"/>
                <w:spacing w:val="4"/>
                <w:highlight w:val="none"/>
              </w:rPr>
              <w:t>止、磋商响应截</w:t>
            </w:r>
          </w:p>
          <w:p w14:paraId="2BF27230">
            <w:pPr>
              <w:pStyle w:val="12"/>
              <w:spacing w:before="1" w:line="213" w:lineRule="auto"/>
              <w:ind w:left="114"/>
              <w:rPr>
                <w:color w:val="auto"/>
                <w:highlight w:val="none"/>
              </w:rPr>
            </w:pPr>
            <w:r>
              <w:rPr>
                <w:color w:val="auto"/>
                <w:spacing w:val="-2"/>
                <w:highlight w:val="none"/>
              </w:rPr>
              <w:t>止及磋商时间</w:t>
            </w:r>
          </w:p>
        </w:tc>
        <w:tc>
          <w:tcPr>
            <w:tcW w:w="7478" w:type="dxa"/>
            <w:vAlign w:val="center"/>
          </w:tcPr>
          <w:p w14:paraId="10ADABF9">
            <w:pPr>
              <w:pStyle w:val="12"/>
              <w:spacing w:before="78" w:line="219" w:lineRule="auto"/>
              <w:jc w:val="left"/>
              <w:rPr>
                <w:color w:val="auto"/>
                <w:highlight w:val="none"/>
              </w:rPr>
            </w:pPr>
            <w:r>
              <w:rPr>
                <w:color w:val="auto"/>
                <w:spacing w:val="-1"/>
                <w:highlight w:val="none"/>
              </w:rPr>
              <w:t>2026年</w:t>
            </w:r>
            <w:r>
              <w:rPr>
                <w:rFonts w:hint="eastAsia"/>
                <w:color w:val="auto"/>
                <w:spacing w:val="-1"/>
                <w:highlight w:val="none"/>
                <w:lang w:val="en-US" w:eastAsia="zh-CN"/>
              </w:rPr>
              <w:t>7</w:t>
            </w:r>
            <w:r>
              <w:rPr>
                <w:color w:val="auto"/>
                <w:spacing w:val="-1"/>
                <w:highlight w:val="none"/>
              </w:rPr>
              <w:t>月</w:t>
            </w:r>
            <w:r>
              <w:rPr>
                <w:rFonts w:hint="eastAsia"/>
                <w:color w:val="auto"/>
                <w:spacing w:val="-1"/>
                <w:highlight w:val="none"/>
                <w:lang w:val="en-US" w:eastAsia="zh-CN"/>
              </w:rPr>
              <w:t>27</w:t>
            </w:r>
            <w:r>
              <w:rPr>
                <w:color w:val="auto"/>
                <w:spacing w:val="-1"/>
                <w:highlight w:val="none"/>
              </w:rPr>
              <w:t>日9时30分（北京时间）</w:t>
            </w:r>
          </w:p>
        </w:tc>
      </w:tr>
      <w:tr w14:paraId="0447E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0" w:hRule="atLeast"/>
        </w:trPr>
        <w:tc>
          <w:tcPr>
            <w:tcW w:w="652" w:type="dxa"/>
            <w:vAlign w:val="top"/>
          </w:tcPr>
          <w:p w14:paraId="3783CCA7">
            <w:pPr>
              <w:spacing w:line="338" w:lineRule="auto"/>
              <w:rPr>
                <w:rFonts w:ascii="Arial"/>
                <w:color w:val="auto"/>
                <w:sz w:val="21"/>
                <w:highlight w:val="none"/>
              </w:rPr>
            </w:pPr>
          </w:p>
          <w:p w14:paraId="1F735334">
            <w:pPr>
              <w:pStyle w:val="12"/>
              <w:spacing w:before="78"/>
              <w:ind w:left="231"/>
              <w:rPr>
                <w:color w:val="auto"/>
                <w:highlight w:val="none"/>
              </w:rPr>
            </w:pPr>
            <w:r>
              <w:rPr>
                <w:color w:val="auto"/>
                <w:spacing w:val="-14"/>
                <w:highlight w:val="none"/>
              </w:rPr>
              <w:t>15</w:t>
            </w:r>
          </w:p>
        </w:tc>
        <w:tc>
          <w:tcPr>
            <w:tcW w:w="1923" w:type="dxa"/>
            <w:vAlign w:val="top"/>
          </w:tcPr>
          <w:p w14:paraId="4FAB5850">
            <w:pPr>
              <w:pStyle w:val="12"/>
              <w:spacing w:before="61" w:line="219" w:lineRule="auto"/>
              <w:ind w:left="125"/>
              <w:rPr>
                <w:color w:val="auto"/>
                <w:highlight w:val="none"/>
              </w:rPr>
            </w:pPr>
            <w:r>
              <w:rPr>
                <w:color w:val="auto"/>
                <w:spacing w:val="-2"/>
                <w:highlight w:val="none"/>
              </w:rPr>
              <w:t>采购人（代理机</w:t>
            </w:r>
          </w:p>
          <w:p w14:paraId="1593FE87">
            <w:pPr>
              <w:pStyle w:val="12"/>
              <w:spacing w:before="73" w:line="220" w:lineRule="auto"/>
              <w:ind w:left="128"/>
              <w:rPr>
                <w:color w:val="auto"/>
                <w:highlight w:val="none"/>
              </w:rPr>
            </w:pPr>
            <w:r>
              <w:rPr>
                <w:color w:val="auto"/>
                <w:spacing w:val="-2"/>
                <w:highlight w:val="none"/>
              </w:rPr>
              <w:t>构）线上开标地</w:t>
            </w:r>
          </w:p>
          <w:p w14:paraId="17F310C5">
            <w:pPr>
              <w:pStyle w:val="12"/>
              <w:spacing w:before="74" w:line="223" w:lineRule="auto"/>
              <w:ind w:left="858"/>
              <w:rPr>
                <w:color w:val="auto"/>
                <w:highlight w:val="none"/>
              </w:rPr>
            </w:pPr>
            <w:r>
              <w:rPr>
                <w:color w:val="auto"/>
                <w:highlight w:val="none"/>
              </w:rPr>
              <w:t>点</w:t>
            </w:r>
          </w:p>
        </w:tc>
        <w:tc>
          <w:tcPr>
            <w:tcW w:w="7478" w:type="dxa"/>
            <w:vAlign w:val="top"/>
          </w:tcPr>
          <w:p w14:paraId="50C60EE7">
            <w:pPr>
              <w:pStyle w:val="12"/>
              <w:spacing w:before="243" w:line="318" w:lineRule="auto"/>
              <w:ind w:left="114" w:right="109"/>
              <w:rPr>
                <w:color w:val="auto"/>
                <w:highlight w:val="none"/>
              </w:rPr>
            </w:pPr>
            <w:r>
              <w:rPr>
                <w:color w:val="auto"/>
                <w:spacing w:val="1"/>
                <w:highlight w:val="none"/>
              </w:rPr>
              <w:t>许昌市建安区公共资源交易中心四楼开标一室（</w:t>
            </w:r>
            <w:r>
              <w:rPr>
                <w:b/>
                <w:bCs/>
                <w:color w:val="auto"/>
                <w:spacing w:val="1"/>
                <w:highlight w:val="none"/>
              </w:rPr>
              <w:t>本项目采</w:t>
            </w:r>
            <w:r>
              <w:rPr>
                <w:b/>
                <w:bCs/>
                <w:color w:val="auto"/>
                <w:highlight w:val="none"/>
              </w:rPr>
              <w:t>用远程不见</w:t>
            </w:r>
            <w:r>
              <w:rPr>
                <w:b/>
                <w:bCs/>
                <w:color w:val="auto"/>
                <w:spacing w:val="-3"/>
                <w:highlight w:val="none"/>
              </w:rPr>
              <w:t>面开标，供应商无须到现场。</w:t>
            </w:r>
            <w:r>
              <w:rPr>
                <w:color w:val="auto"/>
                <w:spacing w:val="-3"/>
                <w:highlight w:val="none"/>
              </w:rPr>
              <w:t>）</w:t>
            </w:r>
          </w:p>
        </w:tc>
      </w:tr>
      <w:tr w14:paraId="0C695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652" w:type="dxa"/>
            <w:vAlign w:val="top"/>
          </w:tcPr>
          <w:p w14:paraId="6A8A0A8E">
            <w:pPr>
              <w:spacing w:line="262" w:lineRule="auto"/>
              <w:rPr>
                <w:rFonts w:ascii="Arial"/>
                <w:color w:val="auto"/>
                <w:sz w:val="21"/>
                <w:highlight w:val="none"/>
              </w:rPr>
            </w:pPr>
          </w:p>
          <w:p w14:paraId="28483A26">
            <w:pPr>
              <w:pStyle w:val="12"/>
              <w:spacing w:before="78"/>
              <w:ind w:left="231"/>
              <w:rPr>
                <w:color w:val="auto"/>
                <w:highlight w:val="none"/>
              </w:rPr>
            </w:pPr>
            <w:r>
              <w:rPr>
                <w:color w:val="auto"/>
                <w:spacing w:val="-14"/>
                <w:highlight w:val="none"/>
              </w:rPr>
              <w:t>16</w:t>
            </w:r>
          </w:p>
        </w:tc>
        <w:tc>
          <w:tcPr>
            <w:tcW w:w="1923" w:type="dxa"/>
            <w:vAlign w:val="top"/>
          </w:tcPr>
          <w:p w14:paraId="1A948E3A">
            <w:pPr>
              <w:spacing w:line="263" w:lineRule="auto"/>
              <w:rPr>
                <w:rFonts w:ascii="Arial"/>
                <w:color w:val="auto"/>
                <w:sz w:val="21"/>
                <w:highlight w:val="none"/>
              </w:rPr>
            </w:pPr>
          </w:p>
          <w:p w14:paraId="210B52D9">
            <w:pPr>
              <w:pStyle w:val="12"/>
              <w:spacing w:before="78" w:line="220" w:lineRule="auto"/>
              <w:ind w:left="365"/>
              <w:rPr>
                <w:color w:val="auto"/>
                <w:highlight w:val="none"/>
              </w:rPr>
            </w:pPr>
            <w:r>
              <w:rPr>
                <w:color w:val="auto"/>
                <w:spacing w:val="-2"/>
                <w:highlight w:val="none"/>
              </w:rPr>
              <w:t>磋商保证金</w:t>
            </w:r>
          </w:p>
        </w:tc>
        <w:tc>
          <w:tcPr>
            <w:tcW w:w="7478" w:type="dxa"/>
            <w:vAlign w:val="top"/>
          </w:tcPr>
          <w:p w14:paraId="4773DCAA">
            <w:pPr>
              <w:pStyle w:val="12"/>
              <w:spacing w:before="100"/>
              <w:ind w:left="154"/>
              <w:rPr>
                <w:color w:val="auto"/>
                <w:highlight w:val="none"/>
              </w:rPr>
            </w:pPr>
            <w:r>
              <w:rPr>
                <w:color w:val="auto"/>
                <w:position w:val="-7"/>
                <w:highlight w:val="none"/>
              </w:rPr>
              <w:drawing>
                <wp:inline distT="0" distB="0" distL="0" distR="0">
                  <wp:extent cx="196215" cy="22796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62"/>
                          <a:stretch>
                            <a:fillRect/>
                          </a:stretch>
                        </pic:blipFill>
                        <pic:spPr>
                          <a:xfrm>
                            <a:off x="0" y="0"/>
                            <a:ext cx="196367" cy="228371"/>
                          </a:xfrm>
                          <a:prstGeom prst="rect">
                            <a:avLst/>
                          </a:prstGeom>
                        </pic:spPr>
                      </pic:pic>
                    </a:graphicData>
                  </a:graphic>
                </wp:inline>
              </w:drawing>
            </w:r>
            <w:r>
              <w:rPr>
                <w:color w:val="auto"/>
                <w:position w:val="1"/>
                <w:highlight w:val="none"/>
              </w:rPr>
              <w:t>不收取。</w:t>
            </w:r>
          </w:p>
          <w:p w14:paraId="02C33C22">
            <w:pPr>
              <w:pStyle w:val="12"/>
              <w:spacing w:before="165" w:line="219" w:lineRule="auto"/>
              <w:ind w:left="113"/>
              <w:rPr>
                <w:color w:val="auto"/>
                <w:highlight w:val="none"/>
              </w:rPr>
            </w:pPr>
            <w:r>
              <w:rPr>
                <w:color w:val="auto"/>
                <w:spacing w:val="-1"/>
                <w:highlight w:val="none"/>
              </w:rPr>
              <w:t>供应商应提供投标承诺函。</w:t>
            </w:r>
          </w:p>
        </w:tc>
      </w:tr>
      <w:tr w14:paraId="50D7A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trPr>
        <w:tc>
          <w:tcPr>
            <w:tcW w:w="652" w:type="dxa"/>
            <w:vAlign w:val="top"/>
          </w:tcPr>
          <w:p w14:paraId="0E4DA4B1">
            <w:pPr>
              <w:spacing w:line="245" w:lineRule="auto"/>
              <w:rPr>
                <w:rFonts w:ascii="Arial"/>
                <w:color w:val="auto"/>
                <w:sz w:val="21"/>
                <w:highlight w:val="none"/>
              </w:rPr>
            </w:pPr>
          </w:p>
          <w:p w14:paraId="19D0D19E">
            <w:pPr>
              <w:spacing w:line="245" w:lineRule="auto"/>
              <w:rPr>
                <w:rFonts w:ascii="Arial"/>
                <w:color w:val="auto"/>
                <w:sz w:val="21"/>
                <w:highlight w:val="none"/>
              </w:rPr>
            </w:pPr>
          </w:p>
          <w:p w14:paraId="7A65B60A">
            <w:pPr>
              <w:pStyle w:val="12"/>
              <w:spacing w:before="78"/>
              <w:ind w:left="231"/>
              <w:rPr>
                <w:color w:val="auto"/>
                <w:highlight w:val="none"/>
              </w:rPr>
            </w:pPr>
            <w:r>
              <w:rPr>
                <w:color w:val="auto"/>
                <w:spacing w:val="-14"/>
                <w:highlight w:val="none"/>
              </w:rPr>
              <w:t>17</w:t>
            </w:r>
          </w:p>
        </w:tc>
        <w:tc>
          <w:tcPr>
            <w:tcW w:w="1923" w:type="dxa"/>
            <w:vAlign w:val="top"/>
          </w:tcPr>
          <w:p w14:paraId="52ADC5BF">
            <w:pPr>
              <w:spacing w:line="245" w:lineRule="auto"/>
              <w:rPr>
                <w:rFonts w:ascii="Arial"/>
                <w:color w:val="auto"/>
                <w:sz w:val="21"/>
                <w:highlight w:val="none"/>
              </w:rPr>
            </w:pPr>
          </w:p>
          <w:p w14:paraId="7B1354A0">
            <w:pPr>
              <w:spacing w:line="245" w:lineRule="auto"/>
              <w:rPr>
                <w:rFonts w:ascii="Arial"/>
                <w:color w:val="auto"/>
                <w:sz w:val="21"/>
                <w:highlight w:val="none"/>
              </w:rPr>
            </w:pPr>
          </w:p>
          <w:p w14:paraId="6A05EF9B">
            <w:pPr>
              <w:pStyle w:val="12"/>
              <w:spacing w:before="78" w:line="218" w:lineRule="auto"/>
              <w:ind w:left="493"/>
              <w:rPr>
                <w:color w:val="auto"/>
                <w:highlight w:val="none"/>
              </w:rPr>
            </w:pPr>
            <w:r>
              <w:rPr>
                <w:color w:val="auto"/>
                <w:spacing w:val="-5"/>
                <w:highlight w:val="none"/>
              </w:rPr>
              <w:t>公告发布</w:t>
            </w:r>
          </w:p>
        </w:tc>
        <w:tc>
          <w:tcPr>
            <w:tcW w:w="7478" w:type="dxa"/>
            <w:vAlign w:val="top"/>
          </w:tcPr>
          <w:p w14:paraId="642187AF">
            <w:pPr>
              <w:pStyle w:val="12"/>
              <w:spacing w:before="165" w:line="310" w:lineRule="auto"/>
              <w:ind w:left="136" w:right="106" w:hanging="24"/>
              <w:jc w:val="both"/>
              <w:rPr>
                <w:color w:val="auto"/>
                <w:highlight w:val="none"/>
              </w:rPr>
            </w:pPr>
            <w:r>
              <w:rPr>
                <w:color w:val="auto"/>
                <w:spacing w:val="2"/>
                <w:highlight w:val="none"/>
              </w:rPr>
              <w:t>磋商公告、中标公告、变更（更正）公告、现</w:t>
            </w:r>
            <w:r>
              <w:rPr>
                <w:color w:val="auto"/>
                <w:spacing w:val="1"/>
                <w:highlight w:val="none"/>
              </w:rPr>
              <w:t>场勘察答复等相关信息</w:t>
            </w:r>
            <w:r>
              <w:rPr>
                <w:color w:val="auto"/>
                <w:spacing w:val="-7"/>
                <w:highlight w:val="none"/>
              </w:rPr>
              <w:t>同时在以下网站发布：《中国政府采购网》《河南省政府采购网》《许</w:t>
            </w:r>
            <w:r>
              <w:rPr>
                <w:color w:val="auto"/>
                <w:spacing w:val="-4"/>
                <w:highlight w:val="none"/>
              </w:rPr>
              <w:t>昌市政府采购网》《全国公共资源交易平台（河南省·</w:t>
            </w:r>
            <w:r>
              <w:rPr>
                <w:color w:val="auto"/>
                <w:spacing w:val="-5"/>
                <w:highlight w:val="none"/>
              </w:rPr>
              <w:t>许昌市）》。</w:t>
            </w:r>
          </w:p>
        </w:tc>
      </w:tr>
      <w:tr w14:paraId="0EACC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652" w:type="dxa"/>
            <w:vAlign w:val="top"/>
          </w:tcPr>
          <w:p w14:paraId="345258CB">
            <w:pPr>
              <w:pStyle w:val="12"/>
              <w:spacing w:before="243"/>
              <w:ind w:left="231"/>
              <w:rPr>
                <w:color w:val="auto"/>
                <w:highlight w:val="none"/>
              </w:rPr>
            </w:pPr>
            <w:r>
              <w:rPr>
                <w:color w:val="auto"/>
                <w:spacing w:val="-14"/>
                <w:highlight w:val="none"/>
              </w:rPr>
              <w:t>18</w:t>
            </w:r>
          </w:p>
        </w:tc>
        <w:tc>
          <w:tcPr>
            <w:tcW w:w="1923" w:type="dxa"/>
            <w:vAlign w:val="top"/>
          </w:tcPr>
          <w:p w14:paraId="70C66184">
            <w:pPr>
              <w:pStyle w:val="12"/>
              <w:spacing w:before="62" w:line="250" w:lineRule="auto"/>
              <w:ind w:left="134" w:right="121" w:hanging="9"/>
              <w:rPr>
                <w:color w:val="auto"/>
                <w:highlight w:val="none"/>
              </w:rPr>
            </w:pPr>
            <w:r>
              <w:rPr>
                <w:color w:val="auto"/>
                <w:spacing w:val="-2"/>
                <w:highlight w:val="none"/>
              </w:rPr>
              <w:t>采购人澄清或修</w:t>
            </w:r>
            <w:r>
              <w:rPr>
                <w:color w:val="auto"/>
                <w:spacing w:val="-3"/>
                <w:highlight w:val="none"/>
              </w:rPr>
              <w:t>改磋商文件时间</w:t>
            </w:r>
          </w:p>
        </w:tc>
        <w:tc>
          <w:tcPr>
            <w:tcW w:w="7478" w:type="dxa"/>
            <w:vAlign w:val="top"/>
          </w:tcPr>
          <w:p w14:paraId="4F7A37A2">
            <w:pPr>
              <w:pStyle w:val="12"/>
              <w:spacing w:before="294" w:line="219" w:lineRule="auto"/>
              <w:ind w:left="112"/>
              <w:rPr>
                <w:color w:val="auto"/>
                <w:highlight w:val="none"/>
              </w:rPr>
            </w:pPr>
            <w:r>
              <w:rPr>
                <w:color w:val="auto"/>
                <w:spacing w:val="-1"/>
                <w:highlight w:val="none"/>
              </w:rPr>
              <w:t>磋商响应截止时间5日前（澄清内容可能影响响应文件编制的）</w:t>
            </w:r>
          </w:p>
        </w:tc>
      </w:tr>
      <w:tr w14:paraId="25E49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652" w:type="dxa"/>
            <w:vAlign w:val="top"/>
          </w:tcPr>
          <w:p w14:paraId="259F6C7C">
            <w:pPr>
              <w:spacing w:line="342" w:lineRule="auto"/>
              <w:rPr>
                <w:rFonts w:ascii="Arial"/>
                <w:color w:val="auto"/>
                <w:sz w:val="21"/>
                <w:highlight w:val="none"/>
              </w:rPr>
            </w:pPr>
          </w:p>
          <w:p w14:paraId="3310A437">
            <w:pPr>
              <w:pStyle w:val="12"/>
              <w:spacing w:before="78"/>
              <w:ind w:left="231"/>
              <w:rPr>
                <w:color w:val="auto"/>
                <w:highlight w:val="none"/>
              </w:rPr>
            </w:pPr>
            <w:r>
              <w:rPr>
                <w:color w:val="auto"/>
                <w:spacing w:val="-14"/>
                <w:highlight w:val="none"/>
              </w:rPr>
              <w:t>19</w:t>
            </w:r>
          </w:p>
        </w:tc>
        <w:tc>
          <w:tcPr>
            <w:tcW w:w="1923" w:type="dxa"/>
            <w:vAlign w:val="top"/>
          </w:tcPr>
          <w:p w14:paraId="5A95CEAC">
            <w:pPr>
              <w:pStyle w:val="12"/>
              <w:spacing w:before="62" w:line="219" w:lineRule="auto"/>
              <w:ind w:left="125"/>
              <w:rPr>
                <w:color w:val="auto"/>
                <w:highlight w:val="none"/>
              </w:rPr>
            </w:pPr>
            <w:r>
              <w:rPr>
                <w:color w:val="auto"/>
                <w:spacing w:val="-2"/>
                <w:highlight w:val="none"/>
              </w:rPr>
              <w:t>供应商对磋商文</w:t>
            </w:r>
          </w:p>
          <w:p w14:paraId="79ED96EC">
            <w:pPr>
              <w:pStyle w:val="12"/>
              <w:spacing w:before="76" w:line="219" w:lineRule="auto"/>
              <w:ind w:left="845"/>
              <w:rPr>
                <w:color w:val="auto"/>
                <w:highlight w:val="none"/>
              </w:rPr>
            </w:pPr>
            <w:r>
              <w:rPr>
                <w:color w:val="auto"/>
                <w:highlight w:val="none"/>
              </w:rPr>
              <w:t>件</w:t>
            </w:r>
          </w:p>
          <w:p w14:paraId="6451051C">
            <w:pPr>
              <w:pStyle w:val="12"/>
              <w:spacing w:before="72" w:line="220" w:lineRule="auto"/>
              <w:ind w:left="246"/>
              <w:rPr>
                <w:color w:val="auto"/>
                <w:highlight w:val="none"/>
              </w:rPr>
            </w:pPr>
            <w:r>
              <w:rPr>
                <w:color w:val="auto"/>
                <w:spacing w:val="-2"/>
                <w:highlight w:val="none"/>
              </w:rPr>
              <w:t>质疑截止时间</w:t>
            </w:r>
          </w:p>
        </w:tc>
        <w:tc>
          <w:tcPr>
            <w:tcW w:w="7478" w:type="dxa"/>
            <w:vAlign w:val="top"/>
          </w:tcPr>
          <w:p w14:paraId="1D955B86">
            <w:pPr>
              <w:spacing w:line="395" w:lineRule="auto"/>
              <w:rPr>
                <w:rFonts w:ascii="Arial"/>
                <w:color w:val="auto"/>
                <w:sz w:val="21"/>
                <w:highlight w:val="none"/>
              </w:rPr>
            </w:pPr>
          </w:p>
          <w:p w14:paraId="1E7969FC">
            <w:pPr>
              <w:pStyle w:val="12"/>
              <w:spacing w:before="78" w:line="218" w:lineRule="auto"/>
              <w:ind w:left="112"/>
              <w:rPr>
                <w:color w:val="auto"/>
                <w:highlight w:val="none"/>
              </w:rPr>
            </w:pPr>
            <w:r>
              <w:rPr>
                <w:color w:val="auto"/>
                <w:spacing w:val="-1"/>
                <w:highlight w:val="none"/>
              </w:rPr>
              <w:t>磋商公告期满之日起七个工作日</w:t>
            </w:r>
          </w:p>
        </w:tc>
      </w:tr>
      <w:tr w14:paraId="7D038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4" w:hRule="atLeast"/>
        </w:trPr>
        <w:tc>
          <w:tcPr>
            <w:tcW w:w="652" w:type="dxa"/>
            <w:vAlign w:val="top"/>
          </w:tcPr>
          <w:p w14:paraId="019728AC">
            <w:pPr>
              <w:spacing w:line="294" w:lineRule="auto"/>
              <w:rPr>
                <w:rFonts w:ascii="Arial"/>
                <w:color w:val="auto"/>
                <w:sz w:val="21"/>
                <w:highlight w:val="none"/>
              </w:rPr>
            </w:pPr>
          </w:p>
          <w:p w14:paraId="7EF2E66D">
            <w:pPr>
              <w:spacing w:line="294" w:lineRule="auto"/>
              <w:rPr>
                <w:rFonts w:ascii="Arial"/>
                <w:color w:val="auto"/>
                <w:sz w:val="21"/>
                <w:highlight w:val="none"/>
              </w:rPr>
            </w:pPr>
          </w:p>
          <w:p w14:paraId="64061311">
            <w:pPr>
              <w:spacing w:line="295" w:lineRule="auto"/>
              <w:rPr>
                <w:rFonts w:ascii="Arial"/>
                <w:color w:val="auto"/>
                <w:sz w:val="21"/>
                <w:highlight w:val="none"/>
              </w:rPr>
            </w:pPr>
          </w:p>
          <w:p w14:paraId="20DD879A">
            <w:pPr>
              <w:spacing w:line="295" w:lineRule="auto"/>
              <w:rPr>
                <w:rFonts w:ascii="Arial"/>
                <w:color w:val="auto"/>
                <w:sz w:val="21"/>
                <w:highlight w:val="none"/>
              </w:rPr>
            </w:pPr>
          </w:p>
          <w:p w14:paraId="137699F3">
            <w:pPr>
              <w:pStyle w:val="12"/>
              <w:spacing w:before="78"/>
              <w:ind w:left="216"/>
              <w:rPr>
                <w:color w:val="auto"/>
                <w:highlight w:val="none"/>
              </w:rPr>
            </w:pPr>
            <w:r>
              <w:rPr>
                <w:color w:val="auto"/>
                <w:spacing w:val="-7"/>
                <w:highlight w:val="none"/>
              </w:rPr>
              <w:t>20</w:t>
            </w:r>
          </w:p>
        </w:tc>
        <w:tc>
          <w:tcPr>
            <w:tcW w:w="1923" w:type="dxa"/>
            <w:vAlign w:val="top"/>
          </w:tcPr>
          <w:p w14:paraId="7E455184">
            <w:pPr>
              <w:spacing w:line="294" w:lineRule="auto"/>
              <w:rPr>
                <w:rFonts w:ascii="Arial"/>
                <w:color w:val="auto"/>
                <w:sz w:val="21"/>
                <w:highlight w:val="none"/>
              </w:rPr>
            </w:pPr>
          </w:p>
          <w:p w14:paraId="46A90707">
            <w:pPr>
              <w:spacing w:line="295" w:lineRule="auto"/>
              <w:rPr>
                <w:rFonts w:ascii="Arial"/>
                <w:color w:val="auto"/>
                <w:sz w:val="21"/>
                <w:highlight w:val="none"/>
              </w:rPr>
            </w:pPr>
          </w:p>
          <w:p w14:paraId="3868F577">
            <w:pPr>
              <w:spacing w:line="295" w:lineRule="auto"/>
              <w:rPr>
                <w:rFonts w:ascii="Arial"/>
                <w:color w:val="auto"/>
                <w:sz w:val="21"/>
                <w:highlight w:val="none"/>
              </w:rPr>
            </w:pPr>
          </w:p>
          <w:p w14:paraId="45D4D27E">
            <w:pPr>
              <w:spacing w:line="295" w:lineRule="auto"/>
              <w:rPr>
                <w:rFonts w:ascii="Arial"/>
                <w:color w:val="auto"/>
                <w:sz w:val="21"/>
                <w:highlight w:val="none"/>
              </w:rPr>
            </w:pPr>
          </w:p>
          <w:p w14:paraId="2077A9E9">
            <w:pPr>
              <w:pStyle w:val="12"/>
              <w:spacing w:before="78" w:line="219" w:lineRule="auto"/>
              <w:ind w:left="258"/>
              <w:rPr>
                <w:color w:val="auto"/>
                <w:highlight w:val="none"/>
              </w:rPr>
            </w:pPr>
            <w:r>
              <w:rPr>
                <w:color w:val="auto"/>
                <w:spacing w:val="-4"/>
                <w:highlight w:val="none"/>
              </w:rPr>
              <w:t>响应文件份数</w:t>
            </w:r>
          </w:p>
        </w:tc>
        <w:tc>
          <w:tcPr>
            <w:tcW w:w="7478" w:type="dxa"/>
            <w:vAlign w:val="top"/>
          </w:tcPr>
          <w:p w14:paraId="56B8C4D3">
            <w:pPr>
              <w:pStyle w:val="12"/>
              <w:spacing w:before="166" w:line="354" w:lineRule="auto"/>
              <w:ind w:left="119" w:right="106" w:firstLine="22"/>
              <w:jc w:val="both"/>
              <w:rPr>
                <w:color w:val="auto"/>
                <w:highlight w:val="none"/>
              </w:rPr>
            </w:pPr>
            <w:r>
              <w:rPr>
                <w:color w:val="auto"/>
                <w:spacing w:val="-4"/>
                <w:highlight w:val="none"/>
              </w:rPr>
              <w:t>电子响应文件：成功上传至《全国公共资源</w:t>
            </w:r>
            <w:r>
              <w:rPr>
                <w:color w:val="auto"/>
                <w:spacing w:val="-5"/>
                <w:highlight w:val="none"/>
              </w:rPr>
              <w:t>交易平台（河南省</w:t>
            </w:r>
            <w:r>
              <w:rPr>
                <w:color w:val="auto"/>
                <w:spacing w:val="-28"/>
                <w:highlight w:val="none"/>
              </w:rPr>
              <w:t xml:space="preserve"> </w:t>
            </w:r>
            <w:r>
              <w:rPr>
                <w:color w:val="auto"/>
                <w:spacing w:val="-5"/>
                <w:highlight w:val="none"/>
              </w:rPr>
              <w:t>·许昌</w:t>
            </w:r>
            <w:r>
              <w:rPr>
                <w:color w:val="auto"/>
                <w:spacing w:val="-2"/>
                <w:highlight w:val="none"/>
              </w:rPr>
              <w:t>市）》（</w:t>
            </w:r>
            <w:r>
              <w:rPr>
                <w:color w:val="auto"/>
                <w:highlight w:val="none"/>
              </w:rPr>
              <w:fldChar w:fldCharType="begin"/>
            </w:r>
            <w:r>
              <w:rPr>
                <w:color w:val="auto"/>
                <w:highlight w:val="none"/>
              </w:rPr>
              <w:instrText xml:space="preserve"> HYPERLINK "https://ggzy.xuchang.gov.cn" </w:instrText>
            </w:r>
            <w:r>
              <w:rPr>
                <w:color w:val="auto"/>
                <w:highlight w:val="none"/>
              </w:rPr>
              <w:fldChar w:fldCharType="separate"/>
            </w:r>
            <w:r>
              <w:rPr>
                <w:color w:val="auto"/>
                <w:spacing w:val="-2"/>
                <w:highlight w:val="none"/>
              </w:rPr>
              <w:t>https://ggzy.xuchang.gov.cn</w:t>
            </w:r>
            <w:r>
              <w:rPr>
                <w:color w:val="auto"/>
                <w:spacing w:val="-2"/>
                <w:highlight w:val="none"/>
              </w:rPr>
              <w:fldChar w:fldCharType="end"/>
            </w:r>
            <w:r>
              <w:rPr>
                <w:color w:val="auto"/>
                <w:spacing w:val="-2"/>
                <w:highlight w:val="none"/>
              </w:rPr>
              <w:t>）许昌市公共资源电子交易系</w:t>
            </w:r>
            <w:r>
              <w:rPr>
                <w:color w:val="auto"/>
                <w:spacing w:val="-1"/>
                <w:highlight w:val="none"/>
              </w:rPr>
              <w:t>统加密电子响应文件1份（后缀格式为.XCSTF）。</w:t>
            </w:r>
          </w:p>
          <w:p w14:paraId="4962D50F">
            <w:pPr>
              <w:pStyle w:val="12"/>
              <w:spacing w:before="1" w:line="309" w:lineRule="auto"/>
              <w:ind w:left="101" w:right="106" w:firstLine="11"/>
              <w:jc w:val="both"/>
              <w:rPr>
                <w:color w:val="auto"/>
                <w:highlight w:val="none"/>
              </w:rPr>
            </w:pPr>
            <w:r>
              <w:rPr>
                <w:b/>
                <w:bCs/>
                <w:color w:val="auto"/>
                <w:spacing w:val="-4"/>
                <w:highlight w:val="none"/>
              </w:rPr>
              <w:t>注：投标人登录《全国公共资源交易平台（河南省·许昌市）》下载</w:t>
            </w:r>
            <w:r>
              <w:rPr>
                <w:b/>
                <w:bCs/>
                <w:color w:val="auto"/>
                <w:spacing w:val="-2"/>
                <w:highlight w:val="none"/>
              </w:rPr>
              <w:t>“新点投标文件制作软件（河南省版）</w:t>
            </w:r>
            <w:r>
              <w:rPr>
                <w:color w:val="auto"/>
                <w:spacing w:val="-72"/>
                <w:highlight w:val="none"/>
              </w:rPr>
              <w:t xml:space="preserve"> </w:t>
            </w:r>
            <w:r>
              <w:rPr>
                <w:b/>
                <w:bCs/>
                <w:color w:val="auto"/>
                <w:spacing w:val="-2"/>
                <w:highlight w:val="none"/>
              </w:rPr>
              <w:t>”的最新版本制作电子响应文件。</w:t>
            </w:r>
          </w:p>
        </w:tc>
      </w:tr>
      <w:tr w14:paraId="756FB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652" w:type="dxa"/>
            <w:vAlign w:val="top"/>
          </w:tcPr>
          <w:p w14:paraId="2ADAD251">
            <w:pPr>
              <w:pStyle w:val="12"/>
              <w:spacing w:before="244" w:line="241" w:lineRule="auto"/>
              <w:ind w:left="216"/>
              <w:rPr>
                <w:color w:val="auto"/>
                <w:highlight w:val="none"/>
              </w:rPr>
            </w:pPr>
            <w:r>
              <w:rPr>
                <w:color w:val="auto"/>
                <w:spacing w:val="-7"/>
                <w:highlight w:val="none"/>
              </w:rPr>
              <w:t>21</w:t>
            </w:r>
          </w:p>
        </w:tc>
        <w:tc>
          <w:tcPr>
            <w:tcW w:w="1923" w:type="dxa"/>
            <w:vAlign w:val="top"/>
          </w:tcPr>
          <w:p w14:paraId="4AAEBB30">
            <w:pPr>
              <w:pStyle w:val="12"/>
              <w:spacing w:before="65" w:line="249" w:lineRule="auto"/>
              <w:ind w:left="485" w:right="361" w:hanging="107"/>
              <w:rPr>
                <w:color w:val="auto"/>
                <w:highlight w:val="none"/>
              </w:rPr>
            </w:pPr>
            <w:r>
              <w:rPr>
                <w:color w:val="auto"/>
                <w:spacing w:val="-5"/>
                <w:highlight w:val="none"/>
              </w:rPr>
              <w:t>响应文件的</w:t>
            </w:r>
            <w:r>
              <w:rPr>
                <w:color w:val="auto"/>
                <w:spacing w:val="-3"/>
                <w:highlight w:val="none"/>
              </w:rPr>
              <w:t>签署盖章</w:t>
            </w:r>
          </w:p>
        </w:tc>
        <w:tc>
          <w:tcPr>
            <w:tcW w:w="7478" w:type="dxa"/>
            <w:vAlign w:val="top"/>
          </w:tcPr>
          <w:p w14:paraId="50AB0FDA">
            <w:pPr>
              <w:pStyle w:val="12"/>
              <w:spacing w:before="294" w:line="219" w:lineRule="auto"/>
              <w:jc w:val="right"/>
              <w:rPr>
                <w:color w:val="auto"/>
                <w:highlight w:val="none"/>
              </w:rPr>
            </w:pPr>
            <w:r>
              <w:rPr>
                <w:color w:val="auto"/>
                <w:spacing w:val="-4"/>
                <w:highlight w:val="none"/>
              </w:rPr>
              <w:t>电子响应文件：按磋商文件要求加盖供应商</w:t>
            </w:r>
            <w:r>
              <w:rPr>
                <w:color w:val="auto"/>
                <w:spacing w:val="-5"/>
                <w:highlight w:val="none"/>
              </w:rPr>
              <w:t>电子印章和法人电子印章。</w:t>
            </w:r>
          </w:p>
        </w:tc>
      </w:tr>
      <w:tr w14:paraId="709E3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7" w:hRule="atLeast"/>
        </w:trPr>
        <w:tc>
          <w:tcPr>
            <w:tcW w:w="652" w:type="dxa"/>
            <w:vAlign w:val="top"/>
          </w:tcPr>
          <w:p w14:paraId="18AFB49C">
            <w:pPr>
              <w:spacing w:line="317" w:lineRule="auto"/>
              <w:rPr>
                <w:rFonts w:ascii="Arial"/>
                <w:color w:val="auto"/>
                <w:sz w:val="21"/>
                <w:highlight w:val="none"/>
              </w:rPr>
            </w:pPr>
          </w:p>
          <w:p w14:paraId="67828764">
            <w:pPr>
              <w:spacing w:line="317" w:lineRule="auto"/>
              <w:rPr>
                <w:rFonts w:ascii="Arial"/>
                <w:color w:val="auto"/>
                <w:sz w:val="21"/>
                <w:highlight w:val="none"/>
              </w:rPr>
            </w:pPr>
          </w:p>
          <w:p w14:paraId="7DD16F52">
            <w:pPr>
              <w:spacing w:line="317" w:lineRule="auto"/>
              <w:rPr>
                <w:rFonts w:ascii="Arial"/>
                <w:color w:val="auto"/>
                <w:sz w:val="21"/>
                <w:highlight w:val="none"/>
              </w:rPr>
            </w:pPr>
          </w:p>
          <w:p w14:paraId="6B04CA04">
            <w:pPr>
              <w:pStyle w:val="12"/>
              <w:spacing w:before="78" w:line="241" w:lineRule="auto"/>
              <w:ind w:left="216"/>
              <w:rPr>
                <w:color w:val="auto"/>
                <w:highlight w:val="none"/>
              </w:rPr>
            </w:pPr>
            <w:r>
              <w:rPr>
                <w:color w:val="auto"/>
                <w:spacing w:val="-7"/>
                <w:highlight w:val="none"/>
              </w:rPr>
              <w:t>22</w:t>
            </w:r>
          </w:p>
        </w:tc>
        <w:tc>
          <w:tcPr>
            <w:tcW w:w="1923" w:type="dxa"/>
            <w:vAlign w:val="top"/>
          </w:tcPr>
          <w:p w14:paraId="47F9ECCF">
            <w:pPr>
              <w:spacing w:line="248" w:lineRule="auto"/>
              <w:rPr>
                <w:rFonts w:ascii="Arial"/>
                <w:color w:val="auto"/>
                <w:sz w:val="21"/>
                <w:highlight w:val="none"/>
              </w:rPr>
            </w:pPr>
          </w:p>
          <w:p w14:paraId="2F91F88C">
            <w:pPr>
              <w:spacing w:line="248" w:lineRule="auto"/>
              <w:rPr>
                <w:rFonts w:ascii="Arial"/>
                <w:color w:val="auto"/>
                <w:sz w:val="21"/>
                <w:highlight w:val="none"/>
              </w:rPr>
            </w:pPr>
          </w:p>
          <w:p w14:paraId="568BA792">
            <w:pPr>
              <w:spacing w:line="248" w:lineRule="auto"/>
              <w:rPr>
                <w:rFonts w:ascii="Arial"/>
                <w:color w:val="auto"/>
                <w:sz w:val="21"/>
                <w:highlight w:val="none"/>
              </w:rPr>
            </w:pPr>
          </w:p>
          <w:p w14:paraId="653AE52C">
            <w:pPr>
              <w:spacing w:line="248" w:lineRule="auto"/>
              <w:rPr>
                <w:rFonts w:ascii="Arial"/>
                <w:color w:val="auto"/>
                <w:sz w:val="21"/>
                <w:highlight w:val="none"/>
              </w:rPr>
            </w:pPr>
          </w:p>
          <w:p w14:paraId="5BCFA9B1">
            <w:pPr>
              <w:pStyle w:val="12"/>
              <w:spacing w:before="78" w:line="220" w:lineRule="auto"/>
              <w:ind w:left="486"/>
              <w:rPr>
                <w:color w:val="auto"/>
                <w:highlight w:val="none"/>
              </w:rPr>
            </w:pPr>
            <w:r>
              <w:rPr>
                <w:color w:val="auto"/>
                <w:spacing w:val="-3"/>
                <w:highlight w:val="none"/>
              </w:rPr>
              <w:t>开标程序</w:t>
            </w:r>
          </w:p>
        </w:tc>
        <w:tc>
          <w:tcPr>
            <w:tcW w:w="7478" w:type="dxa"/>
            <w:vAlign w:val="top"/>
          </w:tcPr>
          <w:p w14:paraId="4CB107A8">
            <w:pPr>
              <w:pStyle w:val="12"/>
              <w:spacing w:before="166" w:line="354" w:lineRule="auto"/>
              <w:ind w:left="113" w:right="106" w:firstLine="11"/>
              <w:rPr>
                <w:color w:val="auto"/>
                <w:highlight w:val="none"/>
              </w:rPr>
            </w:pPr>
            <w:r>
              <w:rPr>
                <w:color w:val="auto"/>
                <w:spacing w:val="-4"/>
                <w:highlight w:val="none"/>
              </w:rPr>
              <w:t>（1）本项目采用远程“不见面</w:t>
            </w:r>
            <w:r>
              <w:rPr>
                <w:color w:val="auto"/>
                <w:spacing w:val="-76"/>
                <w:highlight w:val="none"/>
              </w:rPr>
              <w:t xml:space="preserve"> </w:t>
            </w:r>
            <w:r>
              <w:rPr>
                <w:color w:val="auto"/>
                <w:spacing w:val="-4"/>
                <w:highlight w:val="none"/>
              </w:rPr>
              <w:t>”开标方式，投标前请详细阅读《全国</w:t>
            </w:r>
            <w:r>
              <w:rPr>
                <w:color w:val="auto"/>
                <w:spacing w:val="-5"/>
                <w:highlight w:val="none"/>
              </w:rPr>
              <w:t>公共资源交易平台（河南省·许昌市）》的“服务指南</w:t>
            </w:r>
            <w:r>
              <w:rPr>
                <w:color w:val="auto"/>
                <w:spacing w:val="-88"/>
                <w:highlight w:val="none"/>
              </w:rPr>
              <w:t xml:space="preserve"> </w:t>
            </w:r>
            <w:r>
              <w:rPr>
                <w:color w:val="auto"/>
                <w:spacing w:val="-5"/>
                <w:highlight w:val="none"/>
              </w:rPr>
              <w:t>”栏目下《必</w:t>
            </w:r>
            <w:r>
              <w:rPr>
                <w:color w:val="auto"/>
                <w:spacing w:val="-1"/>
                <w:highlight w:val="none"/>
              </w:rPr>
              <w:t>看！新交易平台使用手册》中的相关内容。</w:t>
            </w:r>
          </w:p>
          <w:p w14:paraId="53BDE6F8">
            <w:pPr>
              <w:pStyle w:val="12"/>
              <w:spacing w:before="1" w:line="288" w:lineRule="auto"/>
              <w:ind w:left="131" w:right="106" w:hanging="7"/>
              <w:rPr>
                <w:color w:val="auto"/>
                <w:highlight w:val="none"/>
              </w:rPr>
            </w:pPr>
            <w:r>
              <w:rPr>
                <w:color w:val="auto"/>
                <w:spacing w:val="-3"/>
                <w:highlight w:val="none"/>
              </w:rPr>
              <w:t>（2）投标人应按新交易平台使用手册提前设置好浏览器，并于开标时</w:t>
            </w:r>
            <w:r>
              <w:rPr>
                <w:color w:val="auto"/>
                <w:spacing w:val="-1"/>
                <w:highlight w:val="none"/>
              </w:rPr>
              <w:t>间前登录本项目网上开标大厅，按照规定的开标时间准时参加网上开</w:t>
            </w:r>
          </w:p>
        </w:tc>
      </w:tr>
    </w:tbl>
    <w:p w14:paraId="66697A14">
      <w:pPr>
        <w:pStyle w:val="5"/>
        <w:spacing w:line="141" w:lineRule="exact"/>
        <w:rPr>
          <w:color w:val="auto"/>
          <w:sz w:val="12"/>
          <w:highlight w:val="none"/>
        </w:rPr>
      </w:pPr>
    </w:p>
    <w:p w14:paraId="6A53E2F8">
      <w:pPr>
        <w:spacing w:line="141" w:lineRule="exact"/>
        <w:rPr>
          <w:color w:val="auto"/>
          <w:sz w:val="12"/>
          <w:szCs w:val="12"/>
          <w:highlight w:val="none"/>
        </w:rPr>
        <w:sectPr>
          <w:footerReference r:id="rId8" w:type="default"/>
          <w:pgSz w:w="11906" w:h="16839"/>
          <w:pgMar w:top="1431" w:right="924" w:bottom="1443" w:left="923" w:header="0" w:footer="1202" w:gutter="0"/>
          <w:pgNumType w:fmt="decimal"/>
          <w:cols w:space="720" w:num="1"/>
        </w:sectPr>
      </w:pPr>
    </w:p>
    <w:p w14:paraId="48432E4E">
      <w:pPr>
        <w:spacing w:line="91" w:lineRule="auto"/>
        <w:rPr>
          <w:rFonts w:ascii="Arial"/>
          <w:color w:val="auto"/>
          <w:sz w:val="2"/>
          <w:highlight w:val="none"/>
        </w:rPr>
      </w:pPr>
    </w:p>
    <w:tbl>
      <w:tblPr>
        <w:tblStyle w:val="11"/>
        <w:tblW w:w="100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923"/>
        <w:gridCol w:w="7478"/>
      </w:tblGrid>
      <w:tr w14:paraId="3DF7E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7" w:hRule="atLeast"/>
        </w:trPr>
        <w:tc>
          <w:tcPr>
            <w:tcW w:w="652" w:type="dxa"/>
            <w:vAlign w:val="top"/>
          </w:tcPr>
          <w:p w14:paraId="1F23F2D7">
            <w:pPr>
              <w:rPr>
                <w:rFonts w:ascii="Arial"/>
                <w:color w:val="auto"/>
                <w:sz w:val="21"/>
                <w:highlight w:val="none"/>
              </w:rPr>
            </w:pPr>
          </w:p>
        </w:tc>
        <w:tc>
          <w:tcPr>
            <w:tcW w:w="1923" w:type="dxa"/>
            <w:vAlign w:val="top"/>
          </w:tcPr>
          <w:p w14:paraId="5C42C31D">
            <w:pPr>
              <w:rPr>
                <w:rFonts w:ascii="Arial"/>
                <w:color w:val="auto"/>
                <w:sz w:val="21"/>
                <w:highlight w:val="none"/>
              </w:rPr>
            </w:pPr>
          </w:p>
        </w:tc>
        <w:tc>
          <w:tcPr>
            <w:tcW w:w="7478" w:type="dxa"/>
            <w:vAlign w:val="top"/>
          </w:tcPr>
          <w:p w14:paraId="4B429ECE">
            <w:pPr>
              <w:pStyle w:val="12"/>
              <w:spacing w:before="166" w:line="220" w:lineRule="auto"/>
              <w:ind w:left="114"/>
              <w:rPr>
                <w:color w:val="auto"/>
                <w:highlight w:val="none"/>
              </w:rPr>
            </w:pPr>
            <w:r>
              <w:rPr>
                <w:color w:val="auto"/>
                <w:spacing w:val="-6"/>
                <w:highlight w:val="none"/>
              </w:rPr>
              <w:t>标。</w:t>
            </w:r>
          </w:p>
          <w:p w14:paraId="31A3ABB0">
            <w:pPr>
              <w:pStyle w:val="12"/>
              <w:spacing w:before="173" w:line="354" w:lineRule="auto"/>
              <w:ind w:left="115" w:right="106" w:firstLine="9"/>
              <w:rPr>
                <w:color w:val="auto"/>
                <w:highlight w:val="none"/>
              </w:rPr>
            </w:pPr>
            <w:r>
              <w:rPr>
                <w:color w:val="auto"/>
                <w:spacing w:val="-11"/>
                <w:highlight w:val="none"/>
              </w:rPr>
              <w:t>（3）根据开标大厅界面右侧“公告栏</w:t>
            </w:r>
            <w:r>
              <w:rPr>
                <w:color w:val="auto"/>
                <w:spacing w:val="-88"/>
                <w:highlight w:val="none"/>
              </w:rPr>
              <w:t xml:space="preserve"> </w:t>
            </w:r>
            <w:r>
              <w:rPr>
                <w:color w:val="auto"/>
                <w:spacing w:val="-11"/>
                <w:highlight w:val="none"/>
              </w:rPr>
              <w:t>”中的系统提示，投标人应在“标</w:t>
            </w:r>
            <w:r>
              <w:rPr>
                <w:color w:val="auto"/>
                <w:spacing w:val="-3"/>
                <w:highlight w:val="none"/>
              </w:rPr>
              <w:t>书解密</w:t>
            </w:r>
            <w:r>
              <w:rPr>
                <w:color w:val="auto"/>
                <w:spacing w:val="-75"/>
                <w:highlight w:val="none"/>
              </w:rPr>
              <w:t xml:space="preserve"> </w:t>
            </w:r>
            <w:r>
              <w:rPr>
                <w:color w:val="auto"/>
                <w:spacing w:val="-3"/>
                <w:highlight w:val="none"/>
              </w:rPr>
              <w:t>”环节完成解密操作（自代理机构点击“开启投标解密</w:t>
            </w:r>
            <w:r>
              <w:rPr>
                <w:color w:val="auto"/>
                <w:spacing w:val="-88"/>
                <w:highlight w:val="none"/>
              </w:rPr>
              <w:t xml:space="preserve"> </w:t>
            </w:r>
            <w:r>
              <w:rPr>
                <w:color w:val="auto"/>
                <w:spacing w:val="-3"/>
                <w:highlight w:val="none"/>
              </w:rPr>
              <w:t>”按钮</w:t>
            </w:r>
            <w:r>
              <w:rPr>
                <w:color w:val="auto"/>
                <w:highlight w:val="none"/>
              </w:rPr>
              <w:t>后供应商解密，系统初设解密时间为30分</w:t>
            </w:r>
            <w:r>
              <w:rPr>
                <w:color w:val="auto"/>
                <w:spacing w:val="-1"/>
                <w:highlight w:val="none"/>
              </w:rPr>
              <w:t>钟，供应商应在30分钟内完成解密。如因网络、系统原因未完成解密的，招标人（代理机构）报经相关监督管理部门同意后可适当延长解密时间）。投标人未解密或因投标人原因解密失败的，其响应文件将被退回。</w:t>
            </w:r>
          </w:p>
          <w:p w14:paraId="160C9D05">
            <w:pPr>
              <w:pStyle w:val="12"/>
              <w:spacing w:before="1" w:line="353" w:lineRule="auto"/>
              <w:ind w:left="124" w:right="106"/>
              <w:rPr>
                <w:color w:val="auto"/>
                <w:highlight w:val="none"/>
              </w:rPr>
            </w:pPr>
            <w:r>
              <w:rPr>
                <w:color w:val="auto"/>
                <w:spacing w:val="-4"/>
                <w:highlight w:val="none"/>
              </w:rPr>
              <w:t>（4）在“唱标</w:t>
            </w:r>
            <w:r>
              <w:rPr>
                <w:color w:val="auto"/>
                <w:spacing w:val="-76"/>
                <w:highlight w:val="none"/>
              </w:rPr>
              <w:t xml:space="preserve"> </w:t>
            </w:r>
            <w:r>
              <w:rPr>
                <w:color w:val="auto"/>
                <w:spacing w:val="-4"/>
                <w:highlight w:val="none"/>
              </w:rPr>
              <w:t>”环节，投标人应对唱标信息进行确认，投标人未进行</w:t>
            </w:r>
            <w:r>
              <w:rPr>
                <w:color w:val="auto"/>
                <w:spacing w:val="-2"/>
                <w:highlight w:val="none"/>
              </w:rPr>
              <w:t>唱标确认操作的，视同认可唱标结果。</w:t>
            </w:r>
          </w:p>
          <w:p w14:paraId="4EABF664">
            <w:pPr>
              <w:pStyle w:val="12"/>
              <w:spacing w:before="1" w:line="354" w:lineRule="auto"/>
              <w:ind w:left="114" w:right="109" w:firstLine="10"/>
              <w:rPr>
                <w:color w:val="auto"/>
                <w:highlight w:val="none"/>
              </w:rPr>
            </w:pPr>
            <w:r>
              <w:rPr>
                <w:color w:val="auto"/>
                <w:spacing w:val="-4"/>
                <w:highlight w:val="none"/>
              </w:rPr>
              <w:t>（5）在“开标结束</w:t>
            </w:r>
            <w:r>
              <w:rPr>
                <w:color w:val="auto"/>
                <w:spacing w:val="-78"/>
                <w:highlight w:val="none"/>
              </w:rPr>
              <w:t xml:space="preserve"> </w:t>
            </w:r>
            <w:r>
              <w:rPr>
                <w:color w:val="auto"/>
                <w:spacing w:val="-4"/>
                <w:highlight w:val="none"/>
              </w:rPr>
              <w:t>”环节，投标人应在《开标情况记录表》上进行电</w:t>
            </w:r>
            <w:r>
              <w:rPr>
                <w:color w:val="auto"/>
                <w:spacing w:val="-1"/>
                <w:highlight w:val="none"/>
              </w:rPr>
              <w:t>子签章。投标人未签章的，视同认可开标结果。</w:t>
            </w:r>
          </w:p>
          <w:p w14:paraId="05093E75">
            <w:pPr>
              <w:pStyle w:val="12"/>
              <w:spacing w:before="2" w:line="287" w:lineRule="auto"/>
              <w:ind w:left="114" w:right="106" w:firstLine="10"/>
              <w:rPr>
                <w:color w:val="auto"/>
                <w:highlight w:val="none"/>
              </w:rPr>
            </w:pPr>
            <w:r>
              <w:rPr>
                <w:color w:val="auto"/>
                <w:spacing w:val="-3"/>
                <w:highlight w:val="none"/>
              </w:rPr>
              <w:t>（6）投标人对开标过程和开标记录如有异议，可在本项目开标大厅界面右下方“发起异议</w:t>
            </w:r>
            <w:r>
              <w:rPr>
                <w:color w:val="auto"/>
                <w:spacing w:val="-84"/>
                <w:highlight w:val="none"/>
              </w:rPr>
              <w:t xml:space="preserve"> </w:t>
            </w:r>
            <w:r>
              <w:rPr>
                <w:color w:val="auto"/>
                <w:spacing w:val="-3"/>
                <w:highlight w:val="none"/>
              </w:rPr>
              <w:t>”中提出异议。</w:t>
            </w:r>
          </w:p>
        </w:tc>
      </w:tr>
      <w:tr w14:paraId="47C1A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trPr>
        <w:tc>
          <w:tcPr>
            <w:tcW w:w="652" w:type="dxa"/>
            <w:vAlign w:val="top"/>
          </w:tcPr>
          <w:p w14:paraId="50687346">
            <w:pPr>
              <w:spacing w:line="245" w:lineRule="auto"/>
              <w:rPr>
                <w:rFonts w:ascii="Arial"/>
                <w:color w:val="auto"/>
                <w:sz w:val="21"/>
                <w:highlight w:val="none"/>
              </w:rPr>
            </w:pPr>
          </w:p>
          <w:p w14:paraId="2BF4C133">
            <w:pPr>
              <w:spacing w:line="246" w:lineRule="auto"/>
              <w:rPr>
                <w:rFonts w:ascii="Arial"/>
                <w:color w:val="auto"/>
                <w:sz w:val="21"/>
                <w:highlight w:val="none"/>
              </w:rPr>
            </w:pPr>
          </w:p>
          <w:p w14:paraId="27AA867C">
            <w:pPr>
              <w:pStyle w:val="12"/>
              <w:spacing w:before="78"/>
              <w:ind w:left="216"/>
              <w:rPr>
                <w:color w:val="auto"/>
                <w:highlight w:val="none"/>
              </w:rPr>
            </w:pPr>
            <w:r>
              <w:rPr>
                <w:color w:val="auto"/>
                <w:spacing w:val="-7"/>
                <w:highlight w:val="none"/>
              </w:rPr>
              <w:t>23</w:t>
            </w:r>
          </w:p>
        </w:tc>
        <w:tc>
          <w:tcPr>
            <w:tcW w:w="1923" w:type="dxa"/>
            <w:vAlign w:val="top"/>
          </w:tcPr>
          <w:p w14:paraId="0AE29731">
            <w:pPr>
              <w:spacing w:line="245" w:lineRule="auto"/>
              <w:rPr>
                <w:rFonts w:ascii="Arial"/>
                <w:color w:val="auto"/>
                <w:sz w:val="21"/>
                <w:highlight w:val="none"/>
              </w:rPr>
            </w:pPr>
          </w:p>
          <w:p w14:paraId="7CF0775D">
            <w:pPr>
              <w:spacing w:line="246" w:lineRule="auto"/>
              <w:rPr>
                <w:rFonts w:ascii="Arial"/>
                <w:color w:val="auto"/>
                <w:sz w:val="21"/>
                <w:highlight w:val="none"/>
              </w:rPr>
            </w:pPr>
          </w:p>
          <w:p w14:paraId="14487907">
            <w:pPr>
              <w:pStyle w:val="12"/>
              <w:spacing w:before="78" w:line="219" w:lineRule="auto"/>
              <w:ind w:left="125"/>
              <w:rPr>
                <w:color w:val="auto"/>
                <w:highlight w:val="none"/>
              </w:rPr>
            </w:pPr>
            <w:r>
              <w:rPr>
                <w:color w:val="auto"/>
                <w:spacing w:val="-2"/>
                <w:highlight w:val="none"/>
              </w:rPr>
              <w:t>评标委员会组建</w:t>
            </w:r>
          </w:p>
        </w:tc>
        <w:tc>
          <w:tcPr>
            <w:tcW w:w="7478" w:type="dxa"/>
            <w:vAlign w:val="top"/>
          </w:tcPr>
          <w:p w14:paraId="66A3FA3D">
            <w:pPr>
              <w:pStyle w:val="12"/>
              <w:spacing w:before="164" w:line="310" w:lineRule="auto"/>
              <w:ind w:left="112" w:right="106" w:firstLine="30"/>
              <w:jc w:val="both"/>
              <w:rPr>
                <w:color w:val="auto"/>
                <w:highlight w:val="none"/>
              </w:rPr>
            </w:pPr>
            <w:r>
              <w:rPr>
                <w:color w:val="auto"/>
                <w:spacing w:val="1"/>
                <w:highlight w:val="none"/>
              </w:rPr>
              <w:t>由采购人代表1人和评审专家2人组成，其中评审</w:t>
            </w:r>
            <w:r>
              <w:rPr>
                <w:color w:val="auto"/>
                <w:highlight w:val="none"/>
              </w:rPr>
              <w:t>专家的人数不少于磋</w:t>
            </w:r>
            <w:r>
              <w:rPr>
                <w:color w:val="auto"/>
                <w:spacing w:val="2"/>
                <w:highlight w:val="none"/>
              </w:rPr>
              <w:t>商小组成员总数的三分之二。评审专家从政府</w:t>
            </w:r>
            <w:r>
              <w:rPr>
                <w:color w:val="auto"/>
                <w:spacing w:val="1"/>
                <w:highlight w:val="none"/>
              </w:rPr>
              <w:t>采购评审专家库中随机</w:t>
            </w:r>
            <w:r>
              <w:rPr>
                <w:color w:val="auto"/>
                <w:spacing w:val="-3"/>
                <w:highlight w:val="none"/>
              </w:rPr>
              <w:t>抽取。</w:t>
            </w:r>
          </w:p>
        </w:tc>
      </w:tr>
      <w:tr w14:paraId="7B4BC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52" w:type="dxa"/>
            <w:vAlign w:val="top"/>
          </w:tcPr>
          <w:p w14:paraId="74658DE8">
            <w:pPr>
              <w:pStyle w:val="12"/>
              <w:spacing w:before="139" w:line="241" w:lineRule="auto"/>
              <w:ind w:left="216"/>
              <w:rPr>
                <w:color w:val="auto"/>
                <w:highlight w:val="none"/>
              </w:rPr>
            </w:pPr>
            <w:r>
              <w:rPr>
                <w:color w:val="auto"/>
                <w:spacing w:val="-7"/>
                <w:highlight w:val="none"/>
              </w:rPr>
              <w:t>24</w:t>
            </w:r>
          </w:p>
        </w:tc>
        <w:tc>
          <w:tcPr>
            <w:tcW w:w="1923" w:type="dxa"/>
            <w:vAlign w:val="top"/>
          </w:tcPr>
          <w:p w14:paraId="0FBC08F9">
            <w:pPr>
              <w:pStyle w:val="12"/>
              <w:spacing w:before="139" w:line="220" w:lineRule="auto"/>
              <w:ind w:left="485"/>
              <w:rPr>
                <w:color w:val="auto"/>
                <w:highlight w:val="none"/>
              </w:rPr>
            </w:pPr>
            <w:r>
              <w:rPr>
                <w:color w:val="auto"/>
                <w:spacing w:val="-3"/>
                <w:highlight w:val="none"/>
              </w:rPr>
              <w:t>评标方法</w:t>
            </w:r>
          </w:p>
        </w:tc>
        <w:tc>
          <w:tcPr>
            <w:tcW w:w="7478" w:type="dxa"/>
            <w:vAlign w:val="top"/>
          </w:tcPr>
          <w:p w14:paraId="1E857273">
            <w:pPr>
              <w:pStyle w:val="12"/>
              <w:spacing w:before="127"/>
              <w:ind w:left="154"/>
              <w:rPr>
                <w:color w:val="auto"/>
                <w:highlight w:val="none"/>
              </w:rPr>
            </w:pPr>
            <w:r>
              <w:rPr>
                <w:color w:val="auto"/>
                <w:position w:val="-8"/>
                <w:highlight w:val="none"/>
              </w:rPr>
              <w:drawing>
                <wp:inline distT="0" distB="0" distL="0" distR="0">
                  <wp:extent cx="196215" cy="22796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63"/>
                          <a:stretch>
                            <a:fillRect/>
                          </a:stretch>
                        </pic:blipFill>
                        <pic:spPr>
                          <a:xfrm>
                            <a:off x="0" y="0"/>
                            <a:ext cx="196367" cy="228371"/>
                          </a:xfrm>
                          <a:prstGeom prst="rect">
                            <a:avLst/>
                          </a:prstGeom>
                        </pic:spPr>
                      </pic:pic>
                    </a:graphicData>
                  </a:graphic>
                </wp:inline>
              </w:drawing>
            </w:r>
            <w:r>
              <w:rPr>
                <w:color w:val="auto"/>
                <w:spacing w:val="-1"/>
                <w:highlight w:val="none"/>
              </w:rPr>
              <w:t>综合评分法</w:t>
            </w:r>
            <w:r>
              <w:rPr>
                <w:b/>
                <w:bCs/>
                <w:color w:val="auto"/>
                <w:spacing w:val="-1"/>
                <w:highlight w:val="none"/>
              </w:rPr>
              <w:t>□</w:t>
            </w:r>
            <w:r>
              <w:rPr>
                <w:color w:val="auto"/>
                <w:spacing w:val="-1"/>
                <w:highlight w:val="none"/>
              </w:rPr>
              <w:t>最低评标价法</w:t>
            </w:r>
          </w:p>
        </w:tc>
      </w:tr>
      <w:tr w14:paraId="6F739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6" w:hRule="atLeast"/>
        </w:trPr>
        <w:tc>
          <w:tcPr>
            <w:tcW w:w="652" w:type="dxa"/>
            <w:vAlign w:val="top"/>
          </w:tcPr>
          <w:p w14:paraId="49CDAAB2">
            <w:pPr>
              <w:spacing w:line="254" w:lineRule="auto"/>
              <w:rPr>
                <w:rFonts w:ascii="Arial"/>
                <w:color w:val="auto"/>
                <w:sz w:val="21"/>
                <w:highlight w:val="none"/>
              </w:rPr>
            </w:pPr>
          </w:p>
          <w:p w14:paraId="32001633">
            <w:pPr>
              <w:spacing w:line="254" w:lineRule="auto"/>
              <w:rPr>
                <w:rFonts w:ascii="Arial"/>
                <w:color w:val="auto"/>
                <w:sz w:val="21"/>
                <w:highlight w:val="none"/>
              </w:rPr>
            </w:pPr>
          </w:p>
          <w:p w14:paraId="7985D059">
            <w:pPr>
              <w:spacing w:line="255" w:lineRule="auto"/>
              <w:rPr>
                <w:rFonts w:ascii="Arial"/>
                <w:color w:val="auto"/>
                <w:sz w:val="21"/>
                <w:highlight w:val="none"/>
              </w:rPr>
            </w:pPr>
          </w:p>
          <w:p w14:paraId="14B10652">
            <w:pPr>
              <w:spacing w:line="255" w:lineRule="auto"/>
              <w:rPr>
                <w:rFonts w:ascii="Arial"/>
                <w:color w:val="auto"/>
                <w:sz w:val="21"/>
                <w:highlight w:val="none"/>
              </w:rPr>
            </w:pPr>
          </w:p>
          <w:p w14:paraId="1A27AC38">
            <w:pPr>
              <w:spacing w:line="255" w:lineRule="auto"/>
              <w:rPr>
                <w:rFonts w:ascii="Arial"/>
                <w:color w:val="auto"/>
                <w:sz w:val="21"/>
                <w:highlight w:val="none"/>
              </w:rPr>
            </w:pPr>
          </w:p>
          <w:p w14:paraId="44C0DD6B">
            <w:pPr>
              <w:spacing w:line="255" w:lineRule="auto"/>
              <w:rPr>
                <w:rFonts w:ascii="Arial"/>
                <w:color w:val="auto"/>
                <w:sz w:val="21"/>
                <w:highlight w:val="none"/>
              </w:rPr>
            </w:pPr>
          </w:p>
          <w:p w14:paraId="1C72759E">
            <w:pPr>
              <w:spacing w:line="255" w:lineRule="auto"/>
              <w:rPr>
                <w:rFonts w:ascii="Arial"/>
                <w:color w:val="auto"/>
                <w:sz w:val="21"/>
                <w:highlight w:val="none"/>
              </w:rPr>
            </w:pPr>
          </w:p>
          <w:p w14:paraId="0FB561D8">
            <w:pPr>
              <w:spacing w:line="255" w:lineRule="auto"/>
              <w:rPr>
                <w:rFonts w:ascii="Arial"/>
                <w:color w:val="auto"/>
                <w:sz w:val="21"/>
                <w:highlight w:val="none"/>
              </w:rPr>
            </w:pPr>
          </w:p>
          <w:p w14:paraId="6606868E">
            <w:pPr>
              <w:spacing w:line="255" w:lineRule="auto"/>
              <w:rPr>
                <w:rFonts w:ascii="Arial"/>
                <w:color w:val="auto"/>
                <w:sz w:val="21"/>
                <w:highlight w:val="none"/>
              </w:rPr>
            </w:pPr>
          </w:p>
          <w:p w14:paraId="6EA63C80">
            <w:pPr>
              <w:spacing w:line="255" w:lineRule="auto"/>
              <w:rPr>
                <w:rFonts w:ascii="Arial"/>
                <w:color w:val="auto"/>
                <w:sz w:val="21"/>
                <w:highlight w:val="none"/>
              </w:rPr>
            </w:pPr>
          </w:p>
          <w:p w14:paraId="44B01772">
            <w:pPr>
              <w:pStyle w:val="12"/>
              <w:spacing w:before="78"/>
              <w:ind w:left="216"/>
              <w:rPr>
                <w:color w:val="auto"/>
                <w:highlight w:val="none"/>
              </w:rPr>
            </w:pPr>
            <w:r>
              <w:rPr>
                <w:color w:val="auto"/>
                <w:spacing w:val="-7"/>
                <w:highlight w:val="none"/>
              </w:rPr>
              <w:t>25</w:t>
            </w:r>
          </w:p>
        </w:tc>
        <w:tc>
          <w:tcPr>
            <w:tcW w:w="1923" w:type="dxa"/>
            <w:vAlign w:val="top"/>
          </w:tcPr>
          <w:p w14:paraId="0E2259EC">
            <w:pPr>
              <w:spacing w:line="257" w:lineRule="auto"/>
              <w:rPr>
                <w:rFonts w:ascii="Arial"/>
                <w:color w:val="auto"/>
                <w:sz w:val="21"/>
                <w:highlight w:val="none"/>
              </w:rPr>
            </w:pPr>
          </w:p>
          <w:p w14:paraId="7018B50A">
            <w:pPr>
              <w:spacing w:line="257" w:lineRule="auto"/>
              <w:rPr>
                <w:rFonts w:ascii="Arial"/>
                <w:color w:val="auto"/>
                <w:sz w:val="21"/>
                <w:highlight w:val="none"/>
              </w:rPr>
            </w:pPr>
          </w:p>
          <w:p w14:paraId="25244621">
            <w:pPr>
              <w:spacing w:line="257" w:lineRule="auto"/>
              <w:rPr>
                <w:rFonts w:ascii="Arial"/>
                <w:color w:val="auto"/>
                <w:sz w:val="21"/>
                <w:highlight w:val="none"/>
              </w:rPr>
            </w:pPr>
          </w:p>
          <w:p w14:paraId="0AC81F28">
            <w:pPr>
              <w:spacing w:line="258" w:lineRule="auto"/>
              <w:rPr>
                <w:rFonts w:ascii="Arial"/>
                <w:color w:val="auto"/>
                <w:sz w:val="21"/>
                <w:highlight w:val="none"/>
              </w:rPr>
            </w:pPr>
          </w:p>
          <w:p w14:paraId="05BAE21D">
            <w:pPr>
              <w:spacing w:line="258" w:lineRule="auto"/>
              <w:rPr>
                <w:rFonts w:ascii="Arial"/>
                <w:color w:val="auto"/>
                <w:sz w:val="21"/>
                <w:highlight w:val="none"/>
              </w:rPr>
            </w:pPr>
          </w:p>
          <w:p w14:paraId="26E005FD">
            <w:pPr>
              <w:spacing w:line="258" w:lineRule="auto"/>
              <w:rPr>
                <w:rFonts w:ascii="Arial"/>
                <w:color w:val="auto"/>
                <w:sz w:val="21"/>
                <w:highlight w:val="none"/>
              </w:rPr>
            </w:pPr>
          </w:p>
          <w:p w14:paraId="4567997F">
            <w:pPr>
              <w:spacing w:line="258" w:lineRule="auto"/>
              <w:rPr>
                <w:rFonts w:ascii="Arial"/>
                <w:color w:val="auto"/>
                <w:sz w:val="21"/>
                <w:highlight w:val="none"/>
              </w:rPr>
            </w:pPr>
          </w:p>
          <w:p w14:paraId="0B2C5C65">
            <w:pPr>
              <w:spacing w:line="258" w:lineRule="auto"/>
              <w:rPr>
                <w:rFonts w:ascii="Arial"/>
                <w:color w:val="auto"/>
                <w:sz w:val="21"/>
                <w:highlight w:val="none"/>
              </w:rPr>
            </w:pPr>
          </w:p>
          <w:p w14:paraId="6152E7EC">
            <w:pPr>
              <w:spacing w:line="258" w:lineRule="auto"/>
              <w:rPr>
                <w:rFonts w:ascii="Arial"/>
                <w:color w:val="auto"/>
                <w:sz w:val="21"/>
                <w:highlight w:val="none"/>
              </w:rPr>
            </w:pPr>
          </w:p>
          <w:p w14:paraId="00B35532">
            <w:pPr>
              <w:pStyle w:val="12"/>
              <w:spacing w:before="78" w:line="362" w:lineRule="auto"/>
              <w:ind w:left="847" w:right="121" w:hanging="699"/>
              <w:rPr>
                <w:color w:val="auto"/>
                <w:highlight w:val="none"/>
              </w:rPr>
            </w:pPr>
            <w:r>
              <w:rPr>
                <w:color w:val="auto"/>
                <w:spacing w:val="-5"/>
                <w:highlight w:val="none"/>
              </w:rPr>
              <w:t>中小企业有关政</w:t>
            </w:r>
            <w:r>
              <w:rPr>
                <w:color w:val="auto"/>
                <w:highlight w:val="none"/>
              </w:rPr>
              <w:t>策</w:t>
            </w:r>
          </w:p>
        </w:tc>
        <w:tc>
          <w:tcPr>
            <w:tcW w:w="7478" w:type="dxa"/>
            <w:vAlign w:val="top"/>
          </w:tcPr>
          <w:p w14:paraId="00655092">
            <w:pPr>
              <w:pStyle w:val="12"/>
              <w:spacing w:before="165" w:line="354" w:lineRule="auto"/>
              <w:ind w:left="132" w:right="106" w:hanging="1"/>
              <w:rPr>
                <w:color w:val="auto"/>
                <w:highlight w:val="none"/>
              </w:rPr>
            </w:pPr>
            <w:r>
              <w:rPr>
                <w:color w:val="auto"/>
                <w:spacing w:val="-3"/>
                <w:highlight w:val="none"/>
              </w:rPr>
              <w:t>1、本项目属于专门面向中小企业采购的项目；不再执行价格评审优惠</w:t>
            </w:r>
            <w:r>
              <w:rPr>
                <w:color w:val="auto"/>
                <w:spacing w:val="-2"/>
                <w:highlight w:val="none"/>
              </w:rPr>
              <w:t>的扶持政策，评审时不再对价格进行扣除；</w:t>
            </w:r>
          </w:p>
          <w:p w14:paraId="7E6A5AE5">
            <w:pPr>
              <w:pStyle w:val="12"/>
              <w:spacing w:before="1" w:line="354" w:lineRule="auto"/>
              <w:ind w:left="112" w:right="111" w:firstLine="3"/>
              <w:rPr>
                <w:color w:val="auto"/>
                <w:highlight w:val="none"/>
              </w:rPr>
            </w:pPr>
            <w:r>
              <w:rPr>
                <w:color w:val="auto"/>
                <w:spacing w:val="5"/>
                <w:highlight w:val="none"/>
              </w:rPr>
              <w:t>2、本次采购标的对应的中小企业划分标准所属行业：</w:t>
            </w:r>
            <w:r>
              <w:rPr>
                <w:b/>
                <w:bCs/>
                <w:color w:val="auto"/>
                <w:spacing w:val="5"/>
                <w:highlight w:val="none"/>
              </w:rPr>
              <w:t>其他未列明行</w:t>
            </w:r>
            <w:r>
              <w:rPr>
                <w:b/>
                <w:bCs/>
                <w:color w:val="auto"/>
                <w:spacing w:val="-7"/>
                <w:highlight w:val="none"/>
              </w:rPr>
              <w:t>业。</w:t>
            </w:r>
          </w:p>
          <w:p w14:paraId="32C61AA4">
            <w:pPr>
              <w:pStyle w:val="12"/>
              <w:spacing w:before="2" w:line="353" w:lineRule="auto"/>
              <w:ind w:left="112" w:right="109" w:firstLine="5"/>
              <w:rPr>
                <w:color w:val="auto"/>
                <w:highlight w:val="none"/>
              </w:rPr>
            </w:pPr>
            <w:r>
              <w:rPr>
                <w:color w:val="auto"/>
                <w:spacing w:val="5"/>
                <w:highlight w:val="none"/>
              </w:rPr>
              <w:t>3、根据工信部等部委发布的《关于印发中小企业划型标准规定的通</w:t>
            </w:r>
            <w:r>
              <w:rPr>
                <w:color w:val="auto"/>
                <w:spacing w:val="-2"/>
                <w:highlight w:val="none"/>
              </w:rPr>
              <w:t>知》（工信部联企业〔2011〕300号</w:t>
            </w:r>
            <w:r>
              <w:rPr>
                <w:color w:val="auto"/>
                <w:spacing w:val="-3"/>
                <w:highlight w:val="none"/>
              </w:rPr>
              <w:t>），</w:t>
            </w:r>
            <w:r>
              <w:rPr>
                <w:color w:val="auto"/>
                <w:spacing w:val="-2"/>
                <w:highlight w:val="none"/>
              </w:rPr>
              <w:t>按照本次采购标的所属行业的</w:t>
            </w:r>
            <w:r>
              <w:rPr>
                <w:color w:val="auto"/>
                <w:spacing w:val="2"/>
                <w:highlight w:val="none"/>
              </w:rPr>
              <w:t>划型标准，符合条件的中小企业应按照招标文</w:t>
            </w:r>
            <w:r>
              <w:rPr>
                <w:color w:val="auto"/>
                <w:spacing w:val="1"/>
                <w:highlight w:val="none"/>
              </w:rPr>
              <w:t>件格式要求提供《中小</w:t>
            </w:r>
            <w:r>
              <w:rPr>
                <w:color w:val="auto"/>
                <w:spacing w:val="-1"/>
                <w:highlight w:val="none"/>
              </w:rPr>
              <w:t>企业声明函》，否则不得享受相关中小企业扶持政策。</w:t>
            </w:r>
          </w:p>
          <w:p w14:paraId="000122C8">
            <w:pPr>
              <w:pStyle w:val="12"/>
              <w:spacing w:before="1" w:line="354" w:lineRule="auto"/>
              <w:ind w:left="133" w:right="69" w:hanging="21"/>
              <w:rPr>
                <w:color w:val="auto"/>
                <w:highlight w:val="none"/>
              </w:rPr>
            </w:pPr>
            <w:r>
              <w:rPr>
                <w:color w:val="auto"/>
                <w:spacing w:val="-1"/>
                <w:highlight w:val="none"/>
              </w:rPr>
              <w:t>4、提供由省级以上监狱管理局、戒毒管理局（含新疆生产建设兵团）出具的属于监狱企业证明文件的，视同为小型</w:t>
            </w:r>
            <w:r>
              <w:rPr>
                <w:color w:val="auto"/>
                <w:spacing w:val="-2"/>
                <w:highlight w:val="none"/>
              </w:rPr>
              <w:t>和微型企业。</w:t>
            </w:r>
          </w:p>
          <w:p w14:paraId="2C571AEA">
            <w:pPr>
              <w:pStyle w:val="12"/>
              <w:spacing w:before="2" w:line="287" w:lineRule="auto"/>
              <w:ind w:left="115" w:right="106" w:firstLine="2"/>
              <w:rPr>
                <w:color w:val="auto"/>
                <w:highlight w:val="none"/>
              </w:rPr>
            </w:pPr>
            <w:r>
              <w:rPr>
                <w:color w:val="auto"/>
                <w:spacing w:val="-2"/>
                <w:highlight w:val="none"/>
              </w:rPr>
              <w:t>5、符合享受政府采购支持政策的残疾人福利</w:t>
            </w:r>
            <w:r>
              <w:rPr>
                <w:color w:val="auto"/>
                <w:spacing w:val="-3"/>
                <w:highlight w:val="none"/>
              </w:rPr>
              <w:t>性单位条件且提供《残疾</w:t>
            </w:r>
            <w:r>
              <w:rPr>
                <w:color w:val="auto"/>
                <w:spacing w:val="-1"/>
                <w:highlight w:val="none"/>
              </w:rPr>
              <w:t>人福利性单位声明函》的，视同为小型和微型企业。</w:t>
            </w:r>
          </w:p>
        </w:tc>
      </w:tr>
    </w:tbl>
    <w:p w14:paraId="487340FC">
      <w:pPr>
        <w:pStyle w:val="5"/>
        <w:rPr>
          <w:color w:val="auto"/>
          <w:highlight w:val="none"/>
        </w:rPr>
      </w:pPr>
    </w:p>
    <w:p w14:paraId="368372D4">
      <w:pPr>
        <w:rPr>
          <w:color w:val="auto"/>
          <w:highlight w:val="none"/>
        </w:rPr>
        <w:sectPr>
          <w:footerReference r:id="rId9" w:type="default"/>
          <w:pgSz w:w="11906" w:h="16839"/>
          <w:pgMar w:top="1431" w:right="924" w:bottom="1443" w:left="923" w:header="0" w:footer="1202" w:gutter="0"/>
          <w:pgNumType w:fmt="decimal"/>
          <w:cols w:space="720" w:num="1"/>
        </w:sectPr>
      </w:pPr>
    </w:p>
    <w:p w14:paraId="77BA616A">
      <w:pPr>
        <w:spacing w:line="91" w:lineRule="auto"/>
        <w:rPr>
          <w:rFonts w:ascii="Arial"/>
          <w:color w:val="auto"/>
          <w:sz w:val="2"/>
          <w:highlight w:val="none"/>
        </w:rPr>
      </w:pPr>
    </w:p>
    <w:tbl>
      <w:tblPr>
        <w:tblStyle w:val="11"/>
        <w:tblW w:w="100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923"/>
        <w:gridCol w:w="7478"/>
      </w:tblGrid>
      <w:tr w14:paraId="5B62F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1" w:hRule="atLeast"/>
        </w:trPr>
        <w:tc>
          <w:tcPr>
            <w:tcW w:w="652" w:type="dxa"/>
            <w:vAlign w:val="top"/>
          </w:tcPr>
          <w:p w14:paraId="1CFC1326">
            <w:pPr>
              <w:spacing w:line="255" w:lineRule="auto"/>
              <w:rPr>
                <w:rFonts w:ascii="Arial"/>
                <w:color w:val="auto"/>
                <w:sz w:val="21"/>
                <w:highlight w:val="none"/>
              </w:rPr>
            </w:pPr>
          </w:p>
          <w:p w14:paraId="7BF8E5BD">
            <w:pPr>
              <w:spacing w:line="255" w:lineRule="auto"/>
              <w:rPr>
                <w:rFonts w:ascii="Arial"/>
                <w:color w:val="auto"/>
                <w:sz w:val="21"/>
                <w:highlight w:val="none"/>
              </w:rPr>
            </w:pPr>
          </w:p>
          <w:p w14:paraId="3ABE6E54">
            <w:pPr>
              <w:spacing w:line="255" w:lineRule="auto"/>
              <w:rPr>
                <w:rFonts w:ascii="Arial"/>
                <w:color w:val="auto"/>
                <w:sz w:val="21"/>
                <w:highlight w:val="none"/>
              </w:rPr>
            </w:pPr>
          </w:p>
          <w:p w14:paraId="5DA70C70">
            <w:pPr>
              <w:spacing w:line="255" w:lineRule="auto"/>
              <w:rPr>
                <w:rFonts w:ascii="Arial"/>
                <w:color w:val="auto"/>
                <w:sz w:val="21"/>
                <w:highlight w:val="none"/>
              </w:rPr>
            </w:pPr>
          </w:p>
          <w:p w14:paraId="01EFB516">
            <w:pPr>
              <w:spacing w:line="255" w:lineRule="auto"/>
              <w:rPr>
                <w:rFonts w:ascii="Arial"/>
                <w:color w:val="auto"/>
                <w:sz w:val="21"/>
                <w:highlight w:val="none"/>
              </w:rPr>
            </w:pPr>
          </w:p>
          <w:p w14:paraId="219AD4A2">
            <w:pPr>
              <w:spacing w:line="255" w:lineRule="auto"/>
              <w:rPr>
                <w:rFonts w:ascii="Arial"/>
                <w:color w:val="auto"/>
                <w:sz w:val="21"/>
                <w:highlight w:val="none"/>
              </w:rPr>
            </w:pPr>
          </w:p>
          <w:p w14:paraId="340DCC00">
            <w:pPr>
              <w:spacing w:line="255" w:lineRule="auto"/>
              <w:rPr>
                <w:rFonts w:ascii="Arial"/>
                <w:color w:val="auto"/>
                <w:sz w:val="21"/>
                <w:highlight w:val="none"/>
              </w:rPr>
            </w:pPr>
          </w:p>
          <w:p w14:paraId="4491B8CA">
            <w:pPr>
              <w:spacing w:line="255" w:lineRule="auto"/>
              <w:rPr>
                <w:rFonts w:ascii="Arial"/>
                <w:color w:val="auto"/>
                <w:sz w:val="21"/>
                <w:highlight w:val="none"/>
              </w:rPr>
            </w:pPr>
          </w:p>
          <w:p w14:paraId="7EF6999D">
            <w:pPr>
              <w:spacing w:line="256" w:lineRule="auto"/>
              <w:rPr>
                <w:rFonts w:ascii="Arial"/>
                <w:color w:val="auto"/>
                <w:sz w:val="21"/>
                <w:highlight w:val="none"/>
              </w:rPr>
            </w:pPr>
          </w:p>
          <w:p w14:paraId="17209820">
            <w:pPr>
              <w:spacing w:line="256" w:lineRule="auto"/>
              <w:rPr>
                <w:rFonts w:ascii="Arial"/>
                <w:color w:val="auto"/>
                <w:sz w:val="21"/>
                <w:highlight w:val="none"/>
              </w:rPr>
            </w:pPr>
          </w:p>
          <w:p w14:paraId="6D0CC2B2">
            <w:pPr>
              <w:pStyle w:val="12"/>
              <w:spacing w:before="78" w:line="239" w:lineRule="auto"/>
              <w:ind w:left="216"/>
              <w:rPr>
                <w:color w:val="auto"/>
                <w:highlight w:val="none"/>
              </w:rPr>
            </w:pPr>
            <w:r>
              <w:rPr>
                <w:color w:val="auto"/>
                <w:spacing w:val="-7"/>
                <w:highlight w:val="none"/>
              </w:rPr>
              <w:t>26</w:t>
            </w:r>
          </w:p>
        </w:tc>
        <w:tc>
          <w:tcPr>
            <w:tcW w:w="1923" w:type="dxa"/>
            <w:vAlign w:val="top"/>
          </w:tcPr>
          <w:p w14:paraId="4C84C234">
            <w:pPr>
              <w:spacing w:line="255" w:lineRule="auto"/>
              <w:rPr>
                <w:rFonts w:ascii="Arial"/>
                <w:color w:val="auto"/>
                <w:sz w:val="21"/>
                <w:highlight w:val="none"/>
              </w:rPr>
            </w:pPr>
          </w:p>
          <w:p w14:paraId="4B5BAA0D">
            <w:pPr>
              <w:spacing w:line="255" w:lineRule="auto"/>
              <w:rPr>
                <w:rFonts w:ascii="Arial"/>
                <w:color w:val="auto"/>
                <w:sz w:val="21"/>
                <w:highlight w:val="none"/>
              </w:rPr>
            </w:pPr>
          </w:p>
          <w:p w14:paraId="070C94DC">
            <w:pPr>
              <w:spacing w:line="255" w:lineRule="auto"/>
              <w:rPr>
                <w:rFonts w:ascii="Arial"/>
                <w:color w:val="auto"/>
                <w:sz w:val="21"/>
                <w:highlight w:val="none"/>
              </w:rPr>
            </w:pPr>
          </w:p>
          <w:p w14:paraId="060747A2">
            <w:pPr>
              <w:spacing w:line="255" w:lineRule="auto"/>
              <w:rPr>
                <w:rFonts w:ascii="Arial"/>
                <w:color w:val="auto"/>
                <w:sz w:val="21"/>
                <w:highlight w:val="none"/>
              </w:rPr>
            </w:pPr>
          </w:p>
          <w:p w14:paraId="47181D46">
            <w:pPr>
              <w:spacing w:line="255" w:lineRule="auto"/>
              <w:rPr>
                <w:rFonts w:ascii="Arial"/>
                <w:color w:val="auto"/>
                <w:sz w:val="21"/>
                <w:highlight w:val="none"/>
              </w:rPr>
            </w:pPr>
          </w:p>
          <w:p w14:paraId="4D9EA61C">
            <w:pPr>
              <w:spacing w:line="255" w:lineRule="auto"/>
              <w:rPr>
                <w:rFonts w:ascii="Arial"/>
                <w:color w:val="auto"/>
                <w:sz w:val="21"/>
                <w:highlight w:val="none"/>
              </w:rPr>
            </w:pPr>
          </w:p>
          <w:p w14:paraId="2E8A6274">
            <w:pPr>
              <w:spacing w:line="256" w:lineRule="auto"/>
              <w:rPr>
                <w:rFonts w:ascii="Arial"/>
                <w:color w:val="auto"/>
                <w:sz w:val="21"/>
                <w:highlight w:val="none"/>
              </w:rPr>
            </w:pPr>
          </w:p>
          <w:p w14:paraId="34167BD7">
            <w:pPr>
              <w:spacing w:line="256" w:lineRule="auto"/>
              <w:rPr>
                <w:rFonts w:ascii="Arial"/>
                <w:color w:val="auto"/>
                <w:sz w:val="21"/>
                <w:highlight w:val="none"/>
              </w:rPr>
            </w:pPr>
          </w:p>
          <w:p w14:paraId="757054D6">
            <w:pPr>
              <w:spacing w:line="256" w:lineRule="auto"/>
              <w:rPr>
                <w:rFonts w:ascii="Arial"/>
                <w:color w:val="auto"/>
                <w:sz w:val="21"/>
                <w:highlight w:val="none"/>
              </w:rPr>
            </w:pPr>
          </w:p>
          <w:p w14:paraId="5FCDF41B">
            <w:pPr>
              <w:spacing w:line="256" w:lineRule="auto"/>
              <w:rPr>
                <w:rFonts w:ascii="Arial"/>
                <w:color w:val="auto"/>
                <w:sz w:val="21"/>
                <w:highlight w:val="none"/>
              </w:rPr>
            </w:pPr>
          </w:p>
          <w:p w14:paraId="7F94C34F">
            <w:pPr>
              <w:pStyle w:val="12"/>
              <w:spacing w:before="78" w:line="220" w:lineRule="auto"/>
              <w:ind w:left="245"/>
              <w:rPr>
                <w:color w:val="auto"/>
                <w:highlight w:val="none"/>
              </w:rPr>
            </w:pPr>
            <w:r>
              <w:rPr>
                <w:color w:val="auto"/>
                <w:spacing w:val="-2"/>
                <w:highlight w:val="none"/>
              </w:rPr>
              <w:t>节能环保要求</w:t>
            </w:r>
          </w:p>
        </w:tc>
        <w:tc>
          <w:tcPr>
            <w:tcW w:w="7478" w:type="dxa"/>
            <w:vAlign w:val="top"/>
          </w:tcPr>
          <w:p w14:paraId="029AB750">
            <w:pPr>
              <w:pStyle w:val="12"/>
              <w:spacing w:before="119" w:line="218" w:lineRule="auto"/>
              <w:ind w:left="131"/>
              <w:rPr>
                <w:color w:val="auto"/>
                <w:highlight w:val="none"/>
              </w:rPr>
            </w:pPr>
            <w:r>
              <w:rPr>
                <w:color w:val="auto"/>
                <w:spacing w:val="-5"/>
                <w:highlight w:val="none"/>
              </w:rPr>
              <w:t>1、本项目强制采购的节能产品：</w:t>
            </w:r>
            <w:r>
              <w:rPr>
                <w:b/>
                <w:bCs/>
                <w:color w:val="auto"/>
                <w:spacing w:val="-5"/>
                <w:highlight w:val="none"/>
              </w:rPr>
              <w:t>无</w:t>
            </w:r>
          </w:p>
          <w:p w14:paraId="66FE169D">
            <w:pPr>
              <w:pStyle w:val="12"/>
              <w:spacing w:before="227" w:line="342" w:lineRule="auto"/>
              <w:ind w:left="113" w:right="30" w:hanging="4"/>
              <w:rPr>
                <w:color w:val="auto"/>
                <w:highlight w:val="none"/>
              </w:rPr>
            </w:pPr>
            <w:r>
              <w:rPr>
                <w:rFonts w:ascii="Times New Roman" w:hAnsi="Times New Roman" w:eastAsia="Times New Roman" w:cs="Times New Roman"/>
                <w:color w:val="auto"/>
                <w:spacing w:val="1"/>
                <w:highlight w:val="none"/>
              </w:rPr>
              <w:t>2</w:t>
            </w:r>
            <w:r>
              <w:rPr>
                <w:rFonts w:ascii="Times New Roman" w:hAnsi="Times New Roman" w:eastAsia="Times New Roman" w:cs="Times New Roman"/>
                <w:color w:val="auto"/>
                <w:spacing w:val="-32"/>
                <w:highlight w:val="none"/>
              </w:rPr>
              <w:t xml:space="preserve"> </w:t>
            </w:r>
            <w:r>
              <w:rPr>
                <w:color w:val="auto"/>
                <w:spacing w:val="1"/>
                <w:highlight w:val="none"/>
              </w:rPr>
              <w:t>、执行《财政部发展改革委生态环境部 市场监管总局</w:t>
            </w:r>
            <w:r>
              <w:rPr>
                <w:color w:val="auto"/>
                <w:highlight w:val="none"/>
              </w:rPr>
              <w:t>关于调整优化</w:t>
            </w:r>
            <w:r>
              <w:rPr>
                <w:color w:val="auto"/>
                <w:spacing w:val="-2"/>
                <w:highlight w:val="none"/>
              </w:rPr>
              <w:t>节能产品、环境标志产品政府采购执行机制的通知》（财库〔</w:t>
            </w:r>
            <w:r>
              <w:rPr>
                <w:rFonts w:ascii="Times New Roman" w:hAnsi="Times New Roman" w:eastAsia="Times New Roman" w:cs="Times New Roman"/>
                <w:color w:val="auto"/>
                <w:spacing w:val="-2"/>
                <w:highlight w:val="none"/>
              </w:rPr>
              <w:t>2019</w:t>
            </w:r>
            <w:r>
              <w:rPr>
                <w:color w:val="auto"/>
                <w:spacing w:val="-3"/>
                <w:highlight w:val="none"/>
              </w:rPr>
              <w:t>〕</w:t>
            </w:r>
            <w:r>
              <w:rPr>
                <w:rFonts w:ascii="Times New Roman" w:hAnsi="Times New Roman" w:eastAsia="Times New Roman" w:cs="Times New Roman"/>
                <w:color w:val="auto"/>
                <w:spacing w:val="-3"/>
                <w:highlight w:val="none"/>
              </w:rPr>
              <w:t>9</w:t>
            </w:r>
            <w:r>
              <w:rPr>
                <w:color w:val="auto"/>
                <w:spacing w:val="2"/>
                <w:highlight w:val="none"/>
              </w:rPr>
              <w:t>号）、关于印发节能产品政府采购品目清单</w:t>
            </w:r>
            <w:r>
              <w:rPr>
                <w:color w:val="auto"/>
                <w:spacing w:val="1"/>
                <w:highlight w:val="none"/>
              </w:rPr>
              <w:t>的通知（财库〔</w:t>
            </w:r>
            <w:r>
              <w:rPr>
                <w:rFonts w:ascii="Times New Roman" w:hAnsi="Times New Roman" w:eastAsia="Times New Roman" w:cs="Times New Roman"/>
                <w:color w:val="auto"/>
                <w:spacing w:val="1"/>
                <w:highlight w:val="none"/>
              </w:rPr>
              <w:t>2019</w:t>
            </w:r>
            <w:r>
              <w:rPr>
                <w:color w:val="auto"/>
                <w:spacing w:val="1"/>
                <w:highlight w:val="none"/>
              </w:rPr>
              <w:t>〕</w:t>
            </w:r>
            <w:r>
              <w:rPr>
                <w:rFonts w:ascii="Times New Roman" w:hAnsi="Times New Roman" w:eastAsia="Times New Roman" w:cs="Times New Roman"/>
                <w:color w:val="auto"/>
                <w:spacing w:val="1"/>
                <w:highlight w:val="none"/>
              </w:rPr>
              <w:t>19</w:t>
            </w:r>
            <w:r>
              <w:rPr>
                <w:color w:val="auto"/>
                <w:spacing w:val="-3"/>
                <w:highlight w:val="none"/>
              </w:rPr>
              <w:t>号）、关于印发环境标志产品政府采购品目</w:t>
            </w:r>
            <w:r>
              <w:rPr>
                <w:color w:val="auto"/>
                <w:spacing w:val="-4"/>
                <w:highlight w:val="none"/>
              </w:rPr>
              <w:t>清单的通知（财库〔</w:t>
            </w:r>
            <w:r>
              <w:rPr>
                <w:rFonts w:ascii="Times New Roman" w:hAnsi="Times New Roman" w:eastAsia="Times New Roman" w:cs="Times New Roman"/>
                <w:color w:val="auto"/>
                <w:spacing w:val="-4"/>
                <w:highlight w:val="none"/>
              </w:rPr>
              <w:t>2019</w:t>
            </w:r>
            <w:r>
              <w:rPr>
                <w:color w:val="auto"/>
                <w:spacing w:val="-4"/>
                <w:highlight w:val="none"/>
              </w:rPr>
              <w:t>〕</w:t>
            </w:r>
            <w:r>
              <w:rPr>
                <w:color w:val="auto"/>
                <w:highlight w:val="none"/>
              </w:rPr>
              <w:t xml:space="preserve"> </w:t>
            </w:r>
            <w:r>
              <w:rPr>
                <w:rFonts w:ascii="Times New Roman" w:hAnsi="Times New Roman" w:eastAsia="Times New Roman" w:cs="Times New Roman"/>
                <w:color w:val="auto"/>
                <w:spacing w:val="2"/>
                <w:highlight w:val="none"/>
              </w:rPr>
              <w:t>18</w:t>
            </w:r>
            <w:r>
              <w:rPr>
                <w:color w:val="auto"/>
                <w:spacing w:val="2"/>
                <w:highlight w:val="none"/>
              </w:rPr>
              <w:t>号）、市场监管总局关于发布参与实施政</w:t>
            </w:r>
            <w:r>
              <w:rPr>
                <w:color w:val="auto"/>
                <w:spacing w:val="1"/>
                <w:highlight w:val="none"/>
              </w:rPr>
              <w:t>府采购节能产品、环境标志产品认证机构名录的公告（</w:t>
            </w:r>
            <w:r>
              <w:rPr>
                <w:rFonts w:ascii="Times New Roman" w:hAnsi="Times New Roman" w:eastAsia="Times New Roman" w:cs="Times New Roman"/>
                <w:color w:val="auto"/>
                <w:spacing w:val="1"/>
                <w:highlight w:val="none"/>
              </w:rPr>
              <w:t>2019</w:t>
            </w:r>
            <w:r>
              <w:rPr>
                <w:color w:val="auto"/>
                <w:spacing w:val="1"/>
                <w:highlight w:val="none"/>
              </w:rPr>
              <w:t>年第</w:t>
            </w:r>
            <w:r>
              <w:rPr>
                <w:rFonts w:ascii="Times New Roman" w:hAnsi="Times New Roman" w:eastAsia="Times New Roman" w:cs="Times New Roman"/>
                <w:color w:val="auto"/>
                <w:spacing w:val="1"/>
                <w:highlight w:val="none"/>
              </w:rPr>
              <w:t>16</w:t>
            </w:r>
            <w:r>
              <w:rPr>
                <w:color w:val="auto"/>
                <w:spacing w:val="1"/>
                <w:highlight w:val="none"/>
              </w:rPr>
              <w:t>号</w:t>
            </w:r>
            <w:r>
              <w:rPr>
                <w:color w:val="auto"/>
                <w:spacing w:val="10"/>
                <w:highlight w:val="none"/>
              </w:rPr>
              <w:t>），</w:t>
            </w:r>
            <w:r>
              <w:rPr>
                <w:color w:val="auto"/>
                <w:spacing w:val="1"/>
                <w:highlight w:val="none"/>
              </w:rPr>
              <w:t>本次投标产品类别属</w:t>
            </w:r>
            <w:r>
              <w:rPr>
                <w:color w:val="auto"/>
                <w:spacing w:val="2"/>
                <w:highlight w:val="none"/>
              </w:rPr>
              <w:t>于政府强制采购产品类别的，须按照要求提</w:t>
            </w:r>
            <w:r>
              <w:rPr>
                <w:color w:val="auto"/>
                <w:spacing w:val="1"/>
                <w:highlight w:val="none"/>
              </w:rPr>
              <w:t>供依据国家确定的认证机</w:t>
            </w:r>
            <w:r>
              <w:rPr>
                <w:color w:val="auto"/>
                <w:spacing w:val="2"/>
                <w:highlight w:val="none"/>
              </w:rPr>
              <w:t>构出具的、处于有效期之内的节能产品认证</w:t>
            </w:r>
            <w:r>
              <w:rPr>
                <w:color w:val="auto"/>
                <w:spacing w:val="1"/>
                <w:highlight w:val="none"/>
              </w:rPr>
              <w:t>证书，否则投标无效；属</w:t>
            </w:r>
            <w:r>
              <w:rPr>
                <w:color w:val="auto"/>
                <w:spacing w:val="2"/>
                <w:highlight w:val="none"/>
              </w:rPr>
              <w:t>于政府优先采购产品类别的，须按照要求提</w:t>
            </w:r>
            <w:r>
              <w:rPr>
                <w:color w:val="auto"/>
                <w:spacing w:val="1"/>
                <w:highlight w:val="none"/>
              </w:rPr>
              <w:t>供依据国家确定的认证机</w:t>
            </w:r>
            <w:r>
              <w:rPr>
                <w:color w:val="auto"/>
                <w:spacing w:val="2"/>
                <w:highlight w:val="none"/>
              </w:rPr>
              <w:t>构出具的、处于有效期之内的节能产品、环</w:t>
            </w:r>
            <w:r>
              <w:rPr>
                <w:color w:val="auto"/>
                <w:spacing w:val="1"/>
                <w:highlight w:val="none"/>
              </w:rPr>
              <w:t>境标志产品认证证书，否</w:t>
            </w:r>
            <w:r>
              <w:rPr>
                <w:color w:val="auto"/>
                <w:spacing w:val="-2"/>
                <w:highlight w:val="none"/>
              </w:rPr>
              <w:t>则不予认定。</w:t>
            </w:r>
          </w:p>
        </w:tc>
      </w:tr>
      <w:tr w14:paraId="13801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6" w:hRule="atLeast"/>
        </w:trPr>
        <w:tc>
          <w:tcPr>
            <w:tcW w:w="652" w:type="dxa"/>
            <w:vAlign w:val="top"/>
          </w:tcPr>
          <w:p w14:paraId="72374E8C">
            <w:pPr>
              <w:spacing w:line="247" w:lineRule="auto"/>
              <w:rPr>
                <w:rFonts w:ascii="Arial"/>
                <w:color w:val="auto"/>
                <w:sz w:val="21"/>
                <w:highlight w:val="none"/>
              </w:rPr>
            </w:pPr>
          </w:p>
          <w:p w14:paraId="3BA4999C">
            <w:pPr>
              <w:spacing w:line="247" w:lineRule="auto"/>
              <w:rPr>
                <w:rFonts w:ascii="Arial"/>
                <w:color w:val="auto"/>
                <w:sz w:val="21"/>
                <w:highlight w:val="none"/>
              </w:rPr>
            </w:pPr>
          </w:p>
          <w:p w14:paraId="710B0FF2">
            <w:pPr>
              <w:spacing w:line="247" w:lineRule="auto"/>
              <w:rPr>
                <w:rFonts w:ascii="Arial"/>
                <w:color w:val="auto"/>
                <w:sz w:val="21"/>
                <w:highlight w:val="none"/>
              </w:rPr>
            </w:pPr>
          </w:p>
          <w:p w14:paraId="5BCF3152">
            <w:pPr>
              <w:spacing w:line="247" w:lineRule="auto"/>
              <w:rPr>
                <w:rFonts w:ascii="Arial"/>
                <w:color w:val="auto"/>
                <w:sz w:val="21"/>
                <w:highlight w:val="none"/>
              </w:rPr>
            </w:pPr>
          </w:p>
          <w:p w14:paraId="09BFAAED">
            <w:pPr>
              <w:spacing w:line="247" w:lineRule="auto"/>
              <w:rPr>
                <w:rFonts w:ascii="Arial"/>
                <w:color w:val="auto"/>
                <w:sz w:val="21"/>
                <w:highlight w:val="none"/>
              </w:rPr>
            </w:pPr>
          </w:p>
          <w:p w14:paraId="45241AE4">
            <w:pPr>
              <w:spacing w:line="247" w:lineRule="auto"/>
              <w:rPr>
                <w:rFonts w:ascii="Arial"/>
                <w:color w:val="auto"/>
                <w:sz w:val="21"/>
                <w:highlight w:val="none"/>
              </w:rPr>
            </w:pPr>
          </w:p>
          <w:p w14:paraId="023AFF81">
            <w:pPr>
              <w:spacing w:line="247" w:lineRule="auto"/>
              <w:rPr>
                <w:rFonts w:ascii="Arial"/>
                <w:color w:val="auto"/>
                <w:sz w:val="21"/>
                <w:highlight w:val="none"/>
              </w:rPr>
            </w:pPr>
          </w:p>
          <w:p w14:paraId="25C3AEB8">
            <w:pPr>
              <w:spacing w:line="247" w:lineRule="auto"/>
              <w:rPr>
                <w:rFonts w:ascii="Arial"/>
                <w:color w:val="auto"/>
                <w:sz w:val="21"/>
                <w:highlight w:val="none"/>
              </w:rPr>
            </w:pPr>
          </w:p>
          <w:p w14:paraId="0D6EFA5A">
            <w:pPr>
              <w:spacing w:line="247" w:lineRule="auto"/>
              <w:rPr>
                <w:rFonts w:ascii="Arial"/>
                <w:color w:val="auto"/>
                <w:sz w:val="21"/>
                <w:highlight w:val="none"/>
              </w:rPr>
            </w:pPr>
          </w:p>
          <w:p w14:paraId="5931980B">
            <w:pPr>
              <w:spacing w:line="247" w:lineRule="auto"/>
              <w:rPr>
                <w:rFonts w:ascii="Arial"/>
                <w:color w:val="auto"/>
                <w:sz w:val="21"/>
                <w:highlight w:val="none"/>
              </w:rPr>
            </w:pPr>
          </w:p>
          <w:p w14:paraId="132A29E6">
            <w:pPr>
              <w:spacing w:line="247" w:lineRule="auto"/>
              <w:rPr>
                <w:rFonts w:ascii="Arial"/>
                <w:color w:val="auto"/>
                <w:sz w:val="21"/>
                <w:highlight w:val="none"/>
              </w:rPr>
            </w:pPr>
          </w:p>
          <w:p w14:paraId="1616E2B4">
            <w:pPr>
              <w:spacing w:line="247" w:lineRule="auto"/>
              <w:rPr>
                <w:rFonts w:ascii="Arial"/>
                <w:color w:val="auto"/>
                <w:sz w:val="21"/>
                <w:highlight w:val="none"/>
              </w:rPr>
            </w:pPr>
          </w:p>
          <w:p w14:paraId="0BCA515B">
            <w:pPr>
              <w:spacing w:line="247" w:lineRule="auto"/>
              <w:rPr>
                <w:rFonts w:ascii="Arial"/>
                <w:color w:val="auto"/>
                <w:sz w:val="21"/>
                <w:highlight w:val="none"/>
              </w:rPr>
            </w:pPr>
          </w:p>
          <w:p w14:paraId="0F4A5D7C">
            <w:pPr>
              <w:spacing w:line="247" w:lineRule="auto"/>
              <w:rPr>
                <w:rFonts w:ascii="Arial"/>
                <w:color w:val="auto"/>
                <w:sz w:val="21"/>
                <w:highlight w:val="none"/>
              </w:rPr>
            </w:pPr>
          </w:p>
          <w:p w14:paraId="37EFC7CD">
            <w:pPr>
              <w:pStyle w:val="12"/>
              <w:spacing w:before="78" w:line="239" w:lineRule="auto"/>
              <w:ind w:left="216"/>
              <w:rPr>
                <w:color w:val="auto"/>
                <w:highlight w:val="none"/>
              </w:rPr>
            </w:pPr>
            <w:r>
              <w:rPr>
                <w:color w:val="auto"/>
                <w:spacing w:val="-7"/>
                <w:highlight w:val="none"/>
              </w:rPr>
              <w:t>27</w:t>
            </w:r>
          </w:p>
        </w:tc>
        <w:tc>
          <w:tcPr>
            <w:tcW w:w="1923" w:type="dxa"/>
            <w:vAlign w:val="top"/>
          </w:tcPr>
          <w:p w14:paraId="35398118">
            <w:pPr>
              <w:spacing w:line="249" w:lineRule="auto"/>
              <w:rPr>
                <w:rFonts w:ascii="Arial"/>
                <w:color w:val="auto"/>
                <w:sz w:val="21"/>
                <w:highlight w:val="none"/>
              </w:rPr>
            </w:pPr>
          </w:p>
          <w:p w14:paraId="36CB71FB">
            <w:pPr>
              <w:spacing w:line="249" w:lineRule="auto"/>
              <w:rPr>
                <w:rFonts w:ascii="Arial"/>
                <w:color w:val="auto"/>
                <w:sz w:val="21"/>
                <w:highlight w:val="none"/>
              </w:rPr>
            </w:pPr>
          </w:p>
          <w:p w14:paraId="2DD539FC">
            <w:pPr>
              <w:spacing w:line="249" w:lineRule="auto"/>
              <w:rPr>
                <w:rFonts w:ascii="Arial"/>
                <w:color w:val="auto"/>
                <w:sz w:val="21"/>
                <w:highlight w:val="none"/>
              </w:rPr>
            </w:pPr>
          </w:p>
          <w:p w14:paraId="7EA00A61">
            <w:pPr>
              <w:spacing w:line="249" w:lineRule="auto"/>
              <w:rPr>
                <w:rFonts w:ascii="Arial"/>
                <w:color w:val="auto"/>
                <w:sz w:val="21"/>
                <w:highlight w:val="none"/>
              </w:rPr>
            </w:pPr>
          </w:p>
          <w:p w14:paraId="1F1B0B69">
            <w:pPr>
              <w:spacing w:line="250" w:lineRule="auto"/>
              <w:rPr>
                <w:rFonts w:ascii="Arial"/>
                <w:color w:val="auto"/>
                <w:sz w:val="21"/>
                <w:highlight w:val="none"/>
              </w:rPr>
            </w:pPr>
          </w:p>
          <w:p w14:paraId="2C523A6F">
            <w:pPr>
              <w:spacing w:line="250" w:lineRule="auto"/>
              <w:rPr>
                <w:rFonts w:ascii="Arial"/>
                <w:color w:val="auto"/>
                <w:sz w:val="21"/>
                <w:highlight w:val="none"/>
              </w:rPr>
            </w:pPr>
          </w:p>
          <w:p w14:paraId="6B503703">
            <w:pPr>
              <w:spacing w:line="250" w:lineRule="auto"/>
              <w:rPr>
                <w:rFonts w:ascii="Arial"/>
                <w:color w:val="auto"/>
                <w:sz w:val="21"/>
                <w:highlight w:val="none"/>
              </w:rPr>
            </w:pPr>
          </w:p>
          <w:p w14:paraId="5E65BF94">
            <w:pPr>
              <w:spacing w:line="250" w:lineRule="auto"/>
              <w:rPr>
                <w:rFonts w:ascii="Arial"/>
                <w:color w:val="auto"/>
                <w:sz w:val="21"/>
                <w:highlight w:val="none"/>
              </w:rPr>
            </w:pPr>
          </w:p>
          <w:p w14:paraId="4A67D50E">
            <w:pPr>
              <w:spacing w:line="250" w:lineRule="auto"/>
              <w:rPr>
                <w:rFonts w:ascii="Arial"/>
                <w:color w:val="auto"/>
                <w:sz w:val="21"/>
                <w:highlight w:val="none"/>
              </w:rPr>
            </w:pPr>
          </w:p>
          <w:p w14:paraId="3FD7A1F7">
            <w:pPr>
              <w:spacing w:line="250" w:lineRule="auto"/>
              <w:rPr>
                <w:rFonts w:ascii="Arial"/>
                <w:color w:val="auto"/>
                <w:sz w:val="21"/>
                <w:highlight w:val="none"/>
              </w:rPr>
            </w:pPr>
          </w:p>
          <w:p w14:paraId="01FE514E">
            <w:pPr>
              <w:spacing w:line="250" w:lineRule="auto"/>
              <w:rPr>
                <w:rFonts w:ascii="Arial"/>
                <w:color w:val="auto"/>
                <w:sz w:val="21"/>
                <w:highlight w:val="none"/>
              </w:rPr>
            </w:pPr>
          </w:p>
          <w:p w14:paraId="4CE4F92A">
            <w:pPr>
              <w:spacing w:line="250" w:lineRule="auto"/>
              <w:rPr>
                <w:rFonts w:ascii="Arial"/>
                <w:color w:val="auto"/>
                <w:sz w:val="21"/>
                <w:highlight w:val="none"/>
              </w:rPr>
            </w:pPr>
          </w:p>
          <w:p w14:paraId="6E675069">
            <w:pPr>
              <w:pStyle w:val="12"/>
              <w:spacing w:before="78" w:line="220" w:lineRule="auto"/>
              <w:ind w:left="144"/>
              <w:rPr>
                <w:color w:val="auto"/>
                <w:highlight w:val="none"/>
              </w:rPr>
            </w:pPr>
            <w:r>
              <w:rPr>
                <w:color w:val="auto"/>
                <w:spacing w:val="-5"/>
                <w:highlight w:val="none"/>
              </w:rPr>
              <w:t>网络关键设备、</w:t>
            </w:r>
          </w:p>
          <w:p w14:paraId="42DD577A">
            <w:pPr>
              <w:pStyle w:val="12"/>
              <w:spacing w:before="181" w:line="220" w:lineRule="auto"/>
              <w:ind w:left="204"/>
              <w:rPr>
                <w:color w:val="auto"/>
                <w:highlight w:val="none"/>
              </w:rPr>
            </w:pPr>
            <w:r>
              <w:rPr>
                <w:color w:val="auto"/>
                <w:spacing w:val="-5"/>
                <w:highlight w:val="none"/>
              </w:rPr>
              <w:t>网络安 全专用</w:t>
            </w:r>
          </w:p>
          <w:p w14:paraId="041F6888">
            <w:pPr>
              <w:pStyle w:val="12"/>
              <w:spacing w:before="181" w:line="219" w:lineRule="auto"/>
              <w:ind w:left="485"/>
              <w:rPr>
                <w:color w:val="auto"/>
                <w:highlight w:val="none"/>
              </w:rPr>
            </w:pPr>
            <w:r>
              <w:rPr>
                <w:color w:val="auto"/>
                <w:spacing w:val="-3"/>
                <w:highlight w:val="none"/>
              </w:rPr>
              <w:t>产品要求</w:t>
            </w:r>
          </w:p>
        </w:tc>
        <w:tc>
          <w:tcPr>
            <w:tcW w:w="7478" w:type="dxa"/>
            <w:vAlign w:val="top"/>
          </w:tcPr>
          <w:p w14:paraId="56C5E109">
            <w:pPr>
              <w:pStyle w:val="12"/>
              <w:spacing w:before="165" w:line="218" w:lineRule="auto"/>
              <w:ind w:left="132"/>
              <w:rPr>
                <w:color w:val="auto"/>
                <w:highlight w:val="none"/>
              </w:rPr>
            </w:pPr>
            <w:r>
              <w:rPr>
                <w:rFonts w:ascii="Times New Roman" w:hAnsi="Times New Roman" w:eastAsia="Times New Roman" w:cs="Times New Roman"/>
                <w:color w:val="auto"/>
                <w:spacing w:val="-1"/>
                <w:highlight w:val="none"/>
              </w:rPr>
              <w:t>1</w:t>
            </w:r>
            <w:r>
              <w:rPr>
                <w:rFonts w:ascii="Times New Roman" w:hAnsi="Times New Roman" w:eastAsia="Times New Roman" w:cs="Times New Roman"/>
                <w:color w:val="auto"/>
                <w:spacing w:val="-32"/>
                <w:highlight w:val="none"/>
              </w:rPr>
              <w:t xml:space="preserve"> </w:t>
            </w:r>
            <w:r>
              <w:rPr>
                <w:color w:val="auto"/>
                <w:spacing w:val="-1"/>
                <w:highlight w:val="none"/>
              </w:rPr>
              <w:t>、本项目网络关键设备</w:t>
            </w:r>
            <w:r>
              <w:rPr>
                <w:color w:val="auto"/>
                <w:spacing w:val="-6"/>
                <w:highlight w:val="none"/>
              </w:rPr>
              <w:t>：（</w:t>
            </w:r>
            <w:r>
              <w:rPr>
                <w:color w:val="auto"/>
                <w:spacing w:val="-1"/>
                <w:highlight w:val="none"/>
              </w:rPr>
              <w:t>无</w:t>
            </w:r>
            <w:r>
              <w:rPr>
                <w:color w:val="auto"/>
                <w:spacing w:val="-6"/>
                <w:highlight w:val="none"/>
              </w:rPr>
              <w:t>）；</w:t>
            </w:r>
            <w:r>
              <w:rPr>
                <w:color w:val="auto"/>
                <w:spacing w:val="-1"/>
                <w:highlight w:val="none"/>
              </w:rPr>
              <w:t>网络安全专用产品</w:t>
            </w:r>
            <w:r>
              <w:rPr>
                <w:color w:val="auto"/>
                <w:spacing w:val="-6"/>
                <w:highlight w:val="none"/>
              </w:rPr>
              <w:t>：（</w:t>
            </w:r>
            <w:r>
              <w:rPr>
                <w:color w:val="auto"/>
                <w:spacing w:val="-1"/>
                <w:highlight w:val="none"/>
              </w:rPr>
              <w:t>无）</w:t>
            </w:r>
          </w:p>
          <w:p w14:paraId="25D65F26">
            <w:pPr>
              <w:pStyle w:val="12"/>
              <w:spacing w:before="170" w:line="354" w:lineRule="auto"/>
              <w:ind w:left="113" w:right="7" w:hanging="4"/>
              <w:rPr>
                <w:color w:val="auto"/>
                <w:highlight w:val="none"/>
              </w:rPr>
            </w:pPr>
            <w:r>
              <w:rPr>
                <w:rFonts w:ascii="Times New Roman" w:hAnsi="Times New Roman" w:eastAsia="Times New Roman" w:cs="Times New Roman"/>
                <w:color w:val="auto"/>
                <w:spacing w:val="-2"/>
                <w:highlight w:val="none"/>
              </w:rPr>
              <w:t>2</w:t>
            </w:r>
            <w:r>
              <w:rPr>
                <w:color w:val="auto"/>
                <w:spacing w:val="-2"/>
                <w:highlight w:val="none"/>
              </w:rPr>
              <w:t>、本项目中涉及网络关键设备或网络安全专用产品的，执行国家</w:t>
            </w:r>
            <w:r>
              <w:rPr>
                <w:color w:val="auto"/>
                <w:spacing w:val="-3"/>
                <w:highlight w:val="none"/>
              </w:rPr>
              <w:t>互联</w:t>
            </w:r>
            <w:r>
              <w:rPr>
                <w:color w:val="auto"/>
                <w:spacing w:val="-2"/>
                <w:highlight w:val="none"/>
              </w:rPr>
              <w:t>网 信息办公室、工业和信息化部、公安部和国家认证认</w:t>
            </w:r>
            <w:r>
              <w:rPr>
                <w:color w:val="auto"/>
                <w:spacing w:val="-3"/>
                <w:highlight w:val="none"/>
              </w:rPr>
              <w:t>可监督管理委</w:t>
            </w:r>
            <w:r>
              <w:rPr>
                <w:color w:val="auto"/>
                <w:spacing w:val="-6"/>
                <w:highlight w:val="none"/>
              </w:rPr>
              <w:t>员会</w:t>
            </w:r>
            <w:r>
              <w:rPr>
                <w:rFonts w:ascii="Times New Roman" w:hAnsi="Times New Roman" w:eastAsia="Times New Roman" w:cs="Times New Roman"/>
                <w:color w:val="auto"/>
                <w:spacing w:val="-6"/>
                <w:highlight w:val="none"/>
              </w:rPr>
              <w:t>2023</w:t>
            </w:r>
            <w:r>
              <w:rPr>
                <w:color w:val="auto"/>
                <w:spacing w:val="-6"/>
                <w:highlight w:val="none"/>
              </w:rPr>
              <w:t>年第</w:t>
            </w:r>
            <w:r>
              <w:rPr>
                <w:rFonts w:ascii="Times New Roman" w:hAnsi="Times New Roman" w:eastAsia="Times New Roman" w:cs="Times New Roman"/>
                <w:color w:val="auto"/>
                <w:spacing w:val="-6"/>
                <w:highlight w:val="none"/>
              </w:rPr>
              <w:t>2</w:t>
            </w:r>
            <w:r>
              <w:rPr>
                <w:color w:val="auto"/>
                <w:spacing w:val="-6"/>
                <w:highlight w:val="none"/>
              </w:rPr>
              <w:t>号《关于调整〈网络关键设备和网络安全专用</w:t>
            </w:r>
            <w:r>
              <w:rPr>
                <w:color w:val="auto"/>
                <w:spacing w:val="-7"/>
                <w:highlight w:val="none"/>
              </w:rPr>
              <w:t>产品目录〉</w:t>
            </w:r>
            <w:r>
              <w:rPr>
                <w:color w:val="auto"/>
                <w:spacing w:val="2"/>
                <w:highlight w:val="none"/>
              </w:rPr>
              <w:t>的公告》及国家互联网信息办公室、工业和</w:t>
            </w:r>
            <w:r>
              <w:rPr>
                <w:color w:val="auto"/>
                <w:spacing w:val="1"/>
                <w:highlight w:val="none"/>
              </w:rPr>
              <w:t>信息化部、公安部、财政</w:t>
            </w:r>
            <w:r>
              <w:rPr>
                <w:color w:val="auto"/>
                <w:spacing w:val="-2"/>
                <w:highlight w:val="none"/>
              </w:rPr>
              <w:t>部和国家认证认可监督管理委员会</w:t>
            </w:r>
            <w:r>
              <w:rPr>
                <w:rFonts w:ascii="Times New Roman" w:hAnsi="Times New Roman" w:eastAsia="Times New Roman" w:cs="Times New Roman"/>
                <w:color w:val="auto"/>
                <w:spacing w:val="-2"/>
                <w:highlight w:val="none"/>
              </w:rPr>
              <w:t>2023</w:t>
            </w:r>
            <w:r>
              <w:rPr>
                <w:color w:val="auto"/>
                <w:spacing w:val="-2"/>
                <w:highlight w:val="none"/>
              </w:rPr>
              <w:t>年第</w:t>
            </w:r>
            <w:r>
              <w:rPr>
                <w:rFonts w:ascii="Times New Roman" w:hAnsi="Times New Roman" w:eastAsia="Times New Roman" w:cs="Times New Roman"/>
                <w:color w:val="auto"/>
                <w:spacing w:val="-2"/>
                <w:highlight w:val="none"/>
              </w:rPr>
              <w:t>1</w:t>
            </w:r>
            <w:r>
              <w:rPr>
                <w:color w:val="auto"/>
                <w:spacing w:val="-2"/>
                <w:highlight w:val="none"/>
              </w:rPr>
              <w:t>号《关于调整网络安</w:t>
            </w:r>
            <w:r>
              <w:rPr>
                <w:color w:val="auto"/>
                <w:spacing w:val="-3"/>
                <w:highlight w:val="none"/>
              </w:rPr>
              <w:t>全专用产品安全管理有关事项的公告》等相关文件要求，本次投标（响应）</w:t>
            </w:r>
            <w:r>
              <w:rPr>
                <w:color w:val="auto"/>
                <w:spacing w:val="2"/>
                <w:highlight w:val="none"/>
              </w:rPr>
              <w:t>设备或产品至少符合以下条件之一：一是已</w:t>
            </w:r>
            <w:r>
              <w:rPr>
                <w:color w:val="auto"/>
                <w:spacing w:val="1"/>
                <w:highlight w:val="none"/>
              </w:rPr>
              <w:t>由具备资格的机构安全认</w:t>
            </w:r>
            <w:r>
              <w:rPr>
                <w:color w:val="auto"/>
                <w:spacing w:val="2"/>
                <w:highlight w:val="none"/>
              </w:rPr>
              <w:t>证合格或安全检测符合要求；二是已获得《</w:t>
            </w:r>
            <w:r>
              <w:rPr>
                <w:color w:val="auto"/>
                <w:spacing w:val="1"/>
                <w:highlight w:val="none"/>
              </w:rPr>
              <w:t>计算机信息系统安全专用</w:t>
            </w:r>
            <w:r>
              <w:rPr>
                <w:color w:val="auto"/>
                <w:spacing w:val="-1"/>
                <w:highlight w:val="none"/>
              </w:rPr>
              <w:t>产品销售许可证》，且在有效期内。</w:t>
            </w:r>
          </w:p>
          <w:p w14:paraId="6A433BFF">
            <w:pPr>
              <w:pStyle w:val="12"/>
              <w:spacing w:before="2" w:line="331" w:lineRule="auto"/>
              <w:ind w:left="113" w:right="106"/>
              <w:rPr>
                <w:color w:val="auto"/>
                <w:highlight w:val="none"/>
              </w:rPr>
            </w:pPr>
            <w:r>
              <w:rPr>
                <w:rFonts w:ascii="Times New Roman" w:hAnsi="Times New Roman" w:eastAsia="Times New Roman" w:cs="Times New Roman"/>
                <w:color w:val="auto"/>
                <w:spacing w:val="1"/>
                <w:highlight w:val="none"/>
              </w:rPr>
              <w:t>3</w:t>
            </w:r>
            <w:r>
              <w:rPr>
                <w:rFonts w:ascii="Times New Roman" w:hAnsi="Times New Roman" w:eastAsia="Times New Roman" w:cs="Times New Roman"/>
                <w:color w:val="auto"/>
                <w:spacing w:val="-31"/>
                <w:highlight w:val="none"/>
              </w:rPr>
              <w:t xml:space="preserve"> </w:t>
            </w:r>
            <w:r>
              <w:rPr>
                <w:color w:val="auto"/>
                <w:spacing w:val="1"/>
                <w:highlight w:val="none"/>
              </w:rPr>
              <w:t>、提供资料（下列资料任意一项） ①网络</w:t>
            </w:r>
            <w:r>
              <w:rPr>
                <w:color w:val="auto"/>
                <w:highlight w:val="none"/>
              </w:rPr>
              <w:t>关键设备和网络安全专用</w:t>
            </w:r>
            <w:r>
              <w:rPr>
                <w:color w:val="auto"/>
                <w:spacing w:val="-2"/>
                <w:highlight w:val="none"/>
              </w:rPr>
              <w:t>产品安全认证证书；</w:t>
            </w:r>
            <w:r>
              <w:rPr>
                <w:color w:val="auto"/>
                <w:spacing w:val="-8"/>
                <w:highlight w:val="none"/>
              </w:rPr>
              <w:t xml:space="preserve"> </w:t>
            </w:r>
            <w:r>
              <w:rPr>
                <w:color w:val="auto"/>
                <w:spacing w:val="-2"/>
                <w:highlight w:val="none"/>
              </w:rPr>
              <w:t>②网络关键设备安全检测证书、网络安全专用产品安全检测证书；</w:t>
            </w:r>
            <w:r>
              <w:rPr>
                <w:color w:val="auto"/>
                <w:spacing w:val="-8"/>
                <w:highlight w:val="none"/>
              </w:rPr>
              <w:t xml:space="preserve"> </w:t>
            </w:r>
            <w:r>
              <w:rPr>
                <w:color w:val="auto"/>
                <w:spacing w:val="-2"/>
                <w:highlight w:val="none"/>
              </w:rPr>
              <w:t>③计算机信息系统安全专用产品销售许可证；④中</w:t>
            </w:r>
            <w:r>
              <w:rPr>
                <w:color w:val="auto"/>
                <w:spacing w:val="10"/>
                <w:highlight w:val="none"/>
              </w:rPr>
              <w:t>国网信网或工业和信息化部网站或公安部网站或国家认证认可监督</w:t>
            </w:r>
            <w:r>
              <w:rPr>
                <w:color w:val="auto"/>
                <w:spacing w:val="2"/>
                <w:highlight w:val="none"/>
              </w:rPr>
              <w:t>管理委员会网站公布的认证、检测结果（提</w:t>
            </w:r>
            <w:r>
              <w:rPr>
                <w:color w:val="auto"/>
                <w:spacing w:val="1"/>
                <w:highlight w:val="none"/>
              </w:rPr>
              <w:t>供公布安全认证、安全检</w:t>
            </w:r>
            <w:r>
              <w:rPr>
                <w:color w:val="auto"/>
                <w:spacing w:val="-1"/>
                <w:highlight w:val="none"/>
              </w:rPr>
              <w:t>测 结果页面网址和安全认证、检测结果截图）。</w:t>
            </w:r>
          </w:p>
        </w:tc>
      </w:tr>
      <w:tr w14:paraId="4A58C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52" w:type="dxa"/>
            <w:vAlign w:val="top"/>
          </w:tcPr>
          <w:p w14:paraId="0EFDDAE4">
            <w:pPr>
              <w:pStyle w:val="12"/>
              <w:spacing w:before="139" w:line="239" w:lineRule="auto"/>
              <w:ind w:left="216"/>
              <w:rPr>
                <w:color w:val="auto"/>
                <w:highlight w:val="none"/>
              </w:rPr>
            </w:pPr>
            <w:r>
              <w:rPr>
                <w:color w:val="auto"/>
                <w:spacing w:val="-7"/>
                <w:highlight w:val="none"/>
              </w:rPr>
              <w:t>28</w:t>
            </w:r>
          </w:p>
        </w:tc>
        <w:tc>
          <w:tcPr>
            <w:tcW w:w="1923" w:type="dxa"/>
            <w:vAlign w:val="top"/>
          </w:tcPr>
          <w:p w14:paraId="1F206889">
            <w:pPr>
              <w:pStyle w:val="12"/>
              <w:spacing w:before="141" w:line="220" w:lineRule="auto"/>
              <w:ind w:left="369"/>
              <w:rPr>
                <w:color w:val="auto"/>
                <w:highlight w:val="none"/>
              </w:rPr>
            </w:pPr>
            <w:r>
              <w:rPr>
                <w:color w:val="auto"/>
                <w:spacing w:val="-3"/>
                <w:highlight w:val="none"/>
              </w:rPr>
              <w:t>履约保证金</w:t>
            </w:r>
          </w:p>
        </w:tc>
        <w:tc>
          <w:tcPr>
            <w:tcW w:w="7478" w:type="dxa"/>
            <w:vAlign w:val="top"/>
          </w:tcPr>
          <w:p w14:paraId="30A6CB6D">
            <w:pPr>
              <w:pStyle w:val="12"/>
              <w:spacing w:before="127"/>
              <w:ind w:left="154"/>
              <w:rPr>
                <w:color w:val="auto"/>
                <w:highlight w:val="none"/>
              </w:rPr>
            </w:pPr>
            <w:r>
              <w:rPr>
                <w:color w:val="auto"/>
                <w:position w:val="-7"/>
                <w:highlight w:val="none"/>
              </w:rPr>
              <w:drawing>
                <wp:inline distT="0" distB="0" distL="0" distR="0">
                  <wp:extent cx="196215" cy="22796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64"/>
                          <a:stretch>
                            <a:fillRect/>
                          </a:stretch>
                        </pic:blipFill>
                        <pic:spPr>
                          <a:xfrm>
                            <a:off x="0" y="0"/>
                            <a:ext cx="196367" cy="228170"/>
                          </a:xfrm>
                          <a:prstGeom prst="rect">
                            <a:avLst/>
                          </a:prstGeom>
                        </pic:spPr>
                      </pic:pic>
                    </a:graphicData>
                  </a:graphic>
                </wp:inline>
              </w:drawing>
            </w:r>
            <w:r>
              <w:rPr>
                <w:color w:val="auto"/>
                <w:position w:val="1"/>
                <w:highlight w:val="none"/>
              </w:rPr>
              <w:t>无要求</w:t>
            </w:r>
          </w:p>
        </w:tc>
      </w:tr>
      <w:tr w14:paraId="0D9E5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652" w:type="dxa"/>
            <w:vAlign w:val="top"/>
          </w:tcPr>
          <w:p w14:paraId="64132272">
            <w:pPr>
              <w:pStyle w:val="12"/>
              <w:spacing w:before="140" w:line="239" w:lineRule="auto"/>
              <w:ind w:left="216"/>
              <w:rPr>
                <w:color w:val="auto"/>
                <w:highlight w:val="none"/>
              </w:rPr>
            </w:pPr>
            <w:r>
              <w:rPr>
                <w:color w:val="auto"/>
                <w:spacing w:val="-7"/>
                <w:highlight w:val="none"/>
              </w:rPr>
              <w:t>29</w:t>
            </w:r>
          </w:p>
        </w:tc>
        <w:tc>
          <w:tcPr>
            <w:tcW w:w="1923" w:type="dxa"/>
            <w:vAlign w:val="top"/>
          </w:tcPr>
          <w:p w14:paraId="47C3B5F4">
            <w:pPr>
              <w:pStyle w:val="12"/>
              <w:spacing w:before="140" w:line="219" w:lineRule="auto"/>
              <w:ind w:left="365"/>
              <w:rPr>
                <w:color w:val="auto"/>
                <w:highlight w:val="none"/>
              </w:rPr>
            </w:pPr>
            <w:r>
              <w:rPr>
                <w:color w:val="auto"/>
                <w:spacing w:val="-2"/>
                <w:highlight w:val="none"/>
              </w:rPr>
              <w:t>代理服务费</w:t>
            </w:r>
          </w:p>
        </w:tc>
        <w:tc>
          <w:tcPr>
            <w:tcW w:w="7478" w:type="dxa"/>
            <w:vAlign w:val="top"/>
          </w:tcPr>
          <w:p w14:paraId="636A21F9">
            <w:pPr>
              <w:pStyle w:val="12"/>
              <w:spacing w:before="128"/>
              <w:ind w:left="154"/>
              <w:rPr>
                <w:color w:val="auto"/>
                <w:highlight w:val="none"/>
              </w:rPr>
            </w:pPr>
            <w:r>
              <w:rPr>
                <w:color w:val="auto"/>
                <w:position w:val="-7"/>
                <w:highlight w:val="none"/>
              </w:rPr>
              <w:drawing>
                <wp:inline distT="0" distB="0" distL="0" distR="0">
                  <wp:extent cx="196215" cy="22796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65"/>
                          <a:stretch>
                            <a:fillRect/>
                          </a:stretch>
                        </pic:blipFill>
                        <pic:spPr>
                          <a:xfrm>
                            <a:off x="0" y="0"/>
                            <a:ext cx="196367" cy="228170"/>
                          </a:xfrm>
                          <a:prstGeom prst="rect">
                            <a:avLst/>
                          </a:prstGeom>
                        </pic:spPr>
                      </pic:pic>
                    </a:graphicData>
                  </a:graphic>
                </wp:inline>
              </w:drawing>
            </w:r>
            <w:r>
              <w:rPr>
                <w:color w:val="auto"/>
                <w:position w:val="1"/>
                <w:highlight w:val="none"/>
              </w:rPr>
              <w:t>收取中标人。</w:t>
            </w:r>
          </w:p>
        </w:tc>
      </w:tr>
    </w:tbl>
    <w:p w14:paraId="09B2CE9E">
      <w:pPr>
        <w:pStyle w:val="5"/>
        <w:spacing w:line="14" w:lineRule="auto"/>
        <w:rPr>
          <w:color w:val="auto"/>
          <w:sz w:val="2"/>
          <w:highlight w:val="none"/>
        </w:rPr>
      </w:pPr>
    </w:p>
    <w:p w14:paraId="57D3CCE7">
      <w:pPr>
        <w:spacing w:line="14" w:lineRule="auto"/>
        <w:rPr>
          <w:color w:val="auto"/>
          <w:sz w:val="2"/>
          <w:szCs w:val="2"/>
          <w:highlight w:val="none"/>
        </w:rPr>
        <w:sectPr>
          <w:footerReference r:id="rId10" w:type="default"/>
          <w:pgSz w:w="11906" w:h="16839"/>
          <w:pgMar w:top="1431" w:right="924" w:bottom="1443" w:left="923" w:header="0" w:footer="1202" w:gutter="0"/>
          <w:pgNumType w:fmt="decimal"/>
          <w:cols w:space="720" w:num="1"/>
        </w:sectPr>
      </w:pPr>
    </w:p>
    <w:p w14:paraId="434FB970">
      <w:pPr>
        <w:spacing w:line="91" w:lineRule="auto"/>
        <w:rPr>
          <w:rFonts w:ascii="Arial"/>
          <w:color w:val="auto"/>
          <w:sz w:val="2"/>
          <w:highlight w:val="none"/>
        </w:rPr>
      </w:pPr>
    </w:p>
    <w:tbl>
      <w:tblPr>
        <w:tblStyle w:val="11"/>
        <w:tblW w:w="100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923"/>
        <w:gridCol w:w="7478"/>
      </w:tblGrid>
      <w:tr w14:paraId="0C500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9" w:hRule="atLeast"/>
        </w:trPr>
        <w:tc>
          <w:tcPr>
            <w:tcW w:w="652" w:type="dxa"/>
            <w:vAlign w:val="top"/>
          </w:tcPr>
          <w:p w14:paraId="7898F3BE">
            <w:pPr>
              <w:rPr>
                <w:rFonts w:ascii="Arial"/>
                <w:color w:val="auto"/>
                <w:sz w:val="21"/>
                <w:highlight w:val="none"/>
              </w:rPr>
            </w:pPr>
          </w:p>
        </w:tc>
        <w:tc>
          <w:tcPr>
            <w:tcW w:w="1923" w:type="dxa"/>
            <w:vAlign w:val="top"/>
          </w:tcPr>
          <w:p w14:paraId="71D42D16">
            <w:pPr>
              <w:rPr>
                <w:rFonts w:ascii="Arial"/>
                <w:color w:val="auto"/>
                <w:sz w:val="21"/>
                <w:highlight w:val="none"/>
              </w:rPr>
            </w:pPr>
          </w:p>
        </w:tc>
        <w:tc>
          <w:tcPr>
            <w:tcW w:w="7478" w:type="dxa"/>
            <w:vAlign w:val="top"/>
          </w:tcPr>
          <w:p w14:paraId="1FEB352D">
            <w:pPr>
              <w:pStyle w:val="12"/>
              <w:spacing w:before="166" w:line="354" w:lineRule="auto"/>
              <w:ind w:left="111" w:right="104" w:firstLine="10"/>
              <w:jc w:val="both"/>
              <w:rPr>
                <w:color w:val="auto"/>
                <w:highlight w:val="none"/>
              </w:rPr>
            </w:pPr>
            <w:r>
              <w:rPr>
                <w:color w:val="auto"/>
                <w:spacing w:val="-6"/>
                <w:highlight w:val="none"/>
              </w:rPr>
              <w:t>收取标准：以中标金额为基数，参照《河南省招标</w:t>
            </w:r>
            <w:r>
              <w:rPr>
                <w:color w:val="auto"/>
                <w:spacing w:val="-7"/>
                <w:highlight w:val="none"/>
              </w:rPr>
              <w:t>代理服务收费指导意</w:t>
            </w:r>
            <w:r>
              <w:rPr>
                <w:color w:val="auto"/>
                <w:spacing w:val="-2"/>
                <w:highlight w:val="none"/>
              </w:rPr>
              <w:t>见》（豫招协〔2023〕2号）文件中所属类别的收费标准按差额定率累</w:t>
            </w:r>
            <w:r>
              <w:rPr>
                <w:color w:val="auto"/>
                <w:spacing w:val="-4"/>
                <w:highlight w:val="none"/>
              </w:rPr>
              <w:t>进法计算。本次采购标的所属类别：服务。</w:t>
            </w:r>
          </w:p>
          <w:p w14:paraId="15806F9D">
            <w:pPr>
              <w:pStyle w:val="12"/>
              <w:spacing w:line="219" w:lineRule="auto"/>
              <w:ind w:left="121"/>
              <w:rPr>
                <w:color w:val="auto"/>
                <w:highlight w:val="none"/>
              </w:rPr>
            </w:pPr>
            <w:r>
              <w:rPr>
                <w:color w:val="auto"/>
                <w:spacing w:val="-2"/>
                <w:highlight w:val="none"/>
              </w:rPr>
              <w:t>收费方式：一次性以银行划账、电汇、汇票或支票的形式支付。</w:t>
            </w:r>
          </w:p>
        </w:tc>
      </w:tr>
      <w:tr w14:paraId="07D8A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4" w:hRule="atLeast"/>
        </w:trPr>
        <w:tc>
          <w:tcPr>
            <w:tcW w:w="652" w:type="dxa"/>
            <w:vAlign w:val="top"/>
          </w:tcPr>
          <w:p w14:paraId="4EE523BD">
            <w:pPr>
              <w:spacing w:line="359" w:lineRule="auto"/>
              <w:rPr>
                <w:rFonts w:ascii="Arial"/>
                <w:color w:val="auto"/>
                <w:sz w:val="21"/>
                <w:highlight w:val="none"/>
              </w:rPr>
            </w:pPr>
          </w:p>
          <w:p w14:paraId="4E66006F">
            <w:pPr>
              <w:spacing w:line="359" w:lineRule="auto"/>
              <w:rPr>
                <w:rFonts w:ascii="Arial"/>
                <w:color w:val="auto"/>
                <w:sz w:val="21"/>
                <w:highlight w:val="none"/>
              </w:rPr>
            </w:pPr>
          </w:p>
          <w:p w14:paraId="4B265580">
            <w:pPr>
              <w:pStyle w:val="12"/>
              <w:spacing w:before="78"/>
              <w:ind w:left="218"/>
              <w:rPr>
                <w:color w:val="auto"/>
                <w:highlight w:val="none"/>
              </w:rPr>
            </w:pPr>
            <w:r>
              <w:rPr>
                <w:color w:val="auto"/>
                <w:spacing w:val="-8"/>
                <w:highlight w:val="none"/>
              </w:rPr>
              <w:t>30</w:t>
            </w:r>
          </w:p>
        </w:tc>
        <w:tc>
          <w:tcPr>
            <w:tcW w:w="1923" w:type="dxa"/>
            <w:vAlign w:val="top"/>
          </w:tcPr>
          <w:p w14:paraId="1F79D5AA">
            <w:pPr>
              <w:spacing w:line="359" w:lineRule="auto"/>
              <w:rPr>
                <w:rFonts w:ascii="Arial"/>
                <w:color w:val="auto"/>
                <w:sz w:val="21"/>
                <w:highlight w:val="none"/>
              </w:rPr>
            </w:pPr>
          </w:p>
          <w:p w14:paraId="4D08BECC">
            <w:pPr>
              <w:spacing w:line="360" w:lineRule="auto"/>
              <w:rPr>
                <w:rFonts w:ascii="Arial"/>
                <w:color w:val="auto"/>
                <w:sz w:val="21"/>
                <w:highlight w:val="none"/>
              </w:rPr>
            </w:pPr>
          </w:p>
          <w:p w14:paraId="5551F112">
            <w:pPr>
              <w:pStyle w:val="12"/>
              <w:spacing w:before="78" w:line="219" w:lineRule="auto"/>
              <w:ind w:left="605"/>
              <w:rPr>
                <w:color w:val="auto"/>
                <w:highlight w:val="none"/>
              </w:rPr>
            </w:pPr>
            <w:r>
              <w:rPr>
                <w:color w:val="auto"/>
                <w:spacing w:val="-3"/>
                <w:highlight w:val="none"/>
              </w:rPr>
              <w:t>授权函</w:t>
            </w:r>
          </w:p>
        </w:tc>
        <w:tc>
          <w:tcPr>
            <w:tcW w:w="7478" w:type="dxa"/>
            <w:vAlign w:val="top"/>
          </w:tcPr>
          <w:p w14:paraId="28B41726">
            <w:pPr>
              <w:pStyle w:val="12"/>
              <w:spacing w:before="164" w:line="321" w:lineRule="auto"/>
              <w:ind w:left="118" w:right="109" w:hanging="6"/>
              <w:jc w:val="both"/>
              <w:rPr>
                <w:color w:val="auto"/>
                <w:highlight w:val="none"/>
              </w:rPr>
            </w:pPr>
            <w:r>
              <w:rPr>
                <w:color w:val="auto"/>
                <w:spacing w:val="2"/>
                <w:highlight w:val="none"/>
              </w:rPr>
              <w:t>采购单位委派代表参加资格审查和评审委员会</w:t>
            </w:r>
            <w:r>
              <w:rPr>
                <w:color w:val="auto"/>
                <w:spacing w:val="1"/>
                <w:highlight w:val="none"/>
              </w:rPr>
              <w:t>的，须向采购代理机构出具授权函。除授权代表外，采购单位委派纪检监察人员对评标过程实施监督的须进入许昌市建安区公共资源交易中心四楼电子监督室并</w:t>
            </w:r>
            <w:r>
              <w:rPr>
                <w:color w:val="auto"/>
                <w:spacing w:val="-1"/>
                <w:highlight w:val="none"/>
              </w:rPr>
              <w:t>向采购代理机构出具授权函，且不得超过</w:t>
            </w:r>
            <w:r>
              <w:rPr>
                <w:rFonts w:ascii="Times New Roman" w:hAnsi="Times New Roman" w:eastAsia="Times New Roman" w:cs="Times New Roman"/>
                <w:color w:val="auto"/>
                <w:spacing w:val="-1"/>
                <w:highlight w:val="none"/>
              </w:rPr>
              <w:t>2</w:t>
            </w:r>
            <w:r>
              <w:rPr>
                <w:color w:val="auto"/>
                <w:spacing w:val="-1"/>
                <w:highlight w:val="none"/>
              </w:rPr>
              <w:t>人。</w:t>
            </w:r>
          </w:p>
        </w:tc>
      </w:tr>
      <w:tr w14:paraId="0FC84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4" w:hRule="atLeast"/>
        </w:trPr>
        <w:tc>
          <w:tcPr>
            <w:tcW w:w="652" w:type="dxa"/>
            <w:vAlign w:val="top"/>
          </w:tcPr>
          <w:p w14:paraId="37A941AF">
            <w:pPr>
              <w:spacing w:line="359" w:lineRule="auto"/>
              <w:rPr>
                <w:rFonts w:ascii="Arial"/>
                <w:color w:val="auto"/>
                <w:sz w:val="21"/>
                <w:highlight w:val="none"/>
              </w:rPr>
            </w:pPr>
          </w:p>
          <w:p w14:paraId="1154B281">
            <w:pPr>
              <w:spacing w:line="360" w:lineRule="auto"/>
              <w:rPr>
                <w:rFonts w:ascii="Arial"/>
                <w:color w:val="auto"/>
                <w:sz w:val="21"/>
                <w:highlight w:val="none"/>
              </w:rPr>
            </w:pPr>
          </w:p>
          <w:p w14:paraId="1AEE9144">
            <w:pPr>
              <w:pStyle w:val="12"/>
              <w:spacing w:before="78"/>
              <w:ind w:left="218"/>
              <w:rPr>
                <w:color w:val="auto"/>
                <w:highlight w:val="none"/>
              </w:rPr>
            </w:pPr>
            <w:r>
              <w:rPr>
                <w:color w:val="auto"/>
                <w:spacing w:val="-8"/>
                <w:highlight w:val="none"/>
              </w:rPr>
              <w:t>31</w:t>
            </w:r>
          </w:p>
        </w:tc>
        <w:tc>
          <w:tcPr>
            <w:tcW w:w="1923" w:type="dxa"/>
            <w:vAlign w:val="top"/>
          </w:tcPr>
          <w:p w14:paraId="73504ADB">
            <w:pPr>
              <w:spacing w:line="277" w:lineRule="auto"/>
              <w:rPr>
                <w:rFonts w:ascii="Arial"/>
                <w:color w:val="auto"/>
                <w:sz w:val="21"/>
                <w:highlight w:val="none"/>
              </w:rPr>
            </w:pPr>
          </w:p>
          <w:p w14:paraId="7CBCC08E">
            <w:pPr>
              <w:spacing w:line="278" w:lineRule="auto"/>
              <w:rPr>
                <w:rFonts w:ascii="Arial"/>
                <w:color w:val="auto"/>
                <w:sz w:val="21"/>
                <w:highlight w:val="none"/>
              </w:rPr>
            </w:pPr>
          </w:p>
          <w:p w14:paraId="0AB35430">
            <w:pPr>
              <w:pStyle w:val="12"/>
              <w:spacing w:before="78" w:line="309" w:lineRule="auto"/>
              <w:ind w:left="625" w:right="241" w:hanging="357"/>
              <w:rPr>
                <w:color w:val="auto"/>
                <w:highlight w:val="none"/>
              </w:rPr>
            </w:pPr>
            <w:r>
              <w:rPr>
                <w:color w:val="auto"/>
                <w:spacing w:val="-6"/>
                <w:highlight w:val="none"/>
              </w:rPr>
              <w:t>中标人需提交</w:t>
            </w:r>
            <w:r>
              <w:rPr>
                <w:color w:val="auto"/>
                <w:spacing w:val="-10"/>
                <w:highlight w:val="none"/>
              </w:rPr>
              <w:t>的资料</w:t>
            </w:r>
          </w:p>
        </w:tc>
        <w:tc>
          <w:tcPr>
            <w:tcW w:w="7478" w:type="dxa"/>
            <w:vAlign w:val="top"/>
          </w:tcPr>
          <w:p w14:paraId="39C654C8">
            <w:pPr>
              <w:pStyle w:val="12"/>
              <w:spacing w:before="164" w:line="321" w:lineRule="auto"/>
              <w:ind w:left="114" w:right="109" w:firstLine="21"/>
              <w:rPr>
                <w:color w:val="auto"/>
                <w:highlight w:val="none"/>
              </w:rPr>
            </w:pPr>
            <w:r>
              <w:rPr>
                <w:color w:val="auto"/>
                <w:spacing w:val="1"/>
                <w:highlight w:val="none"/>
              </w:rPr>
              <w:t>中标人在接到中标通知时，须向采购代理机构发送投标报价</w:t>
            </w:r>
            <w:r>
              <w:rPr>
                <w:color w:val="auto"/>
                <w:highlight w:val="none"/>
              </w:rPr>
              <w:t>及分项报</w:t>
            </w:r>
            <w:r>
              <w:rPr>
                <w:color w:val="auto"/>
                <w:spacing w:val="1"/>
                <w:highlight w:val="none"/>
              </w:rPr>
              <w:t>价一览表（包含主要中标标的的名称、规格型号、数量、单价、服务</w:t>
            </w:r>
            <w:r>
              <w:rPr>
                <w:color w:val="auto"/>
                <w:spacing w:val="7"/>
                <w:highlight w:val="none"/>
              </w:rPr>
              <w:t>要求等）</w:t>
            </w:r>
            <w:r>
              <w:rPr>
                <w:color w:val="auto"/>
                <w:spacing w:val="-45"/>
                <w:highlight w:val="none"/>
              </w:rPr>
              <w:t xml:space="preserve"> </w:t>
            </w:r>
            <w:r>
              <w:rPr>
                <w:color w:val="auto"/>
                <w:spacing w:val="7"/>
                <w:highlight w:val="none"/>
              </w:rPr>
              <w:t>电子文档，并同时通知代理机构联系人，代理机构邮箱：</w:t>
            </w:r>
            <w:r>
              <w:rPr>
                <w:color w:val="auto"/>
                <w:highlight w:val="none"/>
              </w:rPr>
              <w:t xml:space="preserve"> </w:t>
            </w:r>
            <w:r>
              <w:rPr>
                <w:color w:val="auto"/>
                <w:highlight w:val="none"/>
              </w:rPr>
              <w:fldChar w:fldCharType="begin"/>
            </w:r>
            <w:r>
              <w:rPr>
                <w:color w:val="auto"/>
                <w:highlight w:val="none"/>
              </w:rPr>
              <w:instrText xml:space="preserve"> HYPERLINK "3532138875@qq.com" </w:instrText>
            </w:r>
            <w:r>
              <w:rPr>
                <w:color w:val="auto"/>
                <w:highlight w:val="none"/>
              </w:rPr>
              <w:fldChar w:fldCharType="separate"/>
            </w:r>
            <w:r>
              <w:rPr>
                <w:rFonts w:hint="eastAsia"/>
                <w:color w:val="auto"/>
                <w:spacing w:val="-1"/>
                <w:highlight w:val="none"/>
                <w:lang w:val="en-US" w:eastAsia="zh-CN"/>
              </w:rPr>
              <w:t>1097244959</w:t>
            </w:r>
            <w:r>
              <w:rPr>
                <w:color w:val="auto"/>
                <w:spacing w:val="-1"/>
                <w:highlight w:val="none"/>
              </w:rPr>
              <w:t>@qq.com</w:t>
            </w:r>
            <w:r>
              <w:rPr>
                <w:color w:val="auto"/>
                <w:spacing w:val="-1"/>
                <w:highlight w:val="none"/>
              </w:rPr>
              <w:fldChar w:fldCharType="end"/>
            </w:r>
            <w:r>
              <w:rPr>
                <w:color w:val="auto"/>
                <w:spacing w:val="-1"/>
                <w:highlight w:val="none"/>
              </w:rPr>
              <w:t>。</w:t>
            </w:r>
          </w:p>
        </w:tc>
      </w:tr>
      <w:tr w14:paraId="1F95D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652" w:type="dxa"/>
            <w:vAlign w:val="top"/>
          </w:tcPr>
          <w:p w14:paraId="7A9714CD">
            <w:pPr>
              <w:spacing w:line="263" w:lineRule="auto"/>
              <w:rPr>
                <w:rFonts w:ascii="Arial"/>
                <w:color w:val="auto"/>
                <w:sz w:val="21"/>
                <w:highlight w:val="none"/>
              </w:rPr>
            </w:pPr>
          </w:p>
          <w:p w14:paraId="7B8DF697">
            <w:pPr>
              <w:pStyle w:val="12"/>
              <w:spacing w:before="78"/>
              <w:ind w:left="218"/>
              <w:rPr>
                <w:color w:val="auto"/>
                <w:highlight w:val="none"/>
              </w:rPr>
            </w:pPr>
            <w:r>
              <w:rPr>
                <w:color w:val="auto"/>
                <w:spacing w:val="-8"/>
                <w:highlight w:val="none"/>
              </w:rPr>
              <w:t>32</w:t>
            </w:r>
          </w:p>
        </w:tc>
        <w:tc>
          <w:tcPr>
            <w:tcW w:w="1923" w:type="dxa"/>
            <w:vAlign w:val="top"/>
          </w:tcPr>
          <w:p w14:paraId="150100AB">
            <w:pPr>
              <w:spacing w:line="263" w:lineRule="auto"/>
              <w:rPr>
                <w:rFonts w:ascii="Arial"/>
                <w:color w:val="auto"/>
                <w:sz w:val="21"/>
                <w:highlight w:val="none"/>
              </w:rPr>
            </w:pPr>
          </w:p>
          <w:p w14:paraId="7181ADE3">
            <w:pPr>
              <w:pStyle w:val="12"/>
              <w:spacing w:before="78" w:line="219" w:lineRule="auto"/>
              <w:ind w:left="154"/>
              <w:rPr>
                <w:color w:val="auto"/>
                <w:highlight w:val="none"/>
              </w:rPr>
            </w:pPr>
            <w:r>
              <w:rPr>
                <w:color w:val="auto"/>
                <w:spacing w:val="-6"/>
                <w:highlight w:val="none"/>
              </w:rPr>
              <w:t>电子化采购模式</w:t>
            </w:r>
          </w:p>
        </w:tc>
        <w:tc>
          <w:tcPr>
            <w:tcW w:w="7478" w:type="dxa"/>
            <w:vAlign w:val="top"/>
          </w:tcPr>
          <w:p w14:paraId="328F8E9E">
            <w:pPr>
              <w:pStyle w:val="12"/>
              <w:spacing w:before="166" w:line="288" w:lineRule="auto"/>
              <w:ind w:left="113" w:right="1648"/>
              <w:rPr>
                <w:color w:val="auto"/>
                <w:highlight w:val="none"/>
              </w:rPr>
            </w:pPr>
            <w:r>
              <w:rPr>
                <w:color w:val="auto"/>
                <w:spacing w:val="-2"/>
                <w:highlight w:val="none"/>
              </w:rPr>
              <w:t>本项目为全流程电子化交易（远程不见面开标</w:t>
            </w:r>
            <w:r>
              <w:rPr>
                <w:color w:val="auto"/>
                <w:spacing w:val="-3"/>
                <w:highlight w:val="none"/>
              </w:rPr>
              <w:t>）项目。</w:t>
            </w:r>
            <w:r>
              <w:rPr>
                <w:color w:val="auto"/>
                <w:spacing w:val="-1"/>
                <w:highlight w:val="none"/>
              </w:rPr>
              <w:t>供应商投标时须成功上传、解密电子响应文件。</w:t>
            </w:r>
          </w:p>
        </w:tc>
      </w:tr>
      <w:tr w14:paraId="6DBFE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3" w:hRule="atLeast"/>
        </w:trPr>
        <w:tc>
          <w:tcPr>
            <w:tcW w:w="652" w:type="dxa"/>
            <w:vAlign w:val="top"/>
          </w:tcPr>
          <w:p w14:paraId="32D0E26F">
            <w:pPr>
              <w:spacing w:line="261" w:lineRule="auto"/>
              <w:rPr>
                <w:rFonts w:ascii="Arial"/>
                <w:color w:val="auto"/>
                <w:sz w:val="21"/>
                <w:highlight w:val="none"/>
              </w:rPr>
            </w:pPr>
          </w:p>
          <w:p w14:paraId="38AD7D66">
            <w:pPr>
              <w:spacing w:line="261" w:lineRule="auto"/>
              <w:rPr>
                <w:rFonts w:ascii="Arial"/>
                <w:color w:val="auto"/>
                <w:sz w:val="21"/>
                <w:highlight w:val="none"/>
              </w:rPr>
            </w:pPr>
          </w:p>
          <w:p w14:paraId="08436E1C">
            <w:pPr>
              <w:spacing w:line="261" w:lineRule="auto"/>
              <w:rPr>
                <w:rFonts w:ascii="Arial"/>
                <w:color w:val="auto"/>
                <w:sz w:val="21"/>
                <w:highlight w:val="none"/>
              </w:rPr>
            </w:pPr>
          </w:p>
          <w:p w14:paraId="15316CE1">
            <w:pPr>
              <w:spacing w:line="261" w:lineRule="auto"/>
              <w:rPr>
                <w:rFonts w:ascii="Arial"/>
                <w:color w:val="auto"/>
                <w:sz w:val="21"/>
                <w:highlight w:val="none"/>
              </w:rPr>
            </w:pPr>
          </w:p>
          <w:p w14:paraId="54A71851">
            <w:pPr>
              <w:spacing w:line="261" w:lineRule="auto"/>
              <w:rPr>
                <w:rFonts w:ascii="Arial"/>
                <w:color w:val="auto"/>
                <w:sz w:val="21"/>
                <w:highlight w:val="none"/>
              </w:rPr>
            </w:pPr>
          </w:p>
          <w:p w14:paraId="22D28922">
            <w:pPr>
              <w:spacing w:line="262" w:lineRule="auto"/>
              <w:rPr>
                <w:rFonts w:ascii="Arial"/>
                <w:color w:val="auto"/>
                <w:sz w:val="21"/>
                <w:highlight w:val="none"/>
              </w:rPr>
            </w:pPr>
          </w:p>
          <w:p w14:paraId="62EC9F8D">
            <w:pPr>
              <w:spacing w:line="262" w:lineRule="auto"/>
              <w:rPr>
                <w:rFonts w:ascii="Arial"/>
                <w:color w:val="auto"/>
                <w:sz w:val="21"/>
                <w:highlight w:val="none"/>
              </w:rPr>
            </w:pPr>
          </w:p>
          <w:p w14:paraId="51164E01">
            <w:pPr>
              <w:spacing w:line="262" w:lineRule="auto"/>
              <w:rPr>
                <w:rFonts w:ascii="Arial"/>
                <w:color w:val="auto"/>
                <w:sz w:val="21"/>
                <w:highlight w:val="none"/>
              </w:rPr>
            </w:pPr>
          </w:p>
          <w:p w14:paraId="43FF8909">
            <w:pPr>
              <w:pStyle w:val="12"/>
              <w:spacing w:before="78"/>
              <w:ind w:left="218"/>
              <w:rPr>
                <w:color w:val="auto"/>
                <w:highlight w:val="none"/>
              </w:rPr>
            </w:pPr>
            <w:r>
              <w:rPr>
                <w:color w:val="auto"/>
                <w:spacing w:val="-8"/>
                <w:highlight w:val="none"/>
              </w:rPr>
              <w:t>33</w:t>
            </w:r>
          </w:p>
        </w:tc>
        <w:tc>
          <w:tcPr>
            <w:tcW w:w="1923" w:type="dxa"/>
            <w:vAlign w:val="top"/>
          </w:tcPr>
          <w:p w14:paraId="0C80ACB3">
            <w:pPr>
              <w:spacing w:line="261" w:lineRule="auto"/>
              <w:rPr>
                <w:rFonts w:ascii="Arial"/>
                <w:color w:val="auto"/>
                <w:sz w:val="21"/>
                <w:highlight w:val="none"/>
              </w:rPr>
            </w:pPr>
          </w:p>
          <w:p w14:paraId="0A20BF71">
            <w:pPr>
              <w:spacing w:line="261" w:lineRule="auto"/>
              <w:rPr>
                <w:rFonts w:ascii="Arial"/>
                <w:color w:val="auto"/>
                <w:sz w:val="21"/>
                <w:highlight w:val="none"/>
              </w:rPr>
            </w:pPr>
          </w:p>
          <w:p w14:paraId="6CC96DA7">
            <w:pPr>
              <w:spacing w:line="261" w:lineRule="auto"/>
              <w:rPr>
                <w:rFonts w:ascii="Arial"/>
                <w:color w:val="auto"/>
                <w:sz w:val="21"/>
                <w:highlight w:val="none"/>
              </w:rPr>
            </w:pPr>
          </w:p>
          <w:p w14:paraId="2C349170">
            <w:pPr>
              <w:spacing w:line="261" w:lineRule="auto"/>
              <w:rPr>
                <w:rFonts w:ascii="Arial"/>
                <w:color w:val="auto"/>
                <w:sz w:val="21"/>
                <w:highlight w:val="none"/>
              </w:rPr>
            </w:pPr>
          </w:p>
          <w:p w14:paraId="257126BD">
            <w:pPr>
              <w:spacing w:line="261" w:lineRule="auto"/>
              <w:rPr>
                <w:rFonts w:ascii="Arial"/>
                <w:color w:val="auto"/>
                <w:sz w:val="21"/>
                <w:highlight w:val="none"/>
              </w:rPr>
            </w:pPr>
          </w:p>
          <w:p w14:paraId="07FCB2D4">
            <w:pPr>
              <w:spacing w:line="262" w:lineRule="auto"/>
              <w:rPr>
                <w:rFonts w:ascii="Arial"/>
                <w:color w:val="auto"/>
                <w:sz w:val="21"/>
                <w:highlight w:val="none"/>
              </w:rPr>
            </w:pPr>
          </w:p>
          <w:p w14:paraId="2497790B">
            <w:pPr>
              <w:spacing w:line="262" w:lineRule="auto"/>
              <w:rPr>
                <w:rFonts w:ascii="Arial"/>
                <w:color w:val="auto"/>
                <w:sz w:val="21"/>
                <w:highlight w:val="none"/>
              </w:rPr>
            </w:pPr>
          </w:p>
          <w:p w14:paraId="16D3EF92">
            <w:pPr>
              <w:spacing w:line="262" w:lineRule="auto"/>
              <w:rPr>
                <w:rFonts w:ascii="Arial"/>
                <w:color w:val="auto"/>
                <w:sz w:val="21"/>
                <w:highlight w:val="none"/>
              </w:rPr>
            </w:pPr>
          </w:p>
          <w:p w14:paraId="43914B95">
            <w:pPr>
              <w:pStyle w:val="12"/>
              <w:spacing w:before="78" w:line="218" w:lineRule="auto"/>
              <w:ind w:left="488"/>
              <w:rPr>
                <w:color w:val="auto"/>
                <w:highlight w:val="none"/>
              </w:rPr>
            </w:pPr>
            <w:r>
              <w:rPr>
                <w:color w:val="auto"/>
                <w:spacing w:val="-4"/>
                <w:highlight w:val="none"/>
              </w:rPr>
              <w:t>最后报价</w:t>
            </w:r>
          </w:p>
        </w:tc>
        <w:tc>
          <w:tcPr>
            <w:tcW w:w="7478" w:type="dxa"/>
            <w:vAlign w:val="top"/>
          </w:tcPr>
          <w:p w14:paraId="548A092D">
            <w:pPr>
              <w:pStyle w:val="12"/>
              <w:spacing w:before="164" w:line="354" w:lineRule="auto"/>
              <w:ind w:left="111" w:right="106" w:firstLine="1"/>
              <w:jc w:val="both"/>
              <w:rPr>
                <w:color w:val="auto"/>
                <w:highlight w:val="none"/>
              </w:rPr>
            </w:pPr>
            <w:r>
              <w:rPr>
                <w:b/>
                <w:bCs/>
                <w:color w:val="auto"/>
                <w:spacing w:val="-1"/>
                <w:highlight w:val="none"/>
              </w:rPr>
              <w:t>根据磋商小组要求，供应商须使用CA数字证书登录《全国公共资源交</w:t>
            </w:r>
            <w:r>
              <w:rPr>
                <w:b/>
                <w:bCs/>
                <w:color w:val="auto"/>
                <w:spacing w:val="-4"/>
                <w:highlight w:val="none"/>
              </w:rPr>
              <w:t>易平台（河南省·许昌市）》（</w:t>
            </w:r>
            <w:r>
              <w:rPr>
                <w:color w:val="auto"/>
                <w:highlight w:val="none"/>
              </w:rPr>
              <w:fldChar w:fldCharType="begin"/>
            </w:r>
            <w:r>
              <w:rPr>
                <w:color w:val="auto"/>
                <w:highlight w:val="none"/>
              </w:rPr>
              <w:instrText xml:space="preserve"> HYPERLINK "https://ggzy.xuchang.gov.cn" </w:instrText>
            </w:r>
            <w:r>
              <w:rPr>
                <w:color w:val="auto"/>
                <w:highlight w:val="none"/>
              </w:rPr>
              <w:fldChar w:fldCharType="separate"/>
            </w:r>
            <w:r>
              <w:rPr>
                <w:b/>
                <w:bCs/>
                <w:color w:val="auto"/>
                <w:spacing w:val="-4"/>
                <w:highlight w:val="none"/>
              </w:rPr>
              <w:t>https://ggzy.xuchang.gov.c</w:t>
            </w:r>
            <w:r>
              <w:rPr>
                <w:b/>
                <w:bCs/>
                <w:color w:val="auto"/>
                <w:spacing w:val="-5"/>
                <w:highlight w:val="none"/>
              </w:rPr>
              <w:t>n</w:t>
            </w:r>
            <w:r>
              <w:rPr>
                <w:b/>
                <w:bCs/>
                <w:color w:val="auto"/>
                <w:spacing w:val="-5"/>
                <w:highlight w:val="none"/>
              </w:rPr>
              <w:fldChar w:fldCharType="end"/>
            </w:r>
            <w:r>
              <w:rPr>
                <w:b/>
                <w:bCs/>
                <w:color w:val="auto"/>
                <w:spacing w:val="-5"/>
                <w:highlight w:val="none"/>
              </w:rPr>
              <w:t>）许昌</w:t>
            </w:r>
            <w:r>
              <w:rPr>
                <w:b/>
                <w:bCs/>
                <w:color w:val="auto"/>
                <w:spacing w:val="-1"/>
                <w:highlight w:val="none"/>
              </w:rPr>
              <w:t>市公共资源电子交易系统进行最后报价，最后报价应包括：①总报价</w:t>
            </w:r>
            <w:r>
              <w:rPr>
                <w:b/>
                <w:bCs/>
                <w:color w:val="auto"/>
                <w:spacing w:val="-4"/>
                <w:highlight w:val="none"/>
              </w:rPr>
              <w:t>②分项报价。</w:t>
            </w:r>
          </w:p>
          <w:p w14:paraId="5E14E349">
            <w:pPr>
              <w:pStyle w:val="12"/>
              <w:spacing w:line="223" w:lineRule="auto"/>
              <w:ind w:left="113"/>
              <w:rPr>
                <w:color w:val="auto"/>
                <w:highlight w:val="none"/>
              </w:rPr>
            </w:pPr>
            <w:r>
              <w:rPr>
                <w:b/>
                <w:bCs/>
                <w:color w:val="auto"/>
                <w:spacing w:val="-8"/>
                <w:highlight w:val="none"/>
              </w:rPr>
              <w:t>注：</w:t>
            </w:r>
          </w:p>
          <w:p w14:paraId="0E43CE01">
            <w:pPr>
              <w:pStyle w:val="12"/>
              <w:spacing w:before="167" w:line="354" w:lineRule="auto"/>
              <w:ind w:left="113" w:right="109" w:hanging="1"/>
              <w:rPr>
                <w:color w:val="auto"/>
                <w:highlight w:val="none"/>
              </w:rPr>
            </w:pPr>
            <w:r>
              <w:rPr>
                <w:b/>
                <w:bCs/>
                <w:color w:val="auto"/>
                <w:spacing w:val="-1"/>
                <w:highlight w:val="none"/>
              </w:rPr>
              <w:t>①磋商结束后，磋商小组应当要求所有继续参加磋商的供应商在规定</w:t>
            </w:r>
            <w:r>
              <w:rPr>
                <w:b/>
                <w:bCs/>
                <w:color w:val="auto"/>
                <w:spacing w:val="-5"/>
                <w:highlight w:val="none"/>
              </w:rPr>
              <w:t>时间内提交最后报价，提交最后报价的供应商不得少于3家。最后报价</w:t>
            </w:r>
            <w:r>
              <w:rPr>
                <w:b/>
                <w:bCs/>
                <w:color w:val="auto"/>
                <w:spacing w:val="-1"/>
                <w:highlight w:val="none"/>
              </w:rPr>
              <w:t>需提供最后报价的分项报价清单（要求加盖单位公章的扫描件或图片</w:t>
            </w:r>
            <w:r>
              <w:rPr>
                <w:b/>
                <w:bCs/>
                <w:color w:val="auto"/>
                <w:spacing w:val="-4"/>
                <w:highlight w:val="none"/>
              </w:rPr>
              <w:t>作为附件上传）。</w:t>
            </w:r>
          </w:p>
          <w:p w14:paraId="49BCE7C0">
            <w:pPr>
              <w:pStyle w:val="12"/>
              <w:spacing w:line="217" w:lineRule="auto"/>
              <w:ind w:left="111"/>
              <w:rPr>
                <w:color w:val="auto"/>
                <w:highlight w:val="none"/>
              </w:rPr>
            </w:pPr>
            <w:r>
              <w:rPr>
                <w:b/>
                <w:bCs/>
                <w:color w:val="auto"/>
                <w:spacing w:val="-3"/>
                <w:highlight w:val="none"/>
              </w:rPr>
              <w:t>②请供应商根据项目情况，可提前准备分项报价。</w:t>
            </w:r>
          </w:p>
        </w:tc>
      </w:tr>
      <w:tr w14:paraId="77B32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7" w:hRule="atLeast"/>
        </w:trPr>
        <w:tc>
          <w:tcPr>
            <w:tcW w:w="652" w:type="dxa"/>
            <w:vAlign w:val="top"/>
          </w:tcPr>
          <w:p w14:paraId="219F91E0">
            <w:pPr>
              <w:spacing w:line="294" w:lineRule="auto"/>
              <w:rPr>
                <w:rFonts w:ascii="Arial"/>
                <w:color w:val="auto"/>
                <w:sz w:val="21"/>
                <w:highlight w:val="none"/>
              </w:rPr>
            </w:pPr>
          </w:p>
          <w:p w14:paraId="778BA915">
            <w:pPr>
              <w:spacing w:line="294" w:lineRule="auto"/>
              <w:rPr>
                <w:rFonts w:ascii="Arial"/>
                <w:color w:val="auto"/>
                <w:sz w:val="21"/>
                <w:highlight w:val="none"/>
              </w:rPr>
            </w:pPr>
          </w:p>
          <w:p w14:paraId="0AD689AE">
            <w:pPr>
              <w:spacing w:line="294" w:lineRule="auto"/>
              <w:rPr>
                <w:rFonts w:ascii="Arial"/>
                <w:color w:val="auto"/>
                <w:sz w:val="21"/>
                <w:highlight w:val="none"/>
              </w:rPr>
            </w:pPr>
          </w:p>
          <w:p w14:paraId="58A013A1">
            <w:pPr>
              <w:spacing w:line="295" w:lineRule="auto"/>
              <w:rPr>
                <w:rFonts w:ascii="Arial"/>
                <w:color w:val="auto"/>
                <w:sz w:val="21"/>
                <w:highlight w:val="none"/>
              </w:rPr>
            </w:pPr>
          </w:p>
          <w:p w14:paraId="5CE48FB4">
            <w:pPr>
              <w:pStyle w:val="12"/>
              <w:spacing w:before="78"/>
              <w:ind w:left="218"/>
              <w:rPr>
                <w:color w:val="auto"/>
                <w:highlight w:val="none"/>
              </w:rPr>
            </w:pPr>
            <w:r>
              <w:rPr>
                <w:color w:val="auto"/>
                <w:spacing w:val="-8"/>
                <w:highlight w:val="none"/>
              </w:rPr>
              <w:t>34</w:t>
            </w:r>
          </w:p>
        </w:tc>
        <w:tc>
          <w:tcPr>
            <w:tcW w:w="1923" w:type="dxa"/>
            <w:vAlign w:val="top"/>
          </w:tcPr>
          <w:p w14:paraId="4EA5301D">
            <w:pPr>
              <w:spacing w:line="295" w:lineRule="auto"/>
              <w:rPr>
                <w:rFonts w:ascii="Arial"/>
                <w:color w:val="auto"/>
                <w:sz w:val="21"/>
                <w:highlight w:val="none"/>
              </w:rPr>
            </w:pPr>
          </w:p>
          <w:p w14:paraId="0CA171C6">
            <w:pPr>
              <w:spacing w:line="295" w:lineRule="auto"/>
              <w:rPr>
                <w:rFonts w:ascii="Arial"/>
                <w:color w:val="auto"/>
                <w:sz w:val="21"/>
                <w:highlight w:val="none"/>
              </w:rPr>
            </w:pPr>
          </w:p>
          <w:p w14:paraId="3E8BC020">
            <w:pPr>
              <w:spacing w:line="295" w:lineRule="auto"/>
              <w:rPr>
                <w:rFonts w:ascii="Arial"/>
                <w:color w:val="auto"/>
                <w:sz w:val="21"/>
                <w:highlight w:val="none"/>
              </w:rPr>
            </w:pPr>
          </w:p>
          <w:p w14:paraId="3DCB317F">
            <w:pPr>
              <w:spacing w:line="295" w:lineRule="auto"/>
              <w:rPr>
                <w:rFonts w:ascii="Arial"/>
                <w:color w:val="auto"/>
                <w:sz w:val="21"/>
                <w:highlight w:val="none"/>
              </w:rPr>
            </w:pPr>
          </w:p>
          <w:p w14:paraId="4FC1EEE2">
            <w:pPr>
              <w:pStyle w:val="12"/>
              <w:spacing w:before="78" w:line="218" w:lineRule="auto"/>
              <w:ind w:left="248"/>
              <w:rPr>
                <w:color w:val="auto"/>
                <w:highlight w:val="none"/>
              </w:rPr>
            </w:pPr>
            <w:r>
              <w:rPr>
                <w:color w:val="auto"/>
                <w:spacing w:val="-3"/>
                <w:highlight w:val="none"/>
              </w:rPr>
              <w:t>异常低价审核</w:t>
            </w:r>
          </w:p>
        </w:tc>
        <w:tc>
          <w:tcPr>
            <w:tcW w:w="7478" w:type="dxa"/>
            <w:vAlign w:val="top"/>
          </w:tcPr>
          <w:p w14:paraId="0A677DEB">
            <w:pPr>
              <w:pStyle w:val="12"/>
              <w:spacing w:before="168" w:line="354" w:lineRule="auto"/>
              <w:ind w:left="114" w:right="106" w:firstLine="17"/>
              <w:rPr>
                <w:color w:val="auto"/>
                <w:highlight w:val="none"/>
              </w:rPr>
            </w:pPr>
            <w:r>
              <w:rPr>
                <w:rFonts w:ascii="Times New Roman" w:hAnsi="Times New Roman" w:eastAsia="Times New Roman" w:cs="Times New Roman"/>
                <w:color w:val="auto"/>
                <w:spacing w:val="-4"/>
                <w:highlight w:val="none"/>
              </w:rPr>
              <w:t>1</w:t>
            </w:r>
            <w:r>
              <w:rPr>
                <w:rFonts w:ascii="Times New Roman" w:hAnsi="Times New Roman" w:eastAsia="Times New Roman" w:cs="Times New Roman"/>
                <w:color w:val="auto"/>
                <w:spacing w:val="-23"/>
                <w:highlight w:val="none"/>
              </w:rPr>
              <w:t xml:space="preserve"> </w:t>
            </w:r>
            <w:r>
              <w:rPr>
                <w:color w:val="auto"/>
                <w:spacing w:val="-4"/>
                <w:highlight w:val="none"/>
              </w:rPr>
              <w:t>、投标（响应）报价低于全部通过符合性审查供应商投标（响应）报</w:t>
            </w:r>
            <w:r>
              <w:rPr>
                <w:color w:val="auto"/>
                <w:spacing w:val="-2"/>
                <w:highlight w:val="none"/>
              </w:rPr>
              <w:t>价平均值</w:t>
            </w:r>
            <w:r>
              <w:rPr>
                <w:rFonts w:ascii="Times New Roman" w:hAnsi="Times New Roman" w:eastAsia="Times New Roman" w:cs="Times New Roman"/>
                <w:color w:val="auto"/>
                <w:spacing w:val="-2"/>
                <w:highlight w:val="none"/>
              </w:rPr>
              <w:t>50%</w:t>
            </w:r>
            <w:r>
              <w:rPr>
                <w:color w:val="auto"/>
                <w:spacing w:val="-2"/>
                <w:highlight w:val="none"/>
              </w:rPr>
              <w:t>的；</w:t>
            </w:r>
          </w:p>
          <w:p w14:paraId="496938D7">
            <w:pPr>
              <w:pStyle w:val="12"/>
              <w:spacing w:before="1" w:line="353" w:lineRule="auto"/>
              <w:ind w:left="113" w:right="106" w:hanging="4"/>
              <w:rPr>
                <w:color w:val="auto"/>
                <w:highlight w:val="none"/>
              </w:rPr>
            </w:pPr>
            <w:r>
              <w:rPr>
                <w:rFonts w:ascii="Times New Roman" w:hAnsi="Times New Roman" w:eastAsia="Times New Roman" w:cs="Times New Roman"/>
                <w:color w:val="auto"/>
                <w:spacing w:val="-3"/>
                <w:highlight w:val="none"/>
              </w:rPr>
              <w:t>2</w:t>
            </w:r>
            <w:r>
              <w:rPr>
                <w:rFonts w:ascii="Times New Roman" w:hAnsi="Times New Roman" w:eastAsia="Times New Roman" w:cs="Times New Roman"/>
                <w:color w:val="auto"/>
                <w:spacing w:val="-31"/>
                <w:highlight w:val="none"/>
              </w:rPr>
              <w:t xml:space="preserve"> </w:t>
            </w:r>
            <w:r>
              <w:rPr>
                <w:color w:val="auto"/>
                <w:spacing w:val="-3"/>
                <w:highlight w:val="none"/>
              </w:rPr>
              <w:t>、投标（响应）报价低于通过符合性审查的次低报价供应商投标（响</w:t>
            </w:r>
            <w:r>
              <w:rPr>
                <w:color w:val="auto"/>
                <w:spacing w:val="-2"/>
                <w:highlight w:val="none"/>
              </w:rPr>
              <w:t>应）报价</w:t>
            </w:r>
            <w:r>
              <w:rPr>
                <w:rFonts w:ascii="Times New Roman" w:hAnsi="Times New Roman" w:eastAsia="Times New Roman" w:cs="Times New Roman"/>
                <w:color w:val="auto"/>
                <w:spacing w:val="-2"/>
                <w:highlight w:val="none"/>
              </w:rPr>
              <w:t>50%</w:t>
            </w:r>
            <w:r>
              <w:rPr>
                <w:color w:val="auto"/>
                <w:spacing w:val="-2"/>
                <w:highlight w:val="none"/>
              </w:rPr>
              <w:t>的；</w:t>
            </w:r>
          </w:p>
          <w:p w14:paraId="5B8C89FF">
            <w:pPr>
              <w:pStyle w:val="12"/>
              <w:spacing w:before="1" w:line="217" w:lineRule="auto"/>
              <w:ind w:left="118"/>
              <w:rPr>
                <w:color w:val="auto"/>
                <w:highlight w:val="none"/>
              </w:rPr>
            </w:pPr>
            <w:r>
              <w:rPr>
                <w:color w:val="auto"/>
                <w:spacing w:val="-1"/>
                <w:highlight w:val="none"/>
              </w:rPr>
              <w:t>3、投标（响应）报价低于采购项目最高限价45%的；</w:t>
            </w:r>
          </w:p>
          <w:p w14:paraId="174101E5">
            <w:pPr>
              <w:pStyle w:val="12"/>
              <w:spacing w:before="177" w:line="218" w:lineRule="auto"/>
              <w:ind w:left="107"/>
              <w:rPr>
                <w:color w:val="auto"/>
                <w:highlight w:val="none"/>
              </w:rPr>
            </w:pPr>
            <w:r>
              <w:rPr>
                <w:rFonts w:ascii="Times New Roman" w:hAnsi="Times New Roman" w:eastAsia="Times New Roman" w:cs="Times New Roman"/>
                <w:color w:val="auto"/>
                <w:spacing w:val="-2"/>
                <w:highlight w:val="none"/>
              </w:rPr>
              <w:t>4</w:t>
            </w:r>
            <w:r>
              <w:rPr>
                <w:color w:val="auto"/>
                <w:spacing w:val="-2"/>
                <w:highlight w:val="none"/>
              </w:rPr>
              <w:t>、评标委员会基于专业判断，认为供应商报价过低，有可能影</w:t>
            </w:r>
            <w:r>
              <w:rPr>
                <w:color w:val="auto"/>
                <w:spacing w:val="-3"/>
                <w:highlight w:val="none"/>
              </w:rPr>
              <w:t>响产品</w:t>
            </w:r>
          </w:p>
        </w:tc>
      </w:tr>
    </w:tbl>
    <w:p w14:paraId="5336B16B">
      <w:pPr>
        <w:pStyle w:val="5"/>
        <w:spacing w:line="77" w:lineRule="exact"/>
        <w:rPr>
          <w:color w:val="auto"/>
          <w:sz w:val="6"/>
          <w:highlight w:val="none"/>
        </w:rPr>
      </w:pPr>
    </w:p>
    <w:p w14:paraId="09EF876F">
      <w:pPr>
        <w:spacing w:line="77" w:lineRule="exact"/>
        <w:rPr>
          <w:color w:val="auto"/>
          <w:sz w:val="6"/>
          <w:szCs w:val="6"/>
          <w:highlight w:val="none"/>
        </w:rPr>
        <w:sectPr>
          <w:footerReference r:id="rId11" w:type="default"/>
          <w:pgSz w:w="11906" w:h="16839"/>
          <w:pgMar w:top="1431" w:right="924" w:bottom="1443" w:left="923" w:header="0" w:footer="1202" w:gutter="0"/>
          <w:pgNumType w:fmt="decimal"/>
          <w:cols w:space="720" w:num="1"/>
        </w:sectPr>
      </w:pPr>
    </w:p>
    <w:p w14:paraId="34B17E24">
      <w:pPr>
        <w:spacing w:line="91" w:lineRule="auto"/>
        <w:rPr>
          <w:rFonts w:ascii="Arial"/>
          <w:color w:val="auto"/>
          <w:sz w:val="2"/>
          <w:highlight w:val="none"/>
        </w:rPr>
      </w:pPr>
    </w:p>
    <w:tbl>
      <w:tblPr>
        <w:tblStyle w:val="11"/>
        <w:tblW w:w="100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923"/>
        <w:gridCol w:w="7486"/>
      </w:tblGrid>
      <w:tr w14:paraId="3942B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652" w:type="dxa"/>
            <w:vAlign w:val="top"/>
          </w:tcPr>
          <w:p w14:paraId="34A0BD15">
            <w:pPr>
              <w:rPr>
                <w:rFonts w:ascii="Arial"/>
                <w:color w:val="auto"/>
                <w:sz w:val="21"/>
                <w:highlight w:val="none"/>
              </w:rPr>
            </w:pPr>
          </w:p>
        </w:tc>
        <w:tc>
          <w:tcPr>
            <w:tcW w:w="1923" w:type="dxa"/>
            <w:vAlign w:val="top"/>
          </w:tcPr>
          <w:p w14:paraId="7589381F">
            <w:pPr>
              <w:rPr>
                <w:rFonts w:ascii="Arial"/>
                <w:color w:val="auto"/>
                <w:sz w:val="21"/>
                <w:highlight w:val="none"/>
              </w:rPr>
            </w:pPr>
          </w:p>
        </w:tc>
        <w:tc>
          <w:tcPr>
            <w:tcW w:w="7486" w:type="dxa"/>
            <w:vAlign w:val="top"/>
          </w:tcPr>
          <w:p w14:paraId="6532EFC9">
            <w:pPr>
              <w:pStyle w:val="12"/>
              <w:spacing w:before="167" w:line="219" w:lineRule="auto"/>
              <w:ind w:left="114"/>
              <w:rPr>
                <w:color w:val="auto"/>
                <w:highlight w:val="none"/>
              </w:rPr>
            </w:pPr>
            <w:r>
              <w:rPr>
                <w:color w:val="auto"/>
                <w:spacing w:val="-1"/>
                <w:highlight w:val="none"/>
              </w:rPr>
              <w:t>质量或者不能诚信履约的其他情形。</w:t>
            </w:r>
          </w:p>
          <w:p w14:paraId="5727432D">
            <w:pPr>
              <w:pStyle w:val="12"/>
              <w:spacing w:before="175" w:line="218" w:lineRule="auto"/>
              <w:ind w:left="115"/>
              <w:rPr>
                <w:color w:val="auto"/>
                <w:highlight w:val="none"/>
              </w:rPr>
            </w:pPr>
            <w:r>
              <w:rPr>
                <w:rFonts w:ascii="Times New Roman" w:hAnsi="Times New Roman" w:eastAsia="Times New Roman" w:cs="Times New Roman"/>
                <w:color w:val="auto"/>
                <w:spacing w:val="-2"/>
                <w:highlight w:val="none"/>
              </w:rPr>
              <w:t>5</w:t>
            </w:r>
            <w:r>
              <w:rPr>
                <w:rFonts w:ascii="Times New Roman" w:hAnsi="Times New Roman" w:eastAsia="Times New Roman" w:cs="Times New Roman"/>
                <w:color w:val="auto"/>
                <w:spacing w:val="-25"/>
                <w:highlight w:val="none"/>
              </w:rPr>
              <w:t xml:space="preserve"> </w:t>
            </w:r>
            <w:r>
              <w:rPr>
                <w:color w:val="auto"/>
                <w:spacing w:val="-2"/>
                <w:highlight w:val="none"/>
              </w:rPr>
              <w:t>、相关法律法规对供应商报价有规定的，从其规定。</w:t>
            </w:r>
          </w:p>
        </w:tc>
      </w:tr>
      <w:tr w14:paraId="6099C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3" w:hRule="atLeast"/>
        </w:trPr>
        <w:tc>
          <w:tcPr>
            <w:tcW w:w="652" w:type="dxa"/>
            <w:vAlign w:val="top"/>
          </w:tcPr>
          <w:p w14:paraId="5BE78413">
            <w:pPr>
              <w:spacing w:line="261" w:lineRule="auto"/>
              <w:rPr>
                <w:rFonts w:ascii="Arial"/>
                <w:color w:val="auto"/>
                <w:sz w:val="21"/>
                <w:highlight w:val="none"/>
              </w:rPr>
            </w:pPr>
          </w:p>
          <w:p w14:paraId="3181ADC0">
            <w:pPr>
              <w:spacing w:line="261" w:lineRule="auto"/>
              <w:rPr>
                <w:rFonts w:ascii="Arial"/>
                <w:color w:val="auto"/>
                <w:sz w:val="21"/>
                <w:highlight w:val="none"/>
              </w:rPr>
            </w:pPr>
          </w:p>
          <w:p w14:paraId="1C2C280E">
            <w:pPr>
              <w:spacing w:line="261" w:lineRule="auto"/>
              <w:rPr>
                <w:rFonts w:ascii="Arial"/>
                <w:color w:val="auto"/>
                <w:sz w:val="21"/>
                <w:highlight w:val="none"/>
              </w:rPr>
            </w:pPr>
          </w:p>
          <w:p w14:paraId="55761A6E">
            <w:pPr>
              <w:spacing w:line="261" w:lineRule="auto"/>
              <w:rPr>
                <w:rFonts w:ascii="Arial"/>
                <w:color w:val="auto"/>
                <w:sz w:val="21"/>
                <w:highlight w:val="none"/>
              </w:rPr>
            </w:pPr>
          </w:p>
          <w:p w14:paraId="495EF6C0">
            <w:pPr>
              <w:spacing w:line="261" w:lineRule="auto"/>
              <w:rPr>
                <w:rFonts w:ascii="Arial"/>
                <w:color w:val="auto"/>
                <w:sz w:val="21"/>
                <w:highlight w:val="none"/>
              </w:rPr>
            </w:pPr>
          </w:p>
          <w:p w14:paraId="224F62A5">
            <w:pPr>
              <w:spacing w:line="261" w:lineRule="auto"/>
              <w:rPr>
                <w:rFonts w:ascii="Arial"/>
                <w:color w:val="auto"/>
                <w:sz w:val="21"/>
                <w:highlight w:val="none"/>
              </w:rPr>
            </w:pPr>
          </w:p>
          <w:p w14:paraId="04B156D7">
            <w:pPr>
              <w:spacing w:line="261" w:lineRule="auto"/>
              <w:rPr>
                <w:rFonts w:ascii="Arial"/>
                <w:color w:val="auto"/>
                <w:sz w:val="21"/>
                <w:highlight w:val="none"/>
              </w:rPr>
            </w:pPr>
          </w:p>
          <w:p w14:paraId="153BD821">
            <w:pPr>
              <w:spacing w:line="261" w:lineRule="auto"/>
              <w:rPr>
                <w:rFonts w:ascii="Arial"/>
                <w:color w:val="auto"/>
                <w:sz w:val="21"/>
                <w:highlight w:val="none"/>
              </w:rPr>
            </w:pPr>
          </w:p>
          <w:p w14:paraId="3AFFA619">
            <w:pPr>
              <w:pStyle w:val="12"/>
              <w:spacing w:before="78"/>
              <w:ind w:left="218"/>
              <w:rPr>
                <w:color w:val="auto"/>
                <w:highlight w:val="none"/>
              </w:rPr>
            </w:pPr>
            <w:r>
              <w:rPr>
                <w:color w:val="auto"/>
                <w:spacing w:val="-8"/>
                <w:highlight w:val="none"/>
              </w:rPr>
              <w:t>35</w:t>
            </w:r>
          </w:p>
        </w:tc>
        <w:tc>
          <w:tcPr>
            <w:tcW w:w="1923" w:type="dxa"/>
            <w:vAlign w:val="top"/>
          </w:tcPr>
          <w:p w14:paraId="2904CF40">
            <w:pPr>
              <w:spacing w:line="261" w:lineRule="auto"/>
              <w:rPr>
                <w:rFonts w:ascii="Arial"/>
                <w:color w:val="auto"/>
                <w:sz w:val="21"/>
                <w:highlight w:val="none"/>
              </w:rPr>
            </w:pPr>
          </w:p>
          <w:p w14:paraId="3EB9BCFF">
            <w:pPr>
              <w:spacing w:line="261" w:lineRule="auto"/>
              <w:rPr>
                <w:rFonts w:ascii="Arial"/>
                <w:color w:val="auto"/>
                <w:sz w:val="21"/>
                <w:highlight w:val="none"/>
              </w:rPr>
            </w:pPr>
          </w:p>
          <w:p w14:paraId="35B30EDD">
            <w:pPr>
              <w:spacing w:line="261" w:lineRule="auto"/>
              <w:rPr>
                <w:rFonts w:ascii="Arial"/>
                <w:color w:val="auto"/>
                <w:sz w:val="21"/>
                <w:highlight w:val="none"/>
              </w:rPr>
            </w:pPr>
          </w:p>
          <w:p w14:paraId="13A9DC41">
            <w:pPr>
              <w:spacing w:line="261" w:lineRule="auto"/>
              <w:rPr>
                <w:rFonts w:ascii="Arial"/>
                <w:color w:val="auto"/>
                <w:sz w:val="21"/>
                <w:highlight w:val="none"/>
              </w:rPr>
            </w:pPr>
          </w:p>
          <w:p w14:paraId="01503B90">
            <w:pPr>
              <w:spacing w:line="261" w:lineRule="auto"/>
              <w:rPr>
                <w:rFonts w:ascii="Arial"/>
                <w:color w:val="auto"/>
                <w:sz w:val="21"/>
                <w:highlight w:val="none"/>
              </w:rPr>
            </w:pPr>
          </w:p>
          <w:p w14:paraId="300F7C57">
            <w:pPr>
              <w:spacing w:line="262" w:lineRule="auto"/>
              <w:rPr>
                <w:rFonts w:ascii="Arial"/>
                <w:color w:val="auto"/>
                <w:sz w:val="21"/>
                <w:highlight w:val="none"/>
              </w:rPr>
            </w:pPr>
          </w:p>
          <w:p w14:paraId="693A1696">
            <w:pPr>
              <w:spacing w:line="262" w:lineRule="auto"/>
              <w:rPr>
                <w:rFonts w:ascii="Arial"/>
                <w:color w:val="auto"/>
                <w:sz w:val="21"/>
                <w:highlight w:val="none"/>
              </w:rPr>
            </w:pPr>
          </w:p>
          <w:p w14:paraId="51D1E062">
            <w:pPr>
              <w:spacing w:line="262" w:lineRule="auto"/>
              <w:rPr>
                <w:rFonts w:ascii="Arial"/>
                <w:color w:val="auto"/>
                <w:sz w:val="21"/>
                <w:highlight w:val="none"/>
              </w:rPr>
            </w:pPr>
          </w:p>
          <w:p w14:paraId="65307492">
            <w:pPr>
              <w:pStyle w:val="12"/>
              <w:spacing w:before="78" w:line="219" w:lineRule="auto"/>
              <w:ind w:left="485"/>
              <w:rPr>
                <w:color w:val="auto"/>
                <w:highlight w:val="none"/>
              </w:rPr>
            </w:pPr>
            <w:r>
              <w:rPr>
                <w:color w:val="auto"/>
                <w:spacing w:val="-3"/>
                <w:highlight w:val="none"/>
              </w:rPr>
              <w:t>特别提示</w:t>
            </w:r>
          </w:p>
        </w:tc>
        <w:tc>
          <w:tcPr>
            <w:tcW w:w="7486" w:type="dxa"/>
            <w:vAlign w:val="top"/>
          </w:tcPr>
          <w:p w14:paraId="2BA1C41C">
            <w:pPr>
              <w:pStyle w:val="12"/>
              <w:spacing w:before="162" w:line="354" w:lineRule="auto"/>
              <w:ind w:left="124" w:right="131" w:hanging="9"/>
              <w:rPr>
                <w:color w:val="auto"/>
                <w:highlight w:val="none"/>
              </w:rPr>
            </w:pPr>
            <w:r>
              <w:rPr>
                <w:color w:val="auto"/>
                <w:spacing w:val="1"/>
                <w:highlight w:val="none"/>
              </w:rPr>
              <w:t>按照《关于推进全流程电子化交易和在线监管工作有关问题的通知》</w:t>
            </w:r>
            <w:r>
              <w:rPr>
                <w:color w:val="auto"/>
                <w:spacing w:val="3"/>
                <w:highlight w:val="none"/>
              </w:rPr>
              <w:t xml:space="preserve"> </w:t>
            </w:r>
            <w:r>
              <w:rPr>
                <w:color w:val="auto"/>
                <w:spacing w:val="-2"/>
                <w:highlight w:val="none"/>
              </w:rPr>
              <w:t>（许公管办〔</w:t>
            </w:r>
            <w:r>
              <w:rPr>
                <w:rFonts w:ascii="Times New Roman" w:hAnsi="Times New Roman" w:eastAsia="Times New Roman" w:cs="Times New Roman"/>
                <w:color w:val="auto"/>
                <w:spacing w:val="-2"/>
                <w:highlight w:val="none"/>
              </w:rPr>
              <w:t>2019</w:t>
            </w:r>
            <w:r>
              <w:rPr>
                <w:color w:val="auto"/>
                <w:spacing w:val="-2"/>
                <w:highlight w:val="none"/>
              </w:rPr>
              <w:t>〕</w:t>
            </w:r>
            <w:r>
              <w:rPr>
                <w:rFonts w:ascii="Times New Roman" w:hAnsi="Times New Roman" w:eastAsia="Times New Roman" w:cs="Times New Roman"/>
                <w:color w:val="auto"/>
                <w:spacing w:val="-2"/>
                <w:highlight w:val="none"/>
              </w:rPr>
              <w:t>3</w:t>
            </w:r>
            <w:r>
              <w:rPr>
                <w:color w:val="auto"/>
                <w:spacing w:val="-2"/>
                <w:highlight w:val="none"/>
              </w:rPr>
              <w:t>号）规定：</w:t>
            </w:r>
          </w:p>
          <w:p w14:paraId="08D0D35F">
            <w:pPr>
              <w:pStyle w:val="12"/>
              <w:spacing w:line="354" w:lineRule="auto"/>
              <w:ind w:left="112" w:right="53" w:firstLine="4"/>
              <w:jc w:val="both"/>
              <w:rPr>
                <w:color w:val="auto"/>
                <w:highlight w:val="none"/>
              </w:rPr>
            </w:pPr>
            <w:r>
              <w:rPr>
                <w:color w:val="auto"/>
                <w:spacing w:val="-2"/>
                <w:highlight w:val="none"/>
              </w:rPr>
              <w:t>不同投标人电子投标文件的文件制作机器码（即许公管</w:t>
            </w:r>
            <w:r>
              <w:rPr>
                <w:color w:val="auto"/>
                <w:spacing w:val="-3"/>
                <w:highlight w:val="none"/>
              </w:rPr>
              <w:t>办〔</w:t>
            </w:r>
            <w:r>
              <w:rPr>
                <w:rFonts w:ascii="Times New Roman" w:hAnsi="Times New Roman" w:eastAsia="Times New Roman" w:cs="Times New Roman"/>
                <w:color w:val="auto"/>
                <w:spacing w:val="-3"/>
                <w:highlight w:val="none"/>
              </w:rPr>
              <w:t>2019</w:t>
            </w:r>
            <w:r>
              <w:rPr>
                <w:color w:val="auto"/>
                <w:spacing w:val="-3"/>
                <w:highlight w:val="none"/>
              </w:rPr>
              <w:t>〕</w:t>
            </w:r>
            <w:r>
              <w:rPr>
                <w:rFonts w:ascii="Times New Roman" w:hAnsi="Times New Roman" w:eastAsia="Times New Roman" w:cs="Times New Roman"/>
                <w:color w:val="auto"/>
                <w:spacing w:val="-3"/>
                <w:highlight w:val="none"/>
              </w:rPr>
              <w:t>3</w:t>
            </w:r>
            <w:r>
              <w:rPr>
                <w:color w:val="auto"/>
                <w:spacing w:val="-3"/>
                <w:highlight w:val="none"/>
              </w:rPr>
              <w:t>号</w:t>
            </w:r>
            <w:r>
              <w:rPr>
                <w:color w:val="auto"/>
                <w:spacing w:val="-1"/>
                <w:highlight w:val="none"/>
              </w:rPr>
              <w:t>文中的投标文件制作“硬件特征码</w:t>
            </w:r>
            <w:r>
              <w:rPr>
                <w:color w:val="auto"/>
                <w:spacing w:val="-86"/>
                <w:highlight w:val="none"/>
              </w:rPr>
              <w:t xml:space="preserve"> </w:t>
            </w:r>
            <w:r>
              <w:rPr>
                <w:color w:val="auto"/>
                <w:spacing w:val="-1"/>
                <w:highlight w:val="none"/>
              </w:rPr>
              <w:t>”，其由网卡</w:t>
            </w:r>
            <w:r>
              <w:rPr>
                <w:rFonts w:ascii="Times New Roman" w:hAnsi="Times New Roman" w:eastAsia="Times New Roman" w:cs="Times New Roman"/>
                <w:color w:val="auto"/>
                <w:spacing w:val="-1"/>
                <w:highlight w:val="none"/>
              </w:rPr>
              <w:t>MAC</w:t>
            </w:r>
            <w:r>
              <w:rPr>
                <w:color w:val="auto"/>
                <w:spacing w:val="-1"/>
                <w:highlight w:val="none"/>
              </w:rPr>
              <w:t>地址</w:t>
            </w:r>
            <w:r>
              <w:rPr>
                <w:color w:val="auto"/>
                <w:spacing w:val="-2"/>
                <w:highlight w:val="none"/>
              </w:rPr>
              <w:t>、</w:t>
            </w:r>
            <w:r>
              <w:rPr>
                <w:rFonts w:ascii="Times New Roman" w:hAnsi="Times New Roman" w:eastAsia="Times New Roman" w:cs="Times New Roman"/>
                <w:color w:val="auto"/>
                <w:spacing w:val="-2"/>
                <w:highlight w:val="none"/>
              </w:rPr>
              <w:t>CPU</w:t>
            </w:r>
            <w:r>
              <w:rPr>
                <w:color w:val="auto"/>
                <w:spacing w:val="-2"/>
                <w:highlight w:val="none"/>
              </w:rPr>
              <w:t>序列</w:t>
            </w:r>
            <w:r>
              <w:rPr>
                <w:color w:val="auto"/>
                <w:spacing w:val="-5"/>
                <w:highlight w:val="none"/>
              </w:rPr>
              <w:t>号、硬盘序列号等组成，以下均称为“文件制作机器码</w:t>
            </w:r>
            <w:r>
              <w:rPr>
                <w:color w:val="auto"/>
                <w:spacing w:val="-88"/>
                <w:highlight w:val="none"/>
              </w:rPr>
              <w:t xml:space="preserve"> </w:t>
            </w:r>
            <w:r>
              <w:rPr>
                <w:color w:val="auto"/>
                <w:spacing w:val="-5"/>
                <w:highlight w:val="none"/>
              </w:rPr>
              <w:t>”）均一</w:t>
            </w:r>
            <w:r>
              <w:rPr>
                <w:color w:val="auto"/>
                <w:spacing w:val="-6"/>
                <w:highlight w:val="none"/>
              </w:rPr>
              <w:t>致时，</w:t>
            </w:r>
            <w:r>
              <w:rPr>
                <w:color w:val="auto"/>
                <w:highlight w:val="none"/>
              </w:rPr>
              <w:t>视为‘不同投标人电子投标文件由同一单位或者个人编制</w:t>
            </w:r>
            <w:r>
              <w:rPr>
                <w:color w:val="auto"/>
                <w:spacing w:val="-70"/>
                <w:highlight w:val="none"/>
              </w:rPr>
              <w:t xml:space="preserve"> </w:t>
            </w:r>
            <w:r>
              <w:rPr>
                <w:color w:val="auto"/>
                <w:highlight w:val="none"/>
              </w:rPr>
              <w:t>’或‘不同</w:t>
            </w:r>
            <w:r>
              <w:rPr>
                <w:color w:val="auto"/>
                <w:spacing w:val="-2"/>
                <w:highlight w:val="none"/>
              </w:rPr>
              <w:t>投标人委托同一单位或者个人办理响应事宜</w:t>
            </w:r>
            <w:r>
              <w:rPr>
                <w:color w:val="auto"/>
                <w:spacing w:val="-76"/>
                <w:highlight w:val="none"/>
              </w:rPr>
              <w:t xml:space="preserve"> </w:t>
            </w:r>
            <w:r>
              <w:rPr>
                <w:color w:val="auto"/>
                <w:spacing w:val="-2"/>
                <w:highlight w:val="none"/>
              </w:rPr>
              <w:t>’，其投标无效。</w:t>
            </w:r>
          </w:p>
          <w:p w14:paraId="14A4DC9F">
            <w:pPr>
              <w:pStyle w:val="12"/>
              <w:spacing w:before="3" w:line="309" w:lineRule="auto"/>
              <w:ind w:left="116" w:hanging="4"/>
              <w:jc w:val="both"/>
              <w:rPr>
                <w:color w:val="auto"/>
                <w:highlight w:val="none"/>
              </w:rPr>
            </w:pPr>
            <w:r>
              <w:rPr>
                <w:color w:val="auto"/>
                <w:spacing w:val="-4"/>
                <w:highlight w:val="none"/>
              </w:rPr>
              <w:t>评审专家应严格按照要求查看“文件制作机器码</w:t>
            </w:r>
            <w:r>
              <w:rPr>
                <w:color w:val="auto"/>
                <w:spacing w:val="-67"/>
                <w:highlight w:val="none"/>
              </w:rPr>
              <w:t xml:space="preserve"> </w:t>
            </w:r>
            <w:r>
              <w:rPr>
                <w:color w:val="auto"/>
                <w:spacing w:val="-4"/>
                <w:highlight w:val="none"/>
              </w:rPr>
              <w:t>”相关信息并进行评审，在评标报告中显示“不同投标人电子投标文件的文件制作机器码</w:t>
            </w:r>
            <w:r>
              <w:rPr>
                <w:color w:val="auto"/>
                <w:spacing w:val="-74"/>
                <w:highlight w:val="none"/>
              </w:rPr>
              <w:t xml:space="preserve"> </w:t>
            </w:r>
            <w:r>
              <w:rPr>
                <w:color w:val="auto"/>
                <w:spacing w:val="-4"/>
                <w:highlight w:val="none"/>
              </w:rPr>
              <w:t>”</w:t>
            </w:r>
            <w:r>
              <w:rPr>
                <w:color w:val="auto"/>
                <w:spacing w:val="-5"/>
                <w:highlight w:val="none"/>
              </w:rPr>
              <w:t>是否雷同的分析及判定结果。</w:t>
            </w:r>
          </w:p>
        </w:tc>
      </w:tr>
      <w:tr w14:paraId="1C971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5" w:hRule="atLeast"/>
        </w:trPr>
        <w:tc>
          <w:tcPr>
            <w:tcW w:w="652" w:type="dxa"/>
            <w:vAlign w:val="top"/>
          </w:tcPr>
          <w:p w14:paraId="564C9DCD">
            <w:pPr>
              <w:spacing w:line="245" w:lineRule="auto"/>
              <w:rPr>
                <w:rFonts w:ascii="Arial"/>
                <w:color w:val="auto"/>
                <w:sz w:val="21"/>
                <w:highlight w:val="none"/>
              </w:rPr>
            </w:pPr>
          </w:p>
          <w:p w14:paraId="0EC2AC85">
            <w:pPr>
              <w:spacing w:line="245" w:lineRule="auto"/>
              <w:rPr>
                <w:rFonts w:ascii="Arial"/>
                <w:color w:val="auto"/>
                <w:sz w:val="21"/>
                <w:highlight w:val="none"/>
              </w:rPr>
            </w:pPr>
          </w:p>
          <w:p w14:paraId="5C5DA1CA">
            <w:pPr>
              <w:spacing w:line="245" w:lineRule="auto"/>
              <w:rPr>
                <w:rFonts w:ascii="Arial"/>
                <w:color w:val="auto"/>
                <w:sz w:val="21"/>
                <w:highlight w:val="none"/>
              </w:rPr>
            </w:pPr>
          </w:p>
          <w:p w14:paraId="73E61C8E">
            <w:pPr>
              <w:spacing w:line="245" w:lineRule="auto"/>
              <w:rPr>
                <w:rFonts w:ascii="Arial"/>
                <w:color w:val="auto"/>
                <w:sz w:val="21"/>
                <w:highlight w:val="none"/>
              </w:rPr>
            </w:pPr>
          </w:p>
          <w:p w14:paraId="4BB00E25">
            <w:pPr>
              <w:spacing w:line="245" w:lineRule="auto"/>
              <w:rPr>
                <w:rFonts w:ascii="Arial"/>
                <w:color w:val="auto"/>
                <w:sz w:val="21"/>
                <w:highlight w:val="none"/>
              </w:rPr>
            </w:pPr>
          </w:p>
          <w:p w14:paraId="33E7776F">
            <w:pPr>
              <w:spacing w:line="245" w:lineRule="auto"/>
              <w:rPr>
                <w:rFonts w:ascii="Arial"/>
                <w:color w:val="auto"/>
                <w:sz w:val="21"/>
                <w:highlight w:val="none"/>
              </w:rPr>
            </w:pPr>
          </w:p>
          <w:p w14:paraId="3D981B83">
            <w:pPr>
              <w:spacing w:line="245" w:lineRule="auto"/>
              <w:rPr>
                <w:rFonts w:ascii="Arial"/>
                <w:color w:val="auto"/>
                <w:sz w:val="21"/>
                <w:highlight w:val="none"/>
              </w:rPr>
            </w:pPr>
          </w:p>
          <w:p w14:paraId="1FA6A2AF">
            <w:pPr>
              <w:spacing w:line="245" w:lineRule="auto"/>
              <w:rPr>
                <w:rFonts w:ascii="Arial"/>
                <w:color w:val="auto"/>
                <w:sz w:val="21"/>
                <w:highlight w:val="none"/>
              </w:rPr>
            </w:pPr>
          </w:p>
          <w:p w14:paraId="4DEF3526">
            <w:pPr>
              <w:spacing w:line="245" w:lineRule="auto"/>
              <w:rPr>
                <w:rFonts w:ascii="Arial"/>
                <w:color w:val="auto"/>
                <w:sz w:val="21"/>
                <w:highlight w:val="none"/>
              </w:rPr>
            </w:pPr>
          </w:p>
          <w:p w14:paraId="0EF493E0">
            <w:pPr>
              <w:spacing w:line="245" w:lineRule="auto"/>
              <w:rPr>
                <w:rFonts w:ascii="Arial"/>
                <w:color w:val="auto"/>
                <w:sz w:val="21"/>
                <w:highlight w:val="none"/>
              </w:rPr>
            </w:pPr>
          </w:p>
          <w:p w14:paraId="2FD7495E">
            <w:pPr>
              <w:spacing w:line="245" w:lineRule="auto"/>
              <w:rPr>
                <w:rFonts w:ascii="Arial"/>
                <w:color w:val="auto"/>
                <w:sz w:val="21"/>
                <w:highlight w:val="none"/>
              </w:rPr>
            </w:pPr>
          </w:p>
          <w:p w14:paraId="0AE41537">
            <w:pPr>
              <w:spacing w:line="245" w:lineRule="auto"/>
              <w:rPr>
                <w:rFonts w:ascii="Arial"/>
                <w:color w:val="auto"/>
                <w:sz w:val="21"/>
                <w:highlight w:val="none"/>
              </w:rPr>
            </w:pPr>
          </w:p>
          <w:p w14:paraId="6559ADF3">
            <w:pPr>
              <w:spacing w:line="245" w:lineRule="auto"/>
              <w:rPr>
                <w:rFonts w:ascii="Arial"/>
                <w:color w:val="auto"/>
                <w:sz w:val="21"/>
                <w:highlight w:val="none"/>
              </w:rPr>
            </w:pPr>
          </w:p>
          <w:p w14:paraId="6C99FACD">
            <w:pPr>
              <w:spacing w:line="245" w:lineRule="auto"/>
              <w:rPr>
                <w:rFonts w:ascii="Arial"/>
                <w:color w:val="auto"/>
                <w:sz w:val="21"/>
                <w:highlight w:val="none"/>
              </w:rPr>
            </w:pPr>
          </w:p>
          <w:p w14:paraId="1365D4E8">
            <w:pPr>
              <w:spacing w:line="245" w:lineRule="auto"/>
              <w:rPr>
                <w:rFonts w:ascii="Arial"/>
                <w:color w:val="auto"/>
                <w:sz w:val="21"/>
                <w:highlight w:val="none"/>
              </w:rPr>
            </w:pPr>
          </w:p>
          <w:p w14:paraId="242D3A42">
            <w:pPr>
              <w:spacing w:line="245" w:lineRule="auto"/>
              <w:rPr>
                <w:rFonts w:ascii="Arial"/>
                <w:color w:val="auto"/>
                <w:sz w:val="21"/>
                <w:highlight w:val="none"/>
              </w:rPr>
            </w:pPr>
          </w:p>
          <w:p w14:paraId="6F5FA6C7">
            <w:pPr>
              <w:pStyle w:val="12"/>
              <w:spacing w:before="78"/>
              <w:ind w:left="218"/>
              <w:rPr>
                <w:color w:val="auto"/>
                <w:highlight w:val="none"/>
              </w:rPr>
            </w:pPr>
            <w:r>
              <w:rPr>
                <w:color w:val="auto"/>
                <w:spacing w:val="-8"/>
                <w:highlight w:val="none"/>
              </w:rPr>
              <w:t>36</w:t>
            </w:r>
          </w:p>
        </w:tc>
        <w:tc>
          <w:tcPr>
            <w:tcW w:w="1923" w:type="dxa"/>
            <w:vAlign w:val="top"/>
          </w:tcPr>
          <w:p w14:paraId="3BFCC78D">
            <w:pPr>
              <w:spacing w:line="245" w:lineRule="auto"/>
              <w:rPr>
                <w:rFonts w:ascii="Arial"/>
                <w:color w:val="auto"/>
                <w:sz w:val="21"/>
                <w:highlight w:val="none"/>
              </w:rPr>
            </w:pPr>
          </w:p>
          <w:p w14:paraId="76AD53F5">
            <w:pPr>
              <w:spacing w:line="245" w:lineRule="auto"/>
              <w:rPr>
                <w:rFonts w:ascii="Arial"/>
                <w:color w:val="auto"/>
                <w:sz w:val="21"/>
                <w:highlight w:val="none"/>
              </w:rPr>
            </w:pPr>
          </w:p>
          <w:p w14:paraId="2D5B5ACD">
            <w:pPr>
              <w:spacing w:line="245" w:lineRule="auto"/>
              <w:rPr>
                <w:rFonts w:ascii="Arial"/>
                <w:color w:val="auto"/>
                <w:sz w:val="21"/>
                <w:highlight w:val="none"/>
              </w:rPr>
            </w:pPr>
          </w:p>
          <w:p w14:paraId="0F13BBC2">
            <w:pPr>
              <w:spacing w:line="245" w:lineRule="auto"/>
              <w:rPr>
                <w:rFonts w:ascii="Arial"/>
                <w:color w:val="auto"/>
                <w:sz w:val="21"/>
                <w:highlight w:val="none"/>
              </w:rPr>
            </w:pPr>
          </w:p>
          <w:p w14:paraId="36926AE7">
            <w:pPr>
              <w:spacing w:line="245" w:lineRule="auto"/>
              <w:rPr>
                <w:rFonts w:ascii="Arial"/>
                <w:color w:val="auto"/>
                <w:sz w:val="21"/>
                <w:highlight w:val="none"/>
              </w:rPr>
            </w:pPr>
          </w:p>
          <w:p w14:paraId="2040167C">
            <w:pPr>
              <w:spacing w:line="245" w:lineRule="auto"/>
              <w:rPr>
                <w:rFonts w:ascii="Arial"/>
                <w:color w:val="auto"/>
                <w:sz w:val="21"/>
                <w:highlight w:val="none"/>
              </w:rPr>
            </w:pPr>
          </w:p>
          <w:p w14:paraId="43F0E63E">
            <w:pPr>
              <w:spacing w:line="245" w:lineRule="auto"/>
              <w:rPr>
                <w:rFonts w:ascii="Arial"/>
                <w:color w:val="auto"/>
                <w:sz w:val="21"/>
                <w:highlight w:val="none"/>
              </w:rPr>
            </w:pPr>
          </w:p>
          <w:p w14:paraId="0CBD9612">
            <w:pPr>
              <w:spacing w:line="245" w:lineRule="auto"/>
              <w:rPr>
                <w:rFonts w:ascii="Arial"/>
                <w:color w:val="auto"/>
                <w:sz w:val="21"/>
                <w:highlight w:val="none"/>
              </w:rPr>
            </w:pPr>
          </w:p>
          <w:p w14:paraId="2C08B2AC">
            <w:pPr>
              <w:spacing w:line="245" w:lineRule="auto"/>
              <w:rPr>
                <w:rFonts w:ascii="Arial"/>
                <w:color w:val="auto"/>
                <w:sz w:val="21"/>
                <w:highlight w:val="none"/>
              </w:rPr>
            </w:pPr>
          </w:p>
          <w:p w14:paraId="5AD0A58F">
            <w:pPr>
              <w:spacing w:line="245" w:lineRule="auto"/>
              <w:rPr>
                <w:rFonts w:ascii="Arial"/>
                <w:color w:val="auto"/>
                <w:sz w:val="21"/>
                <w:highlight w:val="none"/>
              </w:rPr>
            </w:pPr>
          </w:p>
          <w:p w14:paraId="43E8AE77">
            <w:pPr>
              <w:spacing w:line="245" w:lineRule="auto"/>
              <w:rPr>
                <w:rFonts w:ascii="Arial"/>
                <w:color w:val="auto"/>
                <w:sz w:val="21"/>
                <w:highlight w:val="none"/>
              </w:rPr>
            </w:pPr>
          </w:p>
          <w:p w14:paraId="4D7D411F">
            <w:pPr>
              <w:spacing w:line="245" w:lineRule="auto"/>
              <w:rPr>
                <w:rFonts w:ascii="Arial"/>
                <w:color w:val="auto"/>
                <w:sz w:val="21"/>
                <w:highlight w:val="none"/>
              </w:rPr>
            </w:pPr>
          </w:p>
          <w:p w14:paraId="3CC9EF15">
            <w:pPr>
              <w:spacing w:line="245" w:lineRule="auto"/>
              <w:rPr>
                <w:rFonts w:ascii="Arial"/>
                <w:color w:val="auto"/>
                <w:sz w:val="21"/>
                <w:highlight w:val="none"/>
              </w:rPr>
            </w:pPr>
          </w:p>
          <w:p w14:paraId="374E960B">
            <w:pPr>
              <w:spacing w:line="245" w:lineRule="auto"/>
              <w:rPr>
                <w:rFonts w:ascii="Arial"/>
                <w:color w:val="auto"/>
                <w:sz w:val="21"/>
                <w:highlight w:val="none"/>
              </w:rPr>
            </w:pPr>
          </w:p>
          <w:p w14:paraId="4CE9A8BC">
            <w:pPr>
              <w:spacing w:line="245" w:lineRule="auto"/>
              <w:rPr>
                <w:rFonts w:ascii="Arial"/>
                <w:color w:val="auto"/>
                <w:sz w:val="21"/>
                <w:highlight w:val="none"/>
              </w:rPr>
            </w:pPr>
          </w:p>
          <w:p w14:paraId="665E5CB9">
            <w:pPr>
              <w:spacing w:line="245" w:lineRule="auto"/>
              <w:rPr>
                <w:rFonts w:ascii="Arial"/>
                <w:color w:val="auto"/>
                <w:sz w:val="21"/>
                <w:highlight w:val="none"/>
              </w:rPr>
            </w:pPr>
          </w:p>
          <w:p w14:paraId="56381DE7">
            <w:pPr>
              <w:pStyle w:val="12"/>
              <w:spacing w:before="78" w:line="219" w:lineRule="auto"/>
              <w:ind w:left="125"/>
              <w:rPr>
                <w:color w:val="auto"/>
                <w:highlight w:val="none"/>
              </w:rPr>
            </w:pPr>
            <w:r>
              <w:rPr>
                <w:color w:val="auto"/>
                <w:spacing w:val="-2"/>
                <w:highlight w:val="none"/>
              </w:rPr>
              <w:t>供应商资格核验</w:t>
            </w:r>
          </w:p>
        </w:tc>
        <w:tc>
          <w:tcPr>
            <w:tcW w:w="7486" w:type="dxa"/>
            <w:vAlign w:val="top"/>
          </w:tcPr>
          <w:p w14:paraId="373776B4">
            <w:pPr>
              <w:pStyle w:val="12"/>
              <w:spacing w:before="165" w:line="354" w:lineRule="auto"/>
              <w:ind w:left="117" w:right="8" w:hanging="4"/>
              <w:jc w:val="both"/>
              <w:rPr>
                <w:color w:val="auto"/>
                <w:highlight w:val="none"/>
              </w:rPr>
            </w:pPr>
            <w:r>
              <w:rPr>
                <w:color w:val="auto"/>
                <w:spacing w:val="-3"/>
                <w:highlight w:val="none"/>
              </w:rPr>
              <w:t>供应商在中标后，应将由《许昌市建安区政府采购供应商信用承诺函》</w:t>
            </w:r>
            <w:r>
              <w:rPr>
                <w:color w:val="auto"/>
                <w:spacing w:val="1"/>
                <w:highlight w:val="none"/>
              </w:rPr>
              <w:t>替代的证明材料提交采购人核验，经核验无误后，采购人发出中标通</w:t>
            </w:r>
            <w:r>
              <w:rPr>
                <w:color w:val="auto"/>
                <w:spacing w:val="-5"/>
                <w:highlight w:val="none"/>
              </w:rPr>
              <w:t>知书。</w:t>
            </w:r>
          </w:p>
          <w:p w14:paraId="337848F3">
            <w:pPr>
              <w:pStyle w:val="12"/>
              <w:spacing w:line="219" w:lineRule="auto"/>
              <w:ind w:left="117"/>
              <w:rPr>
                <w:color w:val="auto"/>
                <w:highlight w:val="none"/>
              </w:rPr>
            </w:pPr>
            <w:r>
              <w:rPr>
                <w:b/>
                <w:bCs/>
                <w:color w:val="auto"/>
                <w:spacing w:val="-4"/>
                <w:highlight w:val="none"/>
              </w:rPr>
              <w:t>一、法人或者其他组织的营业执照等证明文件，</w:t>
            </w:r>
            <w:r>
              <w:rPr>
                <w:color w:val="auto"/>
                <w:spacing w:val="-65"/>
                <w:highlight w:val="none"/>
              </w:rPr>
              <w:t xml:space="preserve"> </w:t>
            </w:r>
            <w:r>
              <w:rPr>
                <w:b/>
                <w:bCs/>
                <w:color w:val="auto"/>
                <w:spacing w:val="-4"/>
                <w:highlight w:val="none"/>
              </w:rPr>
              <w:t>自然人的身份证明</w:t>
            </w:r>
          </w:p>
          <w:p w14:paraId="33332B37">
            <w:pPr>
              <w:pStyle w:val="12"/>
              <w:spacing w:before="172" w:line="219" w:lineRule="auto"/>
              <w:ind w:left="132"/>
              <w:rPr>
                <w:color w:val="auto"/>
                <w:highlight w:val="none"/>
              </w:rPr>
            </w:pPr>
            <w:r>
              <w:rPr>
                <w:rFonts w:ascii="Times New Roman" w:hAnsi="Times New Roman" w:eastAsia="Times New Roman" w:cs="Times New Roman"/>
                <w:color w:val="auto"/>
                <w:spacing w:val="-3"/>
                <w:highlight w:val="none"/>
              </w:rPr>
              <w:t>1</w:t>
            </w:r>
            <w:r>
              <w:rPr>
                <w:rFonts w:ascii="Times New Roman" w:hAnsi="Times New Roman" w:eastAsia="Times New Roman" w:cs="Times New Roman"/>
                <w:color w:val="auto"/>
                <w:spacing w:val="-18"/>
                <w:highlight w:val="none"/>
              </w:rPr>
              <w:t xml:space="preserve"> </w:t>
            </w:r>
            <w:r>
              <w:rPr>
                <w:color w:val="auto"/>
                <w:spacing w:val="-3"/>
                <w:highlight w:val="none"/>
              </w:rPr>
              <w:t>、企业法人营业执照或营业执照。（企业投标提供）</w:t>
            </w:r>
          </w:p>
          <w:p w14:paraId="0943B780">
            <w:pPr>
              <w:pStyle w:val="12"/>
              <w:spacing w:before="176" w:line="219" w:lineRule="auto"/>
              <w:ind w:left="109"/>
              <w:rPr>
                <w:color w:val="auto"/>
                <w:highlight w:val="none"/>
              </w:rPr>
            </w:pPr>
            <w:r>
              <w:rPr>
                <w:rFonts w:ascii="Times New Roman" w:hAnsi="Times New Roman" w:eastAsia="Times New Roman" w:cs="Times New Roman"/>
                <w:color w:val="auto"/>
                <w:spacing w:val="-2"/>
                <w:highlight w:val="none"/>
              </w:rPr>
              <w:t>2</w:t>
            </w:r>
            <w:r>
              <w:rPr>
                <w:rFonts w:ascii="Times New Roman" w:hAnsi="Times New Roman" w:eastAsia="Times New Roman" w:cs="Times New Roman"/>
                <w:color w:val="auto"/>
                <w:spacing w:val="-25"/>
                <w:highlight w:val="none"/>
              </w:rPr>
              <w:t xml:space="preserve"> </w:t>
            </w:r>
            <w:r>
              <w:rPr>
                <w:color w:val="auto"/>
                <w:spacing w:val="-2"/>
                <w:highlight w:val="none"/>
              </w:rPr>
              <w:t>、事业单位法人证书。（事业单位投标提供）</w:t>
            </w:r>
          </w:p>
          <w:p w14:paraId="77DB7A73">
            <w:pPr>
              <w:pStyle w:val="12"/>
              <w:spacing w:before="176" w:line="219" w:lineRule="auto"/>
              <w:ind w:left="113"/>
              <w:rPr>
                <w:color w:val="auto"/>
                <w:highlight w:val="none"/>
              </w:rPr>
            </w:pPr>
            <w:r>
              <w:rPr>
                <w:rFonts w:ascii="Times New Roman" w:hAnsi="Times New Roman" w:eastAsia="Times New Roman" w:cs="Times New Roman"/>
                <w:color w:val="auto"/>
                <w:spacing w:val="-2"/>
                <w:highlight w:val="none"/>
              </w:rPr>
              <w:t>3</w:t>
            </w:r>
            <w:r>
              <w:rPr>
                <w:rFonts w:ascii="Times New Roman" w:hAnsi="Times New Roman" w:eastAsia="Times New Roman" w:cs="Times New Roman"/>
                <w:color w:val="auto"/>
                <w:spacing w:val="-25"/>
                <w:highlight w:val="none"/>
              </w:rPr>
              <w:t xml:space="preserve"> </w:t>
            </w:r>
            <w:r>
              <w:rPr>
                <w:color w:val="auto"/>
                <w:spacing w:val="-2"/>
                <w:highlight w:val="none"/>
              </w:rPr>
              <w:t>、执业许可证。（非企业专业服务机构投标提供）</w:t>
            </w:r>
          </w:p>
          <w:p w14:paraId="1F42C9A3">
            <w:pPr>
              <w:pStyle w:val="12"/>
              <w:spacing w:before="173" w:line="219" w:lineRule="auto"/>
              <w:ind w:left="107"/>
              <w:rPr>
                <w:color w:val="auto"/>
                <w:highlight w:val="none"/>
              </w:rPr>
            </w:pPr>
            <w:r>
              <w:rPr>
                <w:rFonts w:ascii="Times New Roman" w:hAnsi="Times New Roman" w:eastAsia="Times New Roman" w:cs="Times New Roman"/>
                <w:color w:val="auto"/>
                <w:spacing w:val="-2"/>
                <w:highlight w:val="none"/>
              </w:rPr>
              <w:t>4</w:t>
            </w:r>
            <w:r>
              <w:rPr>
                <w:rFonts w:ascii="Times New Roman" w:hAnsi="Times New Roman" w:eastAsia="Times New Roman" w:cs="Times New Roman"/>
                <w:color w:val="auto"/>
                <w:spacing w:val="-19"/>
                <w:highlight w:val="none"/>
              </w:rPr>
              <w:t xml:space="preserve"> </w:t>
            </w:r>
            <w:r>
              <w:rPr>
                <w:color w:val="auto"/>
                <w:spacing w:val="-2"/>
                <w:highlight w:val="none"/>
              </w:rPr>
              <w:t>、个体工商户营业执照。（个体工商户投标提供）</w:t>
            </w:r>
          </w:p>
          <w:p w14:paraId="6CB97891">
            <w:pPr>
              <w:pStyle w:val="12"/>
              <w:spacing w:before="176" w:line="219" w:lineRule="auto"/>
              <w:ind w:left="115"/>
              <w:rPr>
                <w:color w:val="auto"/>
                <w:highlight w:val="none"/>
              </w:rPr>
            </w:pPr>
            <w:r>
              <w:rPr>
                <w:rFonts w:ascii="Times New Roman" w:hAnsi="Times New Roman" w:eastAsia="Times New Roman" w:cs="Times New Roman"/>
                <w:color w:val="auto"/>
                <w:spacing w:val="-5"/>
                <w:highlight w:val="none"/>
              </w:rPr>
              <w:t>5</w:t>
            </w:r>
            <w:r>
              <w:rPr>
                <w:rFonts w:ascii="Times New Roman" w:hAnsi="Times New Roman" w:eastAsia="Times New Roman" w:cs="Times New Roman"/>
                <w:color w:val="auto"/>
                <w:spacing w:val="-27"/>
                <w:highlight w:val="none"/>
              </w:rPr>
              <w:t xml:space="preserve"> </w:t>
            </w:r>
            <w:r>
              <w:rPr>
                <w:color w:val="auto"/>
                <w:spacing w:val="-5"/>
                <w:highlight w:val="none"/>
              </w:rPr>
              <w:t>、</w:t>
            </w:r>
            <w:r>
              <w:rPr>
                <w:color w:val="auto"/>
                <w:spacing w:val="-71"/>
                <w:highlight w:val="none"/>
              </w:rPr>
              <w:t xml:space="preserve"> </w:t>
            </w:r>
            <w:r>
              <w:rPr>
                <w:color w:val="auto"/>
                <w:spacing w:val="-5"/>
                <w:highlight w:val="none"/>
              </w:rPr>
              <w:t>自然人身份证明。（自然人投标提供）</w:t>
            </w:r>
          </w:p>
          <w:p w14:paraId="41F3A5CB">
            <w:pPr>
              <w:pStyle w:val="12"/>
              <w:spacing w:before="176" w:line="219" w:lineRule="auto"/>
              <w:ind w:left="114"/>
              <w:rPr>
                <w:color w:val="auto"/>
                <w:highlight w:val="none"/>
              </w:rPr>
            </w:pPr>
            <w:r>
              <w:rPr>
                <w:rFonts w:ascii="Times New Roman" w:hAnsi="Times New Roman" w:eastAsia="Times New Roman" w:cs="Times New Roman"/>
                <w:color w:val="auto"/>
                <w:spacing w:val="-2"/>
                <w:highlight w:val="none"/>
              </w:rPr>
              <w:t>6</w:t>
            </w:r>
            <w:r>
              <w:rPr>
                <w:rFonts w:ascii="Times New Roman" w:hAnsi="Times New Roman" w:eastAsia="Times New Roman" w:cs="Times New Roman"/>
                <w:color w:val="auto"/>
                <w:spacing w:val="-18"/>
                <w:highlight w:val="none"/>
              </w:rPr>
              <w:t xml:space="preserve"> </w:t>
            </w:r>
            <w:r>
              <w:rPr>
                <w:color w:val="auto"/>
                <w:spacing w:val="-2"/>
                <w:highlight w:val="none"/>
              </w:rPr>
              <w:t>、民办非企业单位登记证书。（民办非企业单位投标提供）</w:t>
            </w:r>
          </w:p>
          <w:p w14:paraId="38765F1F">
            <w:pPr>
              <w:pStyle w:val="12"/>
              <w:spacing w:before="175" w:line="218" w:lineRule="auto"/>
              <w:ind w:left="117"/>
              <w:rPr>
                <w:color w:val="auto"/>
                <w:highlight w:val="none"/>
              </w:rPr>
            </w:pPr>
            <w:r>
              <w:rPr>
                <w:b/>
                <w:bCs/>
                <w:color w:val="auto"/>
                <w:spacing w:val="-3"/>
                <w:highlight w:val="none"/>
              </w:rPr>
              <w:t>二、财务状况报告相关材料</w:t>
            </w:r>
          </w:p>
          <w:p w14:paraId="4B0F8B61">
            <w:pPr>
              <w:pStyle w:val="12"/>
              <w:spacing w:before="176" w:line="354" w:lineRule="auto"/>
              <w:ind w:left="112" w:right="114" w:firstLine="19"/>
              <w:rPr>
                <w:color w:val="auto"/>
                <w:highlight w:val="none"/>
              </w:rPr>
            </w:pPr>
            <w:r>
              <w:rPr>
                <w:rFonts w:ascii="Times New Roman" w:hAnsi="Times New Roman" w:eastAsia="Times New Roman" w:cs="Times New Roman"/>
                <w:color w:val="auto"/>
                <w:spacing w:val="-4"/>
                <w:highlight w:val="none"/>
              </w:rPr>
              <w:t>1</w:t>
            </w:r>
            <w:r>
              <w:rPr>
                <w:rFonts w:ascii="Times New Roman" w:hAnsi="Times New Roman" w:eastAsia="Times New Roman" w:cs="Times New Roman"/>
                <w:color w:val="auto"/>
                <w:spacing w:val="-23"/>
                <w:highlight w:val="none"/>
              </w:rPr>
              <w:t xml:space="preserve"> </w:t>
            </w:r>
            <w:r>
              <w:rPr>
                <w:color w:val="auto"/>
                <w:spacing w:val="-4"/>
                <w:highlight w:val="none"/>
              </w:rPr>
              <w:t>、供应商是法人（法人包括企业法人、机关法人、事业单位法人和社</w:t>
            </w:r>
            <w:r>
              <w:rPr>
                <w:color w:val="auto"/>
                <w:spacing w:val="-2"/>
                <w:highlight w:val="none"/>
              </w:rPr>
              <w:t>会团体法人</w:t>
            </w:r>
            <w:r>
              <w:rPr>
                <w:color w:val="auto"/>
                <w:spacing w:val="6"/>
                <w:highlight w:val="none"/>
              </w:rPr>
              <w:t>），</w:t>
            </w:r>
            <w:r>
              <w:rPr>
                <w:color w:val="auto"/>
                <w:spacing w:val="-2"/>
                <w:highlight w:val="none"/>
              </w:rPr>
              <w:t>提供本单位：</w:t>
            </w:r>
          </w:p>
          <w:p w14:paraId="6E4935C4">
            <w:pPr>
              <w:pStyle w:val="12"/>
              <w:spacing w:before="1" w:line="354" w:lineRule="auto"/>
              <w:ind w:left="112" w:right="105"/>
              <w:rPr>
                <w:color w:val="auto"/>
                <w:highlight w:val="none"/>
              </w:rPr>
            </w:pPr>
            <w:r>
              <w:rPr>
                <w:color w:val="auto"/>
                <w:spacing w:val="2"/>
                <w:highlight w:val="none"/>
              </w:rPr>
              <w:t>①2025年度经审计的财务报告，包括资产负债表、利润表、现金</w:t>
            </w:r>
            <w:r>
              <w:rPr>
                <w:color w:val="auto"/>
                <w:spacing w:val="1"/>
                <w:highlight w:val="none"/>
              </w:rPr>
              <w:t>流量</w:t>
            </w:r>
            <w:r>
              <w:rPr>
                <w:color w:val="auto"/>
                <w:spacing w:val="-1"/>
                <w:highlight w:val="none"/>
              </w:rPr>
              <w:t>表、所有者权益变动表及其附注；</w:t>
            </w:r>
          </w:p>
          <w:p w14:paraId="6619E682">
            <w:pPr>
              <w:pStyle w:val="12"/>
              <w:spacing w:line="217" w:lineRule="auto"/>
              <w:ind w:left="111"/>
              <w:rPr>
                <w:color w:val="auto"/>
                <w:highlight w:val="none"/>
              </w:rPr>
            </w:pPr>
            <w:r>
              <w:rPr>
                <w:color w:val="auto"/>
                <w:spacing w:val="-1"/>
                <w:highlight w:val="none"/>
              </w:rPr>
              <w:t>②基本开户银行出具的资信证明；</w:t>
            </w:r>
          </w:p>
          <w:p w14:paraId="327553FA">
            <w:pPr>
              <w:pStyle w:val="12"/>
              <w:spacing w:before="178" w:line="292" w:lineRule="auto"/>
              <w:ind w:left="132" w:right="105" w:hanging="21"/>
              <w:rPr>
                <w:color w:val="auto"/>
                <w:highlight w:val="none"/>
              </w:rPr>
            </w:pPr>
            <w:r>
              <w:rPr>
                <w:color w:val="auto"/>
                <w:spacing w:val="2"/>
                <w:highlight w:val="none"/>
              </w:rPr>
              <w:t>③财政部门认可的政府采购专业担保机构的证明文件和担保机构出具</w:t>
            </w:r>
            <w:r>
              <w:rPr>
                <w:color w:val="auto"/>
                <w:spacing w:val="-5"/>
                <w:highlight w:val="none"/>
              </w:rPr>
              <w:t>的投标担保函。</w:t>
            </w:r>
          </w:p>
        </w:tc>
      </w:tr>
    </w:tbl>
    <w:p w14:paraId="1534C9F4">
      <w:pPr>
        <w:pStyle w:val="5"/>
        <w:spacing w:line="97" w:lineRule="exact"/>
        <w:rPr>
          <w:color w:val="auto"/>
          <w:sz w:val="8"/>
          <w:highlight w:val="none"/>
        </w:rPr>
      </w:pPr>
    </w:p>
    <w:p w14:paraId="4A77487F">
      <w:pPr>
        <w:spacing w:line="97" w:lineRule="exact"/>
        <w:rPr>
          <w:color w:val="auto"/>
          <w:sz w:val="8"/>
          <w:szCs w:val="8"/>
          <w:highlight w:val="none"/>
        </w:rPr>
        <w:sectPr>
          <w:footerReference r:id="rId12" w:type="default"/>
          <w:pgSz w:w="11906" w:h="16839"/>
          <w:pgMar w:top="1431" w:right="916" w:bottom="1443" w:left="923" w:header="0" w:footer="1202" w:gutter="0"/>
          <w:pgNumType w:fmt="decimal"/>
          <w:cols w:space="720" w:num="1"/>
        </w:sectPr>
      </w:pPr>
    </w:p>
    <w:p w14:paraId="42E3FA4D">
      <w:pPr>
        <w:spacing w:line="91" w:lineRule="auto"/>
        <w:rPr>
          <w:rFonts w:ascii="Arial"/>
          <w:color w:val="auto"/>
          <w:sz w:val="2"/>
          <w:highlight w:val="none"/>
        </w:rPr>
      </w:pPr>
    </w:p>
    <w:tbl>
      <w:tblPr>
        <w:tblStyle w:val="11"/>
        <w:tblW w:w="100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923"/>
        <w:gridCol w:w="7478"/>
      </w:tblGrid>
      <w:tr w14:paraId="5E071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17" w:hRule="atLeast"/>
        </w:trPr>
        <w:tc>
          <w:tcPr>
            <w:tcW w:w="652" w:type="dxa"/>
            <w:vAlign w:val="top"/>
          </w:tcPr>
          <w:p w14:paraId="369BC8DC">
            <w:pPr>
              <w:rPr>
                <w:rFonts w:ascii="Arial"/>
                <w:color w:val="auto"/>
                <w:sz w:val="21"/>
                <w:highlight w:val="none"/>
              </w:rPr>
            </w:pPr>
          </w:p>
        </w:tc>
        <w:tc>
          <w:tcPr>
            <w:tcW w:w="1923" w:type="dxa"/>
            <w:vAlign w:val="top"/>
          </w:tcPr>
          <w:p w14:paraId="4871A5E4">
            <w:pPr>
              <w:rPr>
                <w:rFonts w:ascii="Arial"/>
                <w:color w:val="auto"/>
                <w:sz w:val="21"/>
                <w:highlight w:val="none"/>
              </w:rPr>
            </w:pPr>
          </w:p>
        </w:tc>
        <w:tc>
          <w:tcPr>
            <w:tcW w:w="7478" w:type="dxa"/>
            <w:vAlign w:val="top"/>
          </w:tcPr>
          <w:p w14:paraId="79709D0F">
            <w:pPr>
              <w:pStyle w:val="12"/>
              <w:spacing w:before="166" w:line="217" w:lineRule="auto"/>
              <w:ind w:left="113"/>
              <w:rPr>
                <w:color w:val="auto"/>
                <w:highlight w:val="none"/>
              </w:rPr>
            </w:pPr>
            <w:r>
              <w:rPr>
                <w:color w:val="auto"/>
                <w:spacing w:val="6"/>
                <w:highlight w:val="none"/>
              </w:rPr>
              <w:t>注：仅需提供序号①~③其中之一即可。</w:t>
            </w:r>
          </w:p>
          <w:p w14:paraId="2A94577F">
            <w:pPr>
              <w:pStyle w:val="12"/>
              <w:spacing w:before="177" w:line="219" w:lineRule="auto"/>
              <w:ind w:left="116"/>
              <w:rPr>
                <w:color w:val="auto"/>
                <w:highlight w:val="none"/>
              </w:rPr>
            </w:pPr>
            <w:r>
              <w:rPr>
                <w:color w:val="auto"/>
                <w:spacing w:val="-1"/>
                <w:highlight w:val="none"/>
              </w:rPr>
              <w:t>2、供应商（其他组织和自然人）提供本单位：</w:t>
            </w:r>
          </w:p>
          <w:p w14:paraId="3D3B72D8">
            <w:pPr>
              <w:pStyle w:val="12"/>
              <w:spacing w:before="175" w:line="354" w:lineRule="auto"/>
              <w:ind w:left="112" w:right="97"/>
              <w:rPr>
                <w:color w:val="auto"/>
                <w:highlight w:val="none"/>
              </w:rPr>
            </w:pPr>
            <w:r>
              <w:rPr>
                <w:color w:val="auto"/>
                <w:spacing w:val="2"/>
                <w:highlight w:val="none"/>
              </w:rPr>
              <w:t>①2025年度经审计的财务报告，包括资产负债表、利润表、现金</w:t>
            </w:r>
            <w:r>
              <w:rPr>
                <w:color w:val="auto"/>
                <w:spacing w:val="1"/>
                <w:highlight w:val="none"/>
              </w:rPr>
              <w:t>流量</w:t>
            </w:r>
            <w:r>
              <w:rPr>
                <w:color w:val="auto"/>
                <w:spacing w:val="-1"/>
                <w:highlight w:val="none"/>
              </w:rPr>
              <w:t>表、所有者权益变动表及其附注；</w:t>
            </w:r>
          </w:p>
          <w:p w14:paraId="3DF3434C">
            <w:pPr>
              <w:pStyle w:val="12"/>
              <w:spacing w:line="217" w:lineRule="auto"/>
              <w:ind w:left="111"/>
              <w:rPr>
                <w:color w:val="auto"/>
                <w:highlight w:val="none"/>
              </w:rPr>
            </w:pPr>
            <w:r>
              <w:rPr>
                <w:color w:val="auto"/>
                <w:spacing w:val="-1"/>
                <w:highlight w:val="none"/>
              </w:rPr>
              <w:t>②银行出具的资信证明；</w:t>
            </w:r>
          </w:p>
          <w:p w14:paraId="4651EBCC">
            <w:pPr>
              <w:pStyle w:val="12"/>
              <w:spacing w:before="177" w:line="354" w:lineRule="auto"/>
              <w:ind w:left="132" w:right="106" w:hanging="21"/>
              <w:rPr>
                <w:color w:val="auto"/>
                <w:highlight w:val="none"/>
              </w:rPr>
            </w:pPr>
            <w:r>
              <w:rPr>
                <w:color w:val="auto"/>
                <w:spacing w:val="2"/>
                <w:highlight w:val="none"/>
              </w:rPr>
              <w:t>③财政部门认可的政府采购专业担保机构的证明文件</w:t>
            </w:r>
            <w:r>
              <w:rPr>
                <w:color w:val="auto"/>
                <w:spacing w:val="1"/>
                <w:highlight w:val="none"/>
              </w:rPr>
              <w:t>和担保机构出具</w:t>
            </w:r>
            <w:r>
              <w:rPr>
                <w:color w:val="auto"/>
                <w:spacing w:val="-5"/>
                <w:highlight w:val="none"/>
              </w:rPr>
              <w:t>的投标担保函。</w:t>
            </w:r>
          </w:p>
          <w:p w14:paraId="1B0C49EE">
            <w:pPr>
              <w:pStyle w:val="12"/>
              <w:spacing w:line="217" w:lineRule="auto"/>
              <w:ind w:left="233"/>
              <w:rPr>
                <w:color w:val="auto"/>
                <w:highlight w:val="none"/>
              </w:rPr>
            </w:pPr>
            <w:r>
              <w:rPr>
                <w:color w:val="auto"/>
                <w:spacing w:val="6"/>
                <w:highlight w:val="none"/>
              </w:rPr>
              <w:t>注：仅需提供序号①~③其中之一即可。</w:t>
            </w:r>
          </w:p>
          <w:p w14:paraId="0C1427AF">
            <w:pPr>
              <w:pStyle w:val="12"/>
              <w:spacing w:before="178" w:line="219" w:lineRule="auto"/>
              <w:ind w:left="113"/>
              <w:rPr>
                <w:color w:val="auto"/>
                <w:highlight w:val="none"/>
              </w:rPr>
            </w:pPr>
            <w:r>
              <w:rPr>
                <w:b/>
                <w:bCs/>
                <w:color w:val="auto"/>
                <w:spacing w:val="-3"/>
                <w:highlight w:val="none"/>
              </w:rPr>
              <w:t>三、依法缴纳税收相关材料</w:t>
            </w:r>
          </w:p>
          <w:p w14:paraId="726416F3">
            <w:pPr>
              <w:pStyle w:val="12"/>
              <w:spacing w:before="176" w:line="354" w:lineRule="auto"/>
              <w:ind w:left="112" w:right="109" w:firstLine="2"/>
              <w:rPr>
                <w:color w:val="auto"/>
                <w:highlight w:val="none"/>
              </w:rPr>
            </w:pPr>
            <w:r>
              <w:rPr>
                <w:color w:val="auto"/>
                <w:spacing w:val="1"/>
                <w:highlight w:val="none"/>
              </w:rPr>
              <w:t>参加本次政府采购项目投标截止时间前一年内任意一个月缴纳税收凭</w:t>
            </w:r>
            <w:r>
              <w:rPr>
                <w:color w:val="auto"/>
                <w:spacing w:val="-1"/>
                <w:highlight w:val="none"/>
              </w:rPr>
              <w:t>据。（依法免税的供应商，应提供相应文件证明依法免税）</w:t>
            </w:r>
          </w:p>
          <w:p w14:paraId="5E706123">
            <w:pPr>
              <w:pStyle w:val="12"/>
              <w:spacing w:before="1" w:line="218" w:lineRule="auto"/>
              <w:ind w:left="135"/>
              <w:rPr>
                <w:color w:val="auto"/>
                <w:highlight w:val="none"/>
              </w:rPr>
            </w:pPr>
            <w:r>
              <w:rPr>
                <w:b/>
                <w:bCs/>
                <w:color w:val="auto"/>
                <w:spacing w:val="-4"/>
                <w:highlight w:val="none"/>
              </w:rPr>
              <w:t>四、依法缴纳社会保障资金的证明材料</w:t>
            </w:r>
          </w:p>
          <w:p w14:paraId="08CC0C20">
            <w:pPr>
              <w:pStyle w:val="12"/>
              <w:spacing w:before="173" w:line="354" w:lineRule="auto"/>
              <w:ind w:left="113" w:right="109" w:firstLine="1"/>
              <w:jc w:val="both"/>
              <w:rPr>
                <w:color w:val="auto"/>
                <w:highlight w:val="none"/>
              </w:rPr>
            </w:pPr>
            <w:r>
              <w:rPr>
                <w:color w:val="auto"/>
                <w:spacing w:val="1"/>
                <w:highlight w:val="none"/>
              </w:rPr>
              <w:t>参加本次政府采购项目投标截止时间前一年内任意一个月缴纳社会保</w:t>
            </w:r>
            <w:r>
              <w:rPr>
                <w:color w:val="auto"/>
                <w:spacing w:val="2"/>
                <w:highlight w:val="none"/>
              </w:rPr>
              <w:t>险凭据。（依法不需要缴纳社会保障资金的</w:t>
            </w:r>
            <w:r>
              <w:rPr>
                <w:color w:val="auto"/>
                <w:spacing w:val="1"/>
                <w:highlight w:val="none"/>
              </w:rPr>
              <w:t>供应商，应提供相应文件</w:t>
            </w:r>
            <w:r>
              <w:rPr>
                <w:color w:val="auto"/>
                <w:spacing w:val="-1"/>
                <w:highlight w:val="none"/>
              </w:rPr>
              <w:t>证明依法不需要缴纳社会保障资金）</w:t>
            </w:r>
          </w:p>
          <w:p w14:paraId="47EE8C91">
            <w:pPr>
              <w:pStyle w:val="12"/>
              <w:spacing w:before="1" w:line="218" w:lineRule="auto"/>
              <w:ind w:left="117"/>
              <w:rPr>
                <w:color w:val="auto"/>
                <w:highlight w:val="none"/>
              </w:rPr>
            </w:pPr>
            <w:r>
              <w:rPr>
                <w:b/>
                <w:bCs/>
                <w:color w:val="auto"/>
                <w:spacing w:val="-3"/>
                <w:highlight w:val="none"/>
              </w:rPr>
              <w:t>五、履行合同所必需的设备和专业技术能力的证明材料</w:t>
            </w:r>
          </w:p>
          <w:p w14:paraId="443B4ED8">
            <w:pPr>
              <w:pStyle w:val="12"/>
              <w:spacing w:before="176" w:line="219" w:lineRule="auto"/>
              <w:ind w:left="132"/>
              <w:rPr>
                <w:color w:val="auto"/>
                <w:highlight w:val="none"/>
              </w:rPr>
            </w:pPr>
            <w:r>
              <w:rPr>
                <w:rFonts w:ascii="Times New Roman" w:hAnsi="Times New Roman" w:eastAsia="Times New Roman" w:cs="Times New Roman"/>
                <w:color w:val="auto"/>
                <w:spacing w:val="-2"/>
                <w:highlight w:val="none"/>
              </w:rPr>
              <w:t>1</w:t>
            </w:r>
            <w:r>
              <w:rPr>
                <w:rFonts w:ascii="Times New Roman" w:hAnsi="Times New Roman" w:eastAsia="Times New Roman" w:cs="Times New Roman"/>
                <w:color w:val="auto"/>
                <w:spacing w:val="-32"/>
                <w:highlight w:val="none"/>
              </w:rPr>
              <w:t xml:space="preserve"> </w:t>
            </w:r>
            <w:r>
              <w:rPr>
                <w:color w:val="auto"/>
                <w:spacing w:val="-2"/>
                <w:highlight w:val="none"/>
              </w:rPr>
              <w:t>、相关设备的购置发票、专业技术人员职称证书、用工合同等；</w:t>
            </w:r>
          </w:p>
          <w:p w14:paraId="45589825">
            <w:pPr>
              <w:pStyle w:val="12"/>
              <w:spacing w:before="176" w:line="354" w:lineRule="auto"/>
              <w:ind w:left="124" w:right="109" w:hanging="15"/>
              <w:rPr>
                <w:color w:val="auto"/>
                <w:highlight w:val="none"/>
              </w:rPr>
            </w:pPr>
            <w:r>
              <w:rPr>
                <w:rFonts w:ascii="Times New Roman" w:hAnsi="Times New Roman" w:eastAsia="Times New Roman" w:cs="Times New Roman"/>
                <w:color w:val="auto"/>
                <w:spacing w:val="5"/>
                <w:highlight w:val="none"/>
              </w:rPr>
              <w:t>2</w:t>
            </w:r>
            <w:r>
              <w:rPr>
                <w:rFonts w:ascii="Times New Roman" w:hAnsi="Times New Roman" w:eastAsia="Times New Roman" w:cs="Times New Roman"/>
                <w:color w:val="auto"/>
                <w:spacing w:val="-27"/>
                <w:highlight w:val="none"/>
              </w:rPr>
              <w:t xml:space="preserve"> </w:t>
            </w:r>
            <w:r>
              <w:rPr>
                <w:color w:val="auto"/>
                <w:spacing w:val="5"/>
                <w:highlight w:val="none"/>
              </w:rPr>
              <w:t>、供应商具备履行合同所必需的设备和专业</w:t>
            </w:r>
            <w:r>
              <w:rPr>
                <w:color w:val="auto"/>
                <w:spacing w:val="4"/>
                <w:highlight w:val="none"/>
              </w:rPr>
              <w:t>技术能力承诺函或声明</w:t>
            </w:r>
            <w:r>
              <w:rPr>
                <w:color w:val="auto"/>
                <w:spacing w:val="-2"/>
                <w:highlight w:val="none"/>
              </w:rPr>
              <w:t>（承诺函或声明格式自拟）。</w:t>
            </w:r>
          </w:p>
          <w:p w14:paraId="67CA401F">
            <w:pPr>
              <w:pStyle w:val="12"/>
              <w:spacing w:line="218" w:lineRule="auto"/>
              <w:ind w:left="113"/>
              <w:rPr>
                <w:color w:val="auto"/>
                <w:highlight w:val="none"/>
              </w:rPr>
            </w:pPr>
            <w:r>
              <w:rPr>
                <w:color w:val="auto"/>
                <w:spacing w:val="-1"/>
                <w:highlight w:val="none"/>
              </w:rPr>
              <w:t>注：仅需提供序号</w:t>
            </w:r>
            <w:r>
              <w:rPr>
                <w:rFonts w:ascii="Times New Roman" w:hAnsi="Times New Roman" w:eastAsia="Times New Roman" w:cs="Times New Roman"/>
                <w:color w:val="auto"/>
                <w:spacing w:val="-1"/>
                <w:highlight w:val="none"/>
              </w:rPr>
              <w:t>1</w:t>
            </w:r>
            <w:r>
              <w:rPr>
                <w:color w:val="auto"/>
                <w:spacing w:val="-1"/>
                <w:highlight w:val="none"/>
              </w:rPr>
              <w:t>～</w:t>
            </w:r>
            <w:r>
              <w:rPr>
                <w:rFonts w:ascii="Times New Roman" w:hAnsi="Times New Roman" w:eastAsia="Times New Roman" w:cs="Times New Roman"/>
                <w:color w:val="auto"/>
                <w:spacing w:val="-1"/>
                <w:highlight w:val="none"/>
              </w:rPr>
              <w:t>2</w:t>
            </w:r>
            <w:r>
              <w:rPr>
                <w:color w:val="auto"/>
                <w:spacing w:val="-1"/>
                <w:highlight w:val="none"/>
              </w:rPr>
              <w:t>其中之一即可。</w:t>
            </w:r>
          </w:p>
          <w:p w14:paraId="59687C08">
            <w:pPr>
              <w:pStyle w:val="12"/>
              <w:spacing w:before="175" w:line="354" w:lineRule="auto"/>
              <w:ind w:left="113" w:right="109" w:firstLine="1"/>
              <w:jc w:val="both"/>
              <w:rPr>
                <w:color w:val="auto"/>
                <w:highlight w:val="none"/>
              </w:rPr>
            </w:pPr>
            <w:r>
              <w:rPr>
                <w:b/>
                <w:bCs/>
                <w:color w:val="auto"/>
                <w:spacing w:val="-5"/>
                <w:highlight w:val="none"/>
              </w:rPr>
              <w:t>六、参加政府采购活动前</w:t>
            </w:r>
            <w:r>
              <w:rPr>
                <w:rFonts w:ascii="Times New Roman" w:hAnsi="Times New Roman" w:eastAsia="Times New Roman" w:cs="Times New Roman"/>
                <w:b/>
                <w:bCs/>
                <w:color w:val="auto"/>
                <w:spacing w:val="-5"/>
                <w:highlight w:val="none"/>
              </w:rPr>
              <w:t>3</w:t>
            </w:r>
            <w:r>
              <w:rPr>
                <w:b/>
                <w:bCs/>
                <w:color w:val="auto"/>
                <w:spacing w:val="-5"/>
                <w:highlight w:val="none"/>
              </w:rPr>
              <w:t>年内在经营活动中没有重大违法记录的声明供应商“参加政府采购活动前</w:t>
            </w:r>
            <w:r>
              <w:rPr>
                <w:rFonts w:ascii="Times New Roman" w:hAnsi="Times New Roman" w:eastAsia="Times New Roman" w:cs="Times New Roman"/>
                <w:b/>
                <w:bCs/>
                <w:color w:val="auto"/>
                <w:spacing w:val="-5"/>
                <w:highlight w:val="none"/>
              </w:rPr>
              <w:t>3</w:t>
            </w:r>
            <w:r>
              <w:rPr>
                <w:b/>
                <w:bCs/>
                <w:color w:val="auto"/>
                <w:spacing w:val="-5"/>
                <w:highlight w:val="none"/>
              </w:rPr>
              <w:t>年内在经营活动中没有重大违法记录的</w:t>
            </w:r>
            <w:r>
              <w:rPr>
                <w:b/>
                <w:bCs/>
                <w:color w:val="auto"/>
                <w:spacing w:val="-4"/>
                <w:highlight w:val="none"/>
              </w:rPr>
              <w:t>书面声明</w:t>
            </w:r>
            <w:r>
              <w:rPr>
                <w:color w:val="auto"/>
                <w:spacing w:val="-82"/>
                <w:highlight w:val="none"/>
              </w:rPr>
              <w:t xml:space="preserve"> </w:t>
            </w:r>
            <w:r>
              <w:rPr>
                <w:b/>
                <w:bCs/>
                <w:color w:val="auto"/>
                <w:spacing w:val="-4"/>
                <w:highlight w:val="none"/>
              </w:rPr>
              <w:t>”。</w:t>
            </w:r>
            <w:r>
              <w:rPr>
                <w:color w:val="auto"/>
                <w:spacing w:val="-4"/>
                <w:highlight w:val="none"/>
              </w:rPr>
              <w:t xml:space="preserve"> 重大违法记录，是指供应商因违法经营受到刑事处罚或</w:t>
            </w:r>
            <w:r>
              <w:rPr>
                <w:color w:val="auto"/>
                <w:highlight w:val="none"/>
              </w:rPr>
              <w:t>者责令停产停业、吊销许可证或者执照、较</w:t>
            </w:r>
            <w:r>
              <w:rPr>
                <w:color w:val="auto"/>
                <w:spacing w:val="-1"/>
                <w:highlight w:val="none"/>
              </w:rPr>
              <w:t>大数额罚款等行政处罚。</w:t>
            </w:r>
          </w:p>
          <w:p w14:paraId="66A7FB31">
            <w:pPr>
              <w:pStyle w:val="12"/>
              <w:spacing w:before="4" w:line="351" w:lineRule="auto"/>
              <w:ind w:left="101" w:firstLine="10"/>
              <w:jc w:val="both"/>
              <w:rPr>
                <w:color w:val="auto"/>
                <w:highlight w:val="none"/>
              </w:rPr>
            </w:pPr>
            <w:r>
              <w:rPr>
                <w:b/>
                <w:bCs/>
                <w:color w:val="auto"/>
                <w:spacing w:val="-3"/>
                <w:highlight w:val="none"/>
              </w:rPr>
              <w:t>七、未被列入“信用中国”网站（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ascii="Times New Roman" w:hAnsi="Times New Roman" w:eastAsia="Times New Roman" w:cs="Times New Roman"/>
                <w:b/>
                <w:bCs/>
                <w:color w:val="auto"/>
                <w:spacing w:val="-3"/>
                <w:highlight w:val="none"/>
              </w:rPr>
              <w:t>www.creditchina.gov.cn/</w:t>
            </w:r>
            <w:r>
              <w:rPr>
                <w:rFonts w:ascii="Times New Roman" w:hAnsi="Times New Roman" w:eastAsia="Times New Roman" w:cs="Times New Roman"/>
                <w:b/>
                <w:bCs/>
                <w:color w:val="auto"/>
                <w:spacing w:val="-3"/>
                <w:highlight w:val="none"/>
              </w:rPr>
              <w:fldChar w:fldCharType="end"/>
            </w:r>
            <w:r>
              <w:rPr>
                <w:b/>
                <w:bCs/>
                <w:color w:val="auto"/>
                <w:spacing w:val="-3"/>
                <w:highlight w:val="none"/>
              </w:rPr>
              <w:t>）</w:t>
            </w:r>
            <w:r>
              <w:rPr>
                <w:b/>
                <w:bCs/>
                <w:color w:val="auto"/>
                <w:spacing w:val="-4"/>
                <w:highlight w:val="none"/>
              </w:rPr>
              <w:t>失信被执</w:t>
            </w:r>
            <w:r>
              <w:rPr>
                <w:b/>
                <w:bCs/>
                <w:color w:val="auto"/>
                <w:spacing w:val="17"/>
                <w:highlight w:val="none"/>
              </w:rPr>
              <w:t>行人</w:t>
            </w:r>
            <w:r>
              <w:rPr>
                <w:color w:val="auto"/>
                <w:spacing w:val="-65"/>
                <w:highlight w:val="none"/>
              </w:rPr>
              <w:t xml:space="preserve"> </w:t>
            </w:r>
            <w:r>
              <w:rPr>
                <w:b/>
                <w:bCs/>
                <w:color w:val="auto"/>
                <w:spacing w:val="17"/>
                <w:highlight w:val="none"/>
              </w:rPr>
              <w:t>、重大税收违法失信主体</w:t>
            </w:r>
            <w:r>
              <w:rPr>
                <w:color w:val="auto"/>
                <w:spacing w:val="-60"/>
                <w:highlight w:val="none"/>
              </w:rPr>
              <w:t xml:space="preserve"> </w:t>
            </w:r>
            <w:r>
              <w:rPr>
                <w:b/>
                <w:bCs/>
                <w:color w:val="auto"/>
                <w:spacing w:val="17"/>
                <w:highlight w:val="none"/>
              </w:rPr>
              <w:t>的投标人；</w:t>
            </w:r>
            <w:r>
              <w:rPr>
                <w:color w:val="auto"/>
                <w:spacing w:val="-60"/>
                <w:highlight w:val="none"/>
              </w:rPr>
              <w:t xml:space="preserve"> </w:t>
            </w:r>
            <w:r>
              <w:rPr>
                <w:b/>
                <w:bCs/>
                <w:color w:val="auto"/>
                <w:spacing w:val="17"/>
                <w:highlight w:val="none"/>
              </w:rPr>
              <w:t>“</w:t>
            </w:r>
            <w:r>
              <w:rPr>
                <w:color w:val="auto"/>
                <w:spacing w:val="-57"/>
                <w:highlight w:val="none"/>
              </w:rPr>
              <w:t xml:space="preserve"> </w:t>
            </w:r>
            <w:r>
              <w:rPr>
                <w:b/>
                <w:bCs/>
                <w:color w:val="auto"/>
                <w:spacing w:val="17"/>
                <w:highlight w:val="none"/>
              </w:rPr>
              <w:t>中</w:t>
            </w:r>
            <w:r>
              <w:rPr>
                <w:color w:val="auto"/>
                <w:spacing w:val="-56"/>
                <w:highlight w:val="none"/>
              </w:rPr>
              <w:t xml:space="preserve"> </w:t>
            </w:r>
            <w:r>
              <w:rPr>
                <w:b/>
                <w:bCs/>
                <w:color w:val="auto"/>
                <w:spacing w:val="17"/>
                <w:highlight w:val="none"/>
              </w:rPr>
              <w:t>国政府采购网</w:t>
            </w:r>
            <w:r>
              <w:rPr>
                <w:color w:val="auto"/>
                <w:spacing w:val="-59"/>
                <w:highlight w:val="none"/>
              </w:rPr>
              <w:t xml:space="preserve"> </w:t>
            </w:r>
            <w:r>
              <w:rPr>
                <w:b/>
                <w:bCs/>
                <w:color w:val="auto"/>
                <w:spacing w:val="17"/>
                <w:highlight w:val="none"/>
              </w:rPr>
              <w:t>”</w:t>
            </w:r>
            <w:r>
              <w:rPr>
                <w:color w:val="auto"/>
                <w:highlight w:val="none"/>
              </w:rPr>
              <w:t xml:space="preserve"> </w:t>
            </w:r>
            <w:r>
              <w:rPr>
                <w:b/>
                <w:bCs/>
                <w:color w:val="auto"/>
                <w:spacing w:val="-2"/>
                <w:highlight w:val="none"/>
              </w:rPr>
              <w:t>（</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rFonts w:ascii="Times New Roman" w:hAnsi="Times New Roman" w:eastAsia="Times New Roman" w:cs="Times New Roman"/>
                <w:b/>
                <w:bCs/>
                <w:color w:val="auto"/>
                <w:spacing w:val="-2"/>
                <w:highlight w:val="none"/>
              </w:rPr>
              <w:t>www.ccgp.gov.cn/</w:t>
            </w:r>
            <w:r>
              <w:rPr>
                <w:rFonts w:ascii="Times New Roman" w:hAnsi="Times New Roman" w:eastAsia="Times New Roman" w:cs="Times New Roman"/>
                <w:b/>
                <w:bCs/>
                <w:color w:val="auto"/>
                <w:spacing w:val="-2"/>
                <w:highlight w:val="none"/>
              </w:rPr>
              <w:fldChar w:fldCharType="end"/>
            </w:r>
            <w:r>
              <w:rPr>
                <w:b/>
                <w:bCs/>
                <w:color w:val="auto"/>
                <w:spacing w:val="-2"/>
                <w:highlight w:val="none"/>
              </w:rPr>
              <w:t>）政府采购严重违法失信行为记录名单的投标人；</w:t>
            </w:r>
            <w:r>
              <w:rPr>
                <w:color w:val="auto"/>
                <w:spacing w:val="8"/>
                <w:highlight w:val="none"/>
              </w:rPr>
              <w:t xml:space="preserve"> </w:t>
            </w:r>
            <w:r>
              <w:rPr>
                <w:b/>
                <w:bCs/>
                <w:color w:val="auto"/>
                <w:spacing w:val="-1"/>
                <w:highlight w:val="none"/>
              </w:rPr>
              <w:t>“中国社会组织政务服务平台”网站（</w:t>
            </w:r>
            <w:r>
              <w:rPr>
                <w:color w:val="auto"/>
                <w:highlight w:val="none"/>
              </w:rPr>
              <w:fldChar w:fldCharType="begin"/>
            </w:r>
            <w:r>
              <w:rPr>
                <w:color w:val="auto"/>
                <w:highlight w:val="none"/>
              </w:rPr>
              <w:instrText xml:space="preserve"> HYPERLINK "https://chinanpo.mca.gov.cn/" </w:instrText>
            </w:r>
            <w:r>
              <w:rPr>
                <w:color w:val="auto"/>
                <w:highlight w:val="none"/>
              </w:rPr>
              <w:fldChar w:fldCharType="separate"/>
            </w:r>
            <w:r>
              <w:rPr>
                <w:rFonts w:ascii="Times New Roman" w:hAnsi="Times New Roman" w:eastAsia="Times New Roman" w:cs="Times New Roman"/>
                <w:b/>
                <w:bCs/>
                <w:color w:val="auto"/>
                <w:spacing w:val="-1"/>
                <w:highlight w:val="none"/>
              </w:rPr>
              <w:t>https://chinanpo.mca.gov.cn/</w:t>
            </w:r>
            <w:r>
              <w:rPr>
                <w:rFonts w:ascii="Times New Roman" w:hAnsi="Times New Roman" w:eastAsia="Times New Roman" w:cs="Times New Roman"/>
                <w:b/>
                <w:bCs/>
                <w:color w:val="auto"/>
                <w:spacing w:val="-1"/>
                <w:highlight w:val="none"/>
              </w:rPr>
              <w:fldChar w:fldCharType="end"/>
            </w:r>
            <w:r>
              <w:rPr>
                <w:b/>
                <w:bCs/>
                <w:color w:val="auto"/>
                <w:spacing w:val="-1"/>
                <w:highlight w:val="none"/>
              </w:rPr>
              <w:t>）</w:t>
            </w:r>
            <w:r>
              <w:rPr>
                <w:b/>
                <w:bCs/>
                <w:color w:val="auto"/>
                <w:spacing w:val="-2"/>
                <w:highlight w:val="none"/>
              </w:rPr>
              <w:t>严重违法失信名单的社会组织。</w:t>
            </w:r>
          </w:p>
          <w:p w14:paraId="3850B055">
            <w:pPr>
              <w:pStyle w:val="12"/>
              <w:spacing w:before="16" w:line="219" w:lineRule="auto"/>
              <w:ind w:left="124"/>
              <w:rPr>
                <w:color w:val="auto"/>
                <w:highlight w:val="none"/>
              </w:rPr>
            </w:pPr>
            <w:r>
              <w:rPr>
                <w:color w:val="auto"/>
                <w:spacing w:val="1"/>
                <w:highlight w:val="none"/>
              </w:rPr>
              <w:t>（以联合体形式投标的，联合体成员存在不良信用记录，视同联合体</w:t>
            </w:r>
          </w:p>
        </w:tc>
      </w:tr>
    </w:tbl>
    <w:p w14:paraId="25F1499D">
      <w:pPr>
        <w:pStyle w:val="5"/>
        <w:spacing w:line="117" w:lineRule="exact"/>
        <w:rPr>
          <w:color w:val="auto"/>
          <w:sz w:val="10"/>
          <w:highlight w:val="none"/>
        </w:rPr>
      </w:pPr>
    </w:p>
    <w:p w14:paraId="32B98880">
      <w:pPr>
        <w:spacing w:line="117" w:lineRule="exact"/>
        <w:rPr>
          <w:color w:val="auto"/>
          <w:sz w:val="10"/>
          <w:szCs w:val="10"/>
          <w:highlight w:val="none"/>
        </w:rPr>
        <w:sectPr>
          <w:footerReference r:id="rId13" w:type="default"/>
          <w:pgSz w:w="11906" w:h="16839"/>
          <w:pgMar w:top="1431" w:right="924" w:bottom="1443" w:left="923" w:header="0" w:footer="1202" w:gutter="0"/>
          <w:pgNumType w:fmt="decimal"/>
          <w:cols w:space="720" w:num="1"/>
        </w:sectPr>
      </w:pPr>
    </w:p>
    <w:p w14:paraId="709B34D8">
      <w:pPr>
        <w:spacing w:line="91" w:lineRule="auto"/>
        <w:rPr>
          <w:rFonts w:ascii="Arial"/>
          <w:color w:val="auto"/>
          <w:sz w:val="2"/>
          <w:highlight w:val="none"/>
        </w:rPr>
      </w:pPr>
    </w:p>
    <w:tbl>
      <w:tblPr>
        <w:tblStyle w:val="11"/>
        <w:tblW w:w="100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923"/>
        <w:gridCol w:w="7478"/>
      </w:tblGrid>
      <w:tr w14:paraId="55487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9" w:hRule="atLeast"/>
        </w:trPr>
        <w:tc>
          <w:tcPr>
            <w:tcW w:w="652" w:type="dxa"/>
            <w:vAlign w:val="top"/>
          </w:tcPr>
          <w:p w14:paraId="620DE15A">
            <w:pPr>
              <w:rPr>
                <w:rFonts w:ascii="Arial"/>
                <w:color w:val="auto"/>
                <w:sz w:val="21"/>
                <w:highlight w:val="none"/>
              </w:rPr>
            </w:pPr>
          </w:p>
        </w:tc>
        <w:tc>
          <w:tcPr>
            <w:tcW w:w="1923" w:type="dxa"/>
            <w:vAlign w:val="top"/>
          </w:tcPr>
          <w:p w14:paraId="0202768A">
            <w:pPr>
              <w:rPr>
                <w:rFonts w:ascii="Arial"/>
                <w:color w:val="auto"/>
                <w:sz w:val="21"/>
                <w:highlight w:val="none"/>
              </w:rPr>
            </w:pPr>
          </w:p>
        </w:tc>
        <w:tc>
          <w:tcPr>
            <w:tcW w:w="7478" w:type="dxa"/>
            <w:vAlign w:val="top"/>
          </w:tcPr>
          <w:p w14:paraId="608B4223">
            <w:pPr>
              <w:pStyle w:val="12"/>
              <w:spacing w:before="167" w:line="219" w:lineRule="auto"/>
              <w:ind w:left="112"/>
              <w:rPr>
                <w:color w:val="auto"/>
                <w:highlight w:val="none"/>
              </w:rPr>
            </w:pPr>
            <w:r>
              <w:rPr>
                <w:color w:val="auto"/>
                <w:spacing w:val="-1"/>
                <w:highlight w:val="none"/>
              </w:rPr>
              <w:t>存在不良信用记录）。</w:t>
            </w:r>
          </w:p>
          <w:p w14:paraId="0451B74F">
            <w:pPr>
              <w:pStyle w:val="12"/>
              <w:spacing w:before="176" w:line="219" w:lineRule="auto"/>
              <w:ind w:left="132"/>
              <w:rPr>
                <w:color w:val="auto"/>
                <w:highlight w:val="none"/>
              </w:rPr>
            </w:pPr>
            <w:r>
              <w:rPr>
                <w:rFonts w:ascii="Times New Roman" w:hAnsi="Times New Roman" w:eastAsia="Times New Roman" w:cs="Times New Roman"/>
                <w:color w:val="auto"/>
                <w:spacing w:val="-8"/>
                <w:highlight w:val="none"/>
              </w:rPr>
              <w:t>1</w:t>
            </w:r>
            <w:r>
              <w:rPr>
                <w:rFonts w:ascii="Times New Roman" w:hAnsi="Times New Roman" w:eastAsia="Times New Roman" w:cs="Times New Roman"/>
                <w:color w:val="auto"/>
                <w:spacing w:val="-34"/>
                <w:highlight w:val="none"/>
              </w:rPr>
              <w:t xml:space="preserve"> </w:t>
            </w:r>
            <w:r>
              <w:rPr>
                <w:color w:val="auto"/>
                <w:spacing w:val="-8"/>
                <w:highlight w:val="none"/>
              </w:rPr>
              <w:t>、查询渠道：</w:t>
            </w:r>
          </w:p>
          <w:p w14:paraId="18EBC349">
            <w:pPr>
              <w:pStyle w:val="12"/>
              <w:spacing w:before="175" w:line="210" w:lineRule="auto"/>
              <w:ind w:left="112"/>
              <w:rPr>
                <w:color w:val="auto"/>
                <w:highlight w:val="none"/>
              </w:rPr>
            </w:pPr>
            <w:r>
              <w:rPr>
                <w:color w:val="auto"/>
                <w:spacing w:val="-1"/>
                <w:highlight w:val="none"/>
              </w:rPr>
              <w:t>①“信用中国”网站（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ascii="Times New Roman" w:hAnsi="Times New Roman" w:eastAsia="Times New Roman" w:cs="Times New Roman"/>
                <w:color w:val="auto"/>
                <w:spacing w:val="-1"/>
                <w:highlight w:val="none"/>
              </w:rPr>
              <w:t>www.creditchina.g</w:t>
            </w:r>
            <w:r>
              <w:rPr>
                <w:rFonts w:ascii="Times New Roman" w:hAnsi="Times New Roman" w:eastAsia="Times New Roman" w:cs="Times New Roman"/>
                <w:color w:val="auto"/>
                <w:spacing w:val="-2"/>
                <w:highlight w:val="none"/>
              </w:rPr>
              <w:t>ov.cn/</w:t>
            </w:r>
            <w:r>
              <w:rPr>
                <w:rFonts w:ascii="Times New Roman" w:hAnsi="Times New Roman" w:eastAsia="Times New Roman" w:cs="Times New Roman"/>
                <w:color w:val="auto"/>
                <w:spacing w:val="-2"/>
                <w:highlight w:val="none"/>
              </w:rPr>
              <w:fldChar w:fldCharType="end"/>
            </w:r>
            <w:r>
              <w:rPr>
                <w:color w:val="auto"/>
                <w:spacing w:val="-2"/>
                <w:highlight w:val="none"/>
              </w:rPr>
              <w:t>）</w:t>
            </w:r>
          </w:p>
          <w:p w14:paraId="6C6EE8FA">
            <w:pPr>
              <w:pStyle w:val="12"/>
              <w:spacing w:before="185" w:line="212" w:lineRule="auto"/>
              <w:ind w:left="111"/>
              <w:rPr>
                <w:color w:val="auto"/>
                <w:highlight w:val="none"/>
              </w:rPr>
            </w:pPr>
            <w:r>
              <w:rPr>
                <w:color w:val="auto"/>
                <w:spacing w:val="-2"/>
                <w:highlight w:val="none"/>
              </w:rPr>
              <w:t>②“中国政府采购网”（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rFonts w:ascii="Times New Roman" w:hAnsi="Times New Roman" w:eastAsia="Times New Roman" w:cs="Times New Roman"/>
                <w:color w:val="auto"/>
                <w:spacing w:val="-2"/>
                <w:highlight w:val="none"/>
              </w:rPr>
              <w:t>www.ccgp.gov.cn/</w:t>
            </w:r>
            <w:r>
              <w:rPr>
                <w:rFonts w:ascii="Times New Roman" w:hAnsi="Times New Roman" w:eastAsia="Times New Roman" w:cs="Times New Roman"/>
                <w:color w:val="auto"/>
                <w:spacing w:val="-2"/>
                <w:highlight w:val="none"/>
              </w:rPr>
              <w:fldChar w:fldCharType="end"/>
            </w:r>
            <w:r>
              <w:rPr>
                <w:color w:val="auto"/>
                <w:spacing w:val="-2"/>
                <w:highlight w:val="none"/>
              </w:rPr>
              <w:t>）</w:t>
            </w:r>
          </w:p>
          <w:p w14:paraId="615910AA">
            <w:pPr>
              <w:pStyle w:val="12"/>
              <w:spacing w:before="185" w:line="346" w:lineRule="auto"/>
              <w:ind w:left="124" w:right="65" w:hanging="13"/>
              <w:rPr>
                <w:color w:val="auto"/>
                <w:highlight w:val="none"/>
              </w:rPr>
            </w:pPr>
            <w:r>
              <w:rPr>
                <w:color w:val="auto"/>
                <w:spacing w:val="-1"/>
                <w:highlight w:val="none"/>
              </w:rPr>
              <w:t>③“中国社会组织政务服务平台”网站（</w:t>
            </w:r>
            <w:r>
              <w:rPr>
                <w:color w:val="auto"/>
                <w:highlight w:val="none"/>
              </w:rPr>
              <w:fldChar w:fldCharType="begin"/>
            </w:r>
            <w:r>
              <w:rPr>
                <w:color w:val="auto"/>
                <w:highlight w:val="none"/>
              </w:rPr>
              <w:instrText xml:space="preserve"> HYPERLINK "https://chinanpo.mca.gov.cn/" </w:instrText>
            </w:r>
            <w:r>
              <w:rPr>
                <w:color w:val="auto"/>
                <w:highlight w:val="none"/>
              </w:rPr>
              <w:fldChar w:fldCharType="separate"/>
            </w:r>
            <w:r>
              <w:rPr>
                <w:rFonts w:ascii="Times New Roman" w:hAnsi="Times New Roman" w:eastAsia="Times New Roman" w:cs="Times New Roman"/>
                <w:color w:val="auto"/>
                <w:spacing w:val="-1"/>
                <w:highlight w:val="none"/>
              </w:rPr>
              <w:t>https://chinanpo.mca.gov.cn/</w:t>
            </w:r>
            <w:r>
              <w:rPr>
                <w:rFonts w:ascii="Times New Roman" w:hAnsi="Times New Roman" w:eastAsia="Times New Roman" w:cs="Times New Roman"/>
                <w:color w:val="auto"/>
                <w:spacing w:val="-1"/>
                <w:highlight w:val="none"/>
              </w:rPr>
              <w:fldChar w:fldCharType="end"/>
            </w:r>
            <w:r>
              <w:rPr>
                <w:color w:val="auto"/>
                <w:spacing w:val="-1"/>
                <w:highlight w:val="none"/>
              </w:rPr>
              <w:t>）</w:t>
            </w:r>
            <w:r>
              <w:rPr>
                <w:color w:val="auto"/>
                <w:spacing w:val="3"/>
                <w:highlight w:val="none"/>
              </w:rPr>
              <w:t xml:space="preserve"> </w:t>
            </w:r>
            <w:r>
              <w:rPr>
                <w:color w:val="auto"/>
                <w:spacing w:val="-3"/>
                <w:highlight w:val="none"/>
              </w:rPr>
              <w:t>（仅查询社会组织</w:t>
            </w:r>
            <w:r>
              <w:rPr>
                <w:color w:val="auto"/>
                <w:spacing w:val="1"/>
                <w:highlight w:val="none"/>
              </w:rPr>
              <w:t>）；</w:t>
            </w:r>
          </w:p>
          <w:p w14:paraId="39DA2B9D">
            <w:pPr>
              <w:pStyle w:val="12"/>
              <w:spacing w:before="19" w:line="220" w:lineRule="auto"/>
              <w:ind w:left="109"/>
              <w:rPr>
                <w:color w:val="auto"/>
                <w:highlight w:val="none"/>
              </w:rPr>
            </w:pPr>
            <w:r>
              <w:rPr>
                <w:rFonts w:ascii="Times New Roman" w:hAnsi="Times New Roman" w:eastAsia="Times New Roman" w:cs="Times New Roman"/>
                <w:color w:val="auto"/>
                <w:spacing w:val="-3"/>
                <w:highlight w:val="none"/>
              </w:rPr>
              <w:t>2</w:t>
            </w:r>
            <w:r>
              <w:rPr>
                <w:color w:val="auto"/>
                <w:spacing w:val="-3"/>
                <w:highlight w:val="none"/>
              </w:rPr>
              <w:t>、截止时间：同投标截止时间；</w:t>
            </w:r>
          </w:p>
          <w:p w14:paraId="5465B07A">
            <w:pPr>
              <w:pStyle w:val="12"/>
              <w:spacing w:before="174" w:line="354" w:lineRule="auto"/>
              <w:ind w:left="112" w:right="109" w:firstLine="1"/>
              <w:rPr>
                <w:color w:val="auto"/>
                <w:highlight w:val="none"/>
              </w:rPr>
            </w:pPr>
            <w:r>
              <w:rPr>
                <w:rFonts w:ascii="Times New Roman" w:hAnsi="Times New Roman" w:eastAsia="Times New Roman" w:cs="Times New Roman"/>
                <w:color w:val="auto"/>
                <w:spacing w:val="-3"/>
                <w:highlight w:val="none"/>
              </w:rPr>
              <w:t>3</w:t>
            </w:r>
            <w:r>
              <w:rPr>
                <w:color w:val="auto"/>
                <w:spacing w:val="-3"/>
                <w:highlight w:val="none"/>
              </w:rPr>
              <w:t>、信用信息的使用原则：经采购人认定的被列入失信被执</w:t>
            </w:r>
            <w:r>
              <w:rPr>
                <w:color w:val="auto"/>
                <w:spacing w:val="-4"/>
                <w:highlight w:val="none"/>
              </w:rPr>
              <w:t>行人、重大</w:t>
            </w:r>
            <w:r>
              <w:rPr>
                <w:color w:val="auto"/>
                <w:spacing w:val="2"/>
                <w:highlight w:val="none"/>
              </w:rPr>
              <w:t>税收违法失信主体、政府采购严重违法失信行</w:t>
            </w:r>
            <w:r>
              <w:rPr>
                <w:color w:val="auto"/>
                <w:spacing w:val="1"/>
                <w:highlight w:val="none"/>
              </w:rPr>
              <w:t>为记录名单的投标人、</w:t>
            </w:r>
            <w:r>
              <w:rPr>
                <w:color w:val="auto"/>
                <w:spacing w:val="-1"/>
                <w:highlight w:val="none"/>
              </w:rPr>
              <w:t>严重违法失信社会组织，将拒绝其参与本次政府采购活动。</w:t>
            </w:r>
          </w:p>
          <w:p w14:paraId="25CD2BAA">
            <w:pPr>
              <w:pStyle w:val="12"/>
              <w:spacing w:line="289" w:lineRule="auto"/>
              <w:ind w:left="132" w:right="157" w:hanging="15"/>
              <w:rPr>
                <w:rFonts w:hint="eastAsia" w:eastAsia="宋体"/>
                <w:color w:val="auto"/>
                <w:highlight w:val="none"/>
                <w:lang w:eastAsia="zh-CN"/>
              </w:rPr>
            </w:pPr>
            <w:r>
              <w:rPr>
                <w:b/>
                <w:bCs/>
                <w:color w:val="auto"/>
                <w:spacing w:val="-1"/>
                <w:highlight w:val="none"/>
              </w:rPr>
              <w:t>八、本项目的特定资格要求：</w:t>
            </w:r>
            <w:r>
              <w:rPr>
                <w:rFonts w:hint="eastAsia"/>
                <w:color w:val="auto"/>
                <w:spacing w:val="-1"/>
                <w:highlight w:val="none"/>
                <w:lang w:val="en-US" w:eastAsia="zh-CN"/>
              </w:rPr>
              <w:t>无。</w:t>
            </w:r>
          </w:p>
        </w:tc>
      </w:tr>
    </w:tbl>
    <w:p w14:paraId="77E5EA87">
      <w:pPr>
        <w:pStyle w:val="5"/>
        <w:rPr>
          <w:color w:val="auto"/>
          <w:highlight w:val="none"/>
        </w:rPr>
      </w:pPr>
    </w:p>
    <w:p w14:paraId="763C6E49">
      <w:pPr>
        <w:rPr>
          <w:color w:val="auto"/>
          <w:highlight w:val="none"/>
        </w:rPr>
        <w:sectPr>
          <w:footerReference r:id="rId14" w:type="default"/>
          <w:pgSz w:w="11906" w:h="16839"/>
          <w:pgMar w:top="1431" w:right="924" w:bottom="1443" w:left="923" w:header="0" w:footer="1202" w:gutter="0"/>
          <w:pgNumType w:fmt="decimal"/>
          <w:cols w:space="720" w:num="1"/>
        </w:sectPr>
      </w:pPr>
    </w:p>
    <w:p w14:paraId="0CA1155B">
      <w:pPr>
        <w:spacing w:before="165" w:line="225" w:lineRule="auto"/>
        <w:ind w:left="3046"/>
        <w:rPr>
          <w:rFonts w:ascii="宋体" w:hAnsi="宋体" w:eastAsia="宋体" w:cs="宋体"/>
          <w:color w:val="auto"/>
          <w:sz w:val="30"/>
          <w:szCs w:val="30"/>
          <w:highlight w:val="none"/>
        </w:rPr>
      </w:pPr>
      <w:r>
        <w:rPr>
          <w:rFonts w:ascii="宋体" w:hAnsi="宋体" w:eastAsia="宋体" w:cs="宋体"/>
          <w:b/>
          <w:bCs/>
          <w:color w:val="auto"/>
          <w:spacing w:val="6"/>
          <w:sz w:val="30"/>
          <w:szCs w:val="30"/>
          <w:highlight w:val="none"/>
        </w:rPr>
        <w:t>第四章</w:t>
      </w:r>
      <w:r>
        <w:rPr>
          <w:rFonts w:ascii="宋体" w:hAnsi="宋体" w:eastAsia="宋体" w:cs="宋体"/>
          <w:color w:val="auto"/>
          <w:spacing w:val="6"/>
          <w:sz w:val="30"/>
          <w:szCs w:val="30"/>
          <w:highlight w:val="none"/>
        </w:rPr>
        <w:t xml:space="preserve"> </w:t>
      </w:r>
      <w:r>
        <w:rPr>
          <w:rFonts w:ascii="宋体" w:hAnsi="宋体" w:eastAsia="宋体" w:cs="宋体"/>
          <w:b/>
          <w:bCs/>
          <w:color w:val="auto"/>
          <w:spacing w:val="6"/>
          <w:sz w:val="30"/>
          <w:szCs w:val="30"/>
          <w:highlight w:val="none"/>
        </w:rPr>
        <w:t>供应商须知</w:t>
      </w:r>
    </w:p>
    <w:p w14:paraId="72BCA8CA">
      <w:pPr>
        <w:spacing w:before="216" w:line="219" w:lineRule="auto"/>
        <w:ind w:left="484"/>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一、概念释义</w:t>
      </w:r>
    </w:p>
    <w:p w14:paraId="2E36F09F">
      <w:pPr>
        <w:spacing w:before="182" w:line="220" w:lineRule="auto"/>
        <w:ind w:left="498"/>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1、适用范围</w:t>
      </w:r>
    </w:p>
    <w:p w14:paraId="0EE36823">
      <w:pPr>
        <w:spacing w:before="181" w:line="219" w:lineRule="auto"/>
        <w:ind w:left="49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1.1本磋商文件仅适用于本次“磋商邀请</w:t>
      </w:r>
      <w:r>
        <w:rPr>
          <w:rFonts w:ascii="宋体" w:hAnsi="宋体" w:eastAsia="宋体" w:cs="宋体"/>
          <w:color w:val="auto"/>
          <w:spacing w:val="-88"/>
          <w:sz w:val="24"/>
          <w:szCs w:val="24"/>
          <w:highlight w:val="none"/>
        </w:rPr>
        <w:t xml:space="preserve"> </w:t>
      </w:r>
      <w:r>
        <w:rPr>
          <w:rFonts w:ascii="宋体" w:hAnsi="宋体" w:eastAsia="宋体" w:cs="宋体"/>
          <w:color w:val="auto"/>
          <w:spacing w:val="-2"/>
          <w:sz w:val="24"/>
          <w:szCs w:val="24"/>
          <w:highlight w:val="none"/>
        </w:rPr>
        <w:t>”中所述</w:t>
      </w:r>
      <w:r>
        <w:rPr>
          <w:rFonts w:ascii="宋体" w:hAnsi="宋体" w:eastAsia="宋体" w:cs="宋体"/>
          <w:color w:val="auto"/>
          <w:spacing w:val="-3"/>
          <w:sz w:val="24"/>
          <w:szCs w:val="24"/>
          <w:highlight w:val="none"/>
        </w:rPr>
        <w:t>采购项目。</w:t>
      </w:r>
    </w:p>
    <w:p w14:paraId="109E0C9F">
      <w:pPr>
        <w:spacing w:before="183" w:line="219" w:lineRule="auto"/>
        <w:ind w:left="49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1.2本磋商文件解释权属于“磋商邀请</w:t>
      </w:r>
      <w:r>
        <w:rPr>
          <w:rFonts w:ascii="宋体" w:hAnsi="宋体" w:eastAsia="宋体" w:cs="宋体"/>
          <w:color w:val="auto"/>
          <w:spacing w:val="-71"/>
          <w:sz w:val="24"/>
          <w:szCs w:val="24"/>
          <w:highlight w:val="none"/>
        </w:rPr>
        <w:t xml:space="preserve"> </w:t>
      </w:r>
      <w:r>
        <w:rPr>
          <w:rFonts w:ascii="宋体" w:hAnsi="宋体" w:eastAsia="宋体" w:cs="宋体"/>
          <w:color w:val="auto"/>
          <w:spacing w:val="-3"/>
          <w:sz w:val="24"/>
          <w:szCs w:val="24"/>
          <w:highlight w:val="none"/>
        </w:rPr>
        <w:t>”所述的采购人。</w:t>
      </w:r>
    </w:p>
    <w:p w14:paraId="7621A8A3">
      <w:pPr>
        <w:spacing w:before="184" w:line="220" w:lineRule="auto"/>
        <w:ind w:left="483"/>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2、定义</w:t>
      </w:r>
    </w:p>
    <w:p w14:paraId="1D9F40ED">
      <w:pPr>
        <w:spacing w:before="181" w:line="219" w:lineRule="auto"/>
        <w:ind w:left="48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2.1“采购项目</w:t>
      </w:r>
      <w:r>
        <w:rPr>
          <w:rFonts w:ascii="宋体" w:hAnsi="宋体" w:eastAsia="宋体" w:cs="宋体"/>
          <w:color w:val="auto"/>
          <w:spacing w:val="-79"/>
          <w:sz w:val="24"/>
          <w:szCs w:val="24"/>
          <w:highlight w:val="none"/>
        </w:rPr>
        <w:t xml:space="preserve"> </w:t>
      </w:r>
      <w:r>
        <w:rPr>
          <w:rFonts w:ascii="宋体" w:hAnsi="宋体" w:eastAsia="宋体" w:cs="宋体"/>
          <w:color w:val="auto"/>
          <w:spacing w:val="-3"/>
          <w:sz w:val="24"/>
          <w:szCs w:val="24"/>
          <w:highlight w:val="none"/>
        </w:rPr>
        <w:t>”：“供应商须知前附表</w:t>
      </w:r>
      <w:r>
        <w:rPr>
          <w:rFonts w:ascii="宋体" w:hAnsi="宋体" w:eastAsia="宋体" w:cs="宋体"/>
          <w:color w:val="auto"/>
          <w:spacing w:val="-88"/>
          <w:sz w:val="24"/>
          <w:szCs w:val="24"/>
          <w:highlight w:val="none"/>
        </w:rPr>
        <w:t xml:space="preserve"> </w:t>
      </w:r>
      <w:r>
        <w:rPr>
          <w:rFonts w:ascii="宋体" w:hAnsi="宋体" w:eastAsia="宋体" w:cs="宋体"/>
          <w:color w:val="auto"/>
          <w:spacing w:val="-3"/>
          <w:sz w:val="24"/>
          <w:szCs w:val="24"/>
          <w:highlight w:val="none"/>
        </w:rPr>
        <w:t>”中所述的采购项目。</w:t>
      </w:r>
    </w:p>
    <w:p w14:paraId="4E22F539">
      <w:pPr>
        <w:spacing w:before="183" w:line="219" w:lineRule="auto"/>
        <w:ind w:left="483"/>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2.2“采购人</w:t>
      </w:r>
      <w:r>
        <w:rPr>
          <w:rFonts w:ascii="宋体" w:hAnsi="宋体" w:eastAsia="宋体" w:cs="宋体"/>
          <w:color w:val="auto"/>
          <w:spacing w:val="-86"/>
          <w:sz w:val="24"/>
          <w:szCs w:val="24"/>
          <w:highlight w:val="none"/>
        </w:rPr>
        <w:t xml:space="preserve"> </w:t>
      </w:r>
      <w:r>
        <w:rPr>
          <w:rFonts w:ascii="宋体" w:hAnsi="宋体" w:eastAsia="宋体" w:cs="宋体"/>
          <w:color w:val="auto"/>
          <w:spacing w:val="-5"/>
          <w:sz w:val="24"/>
          <w:szCs w:val="24"/>
          <w:highlight w:val="none"/>
        </w:rPr>
        <w:t>”：“供应商须知前附表</w:t>
      </w:r>
      <w:r>
        <w:rPr>
          <w:rFonts w:ascii="宋体" w:hAnsi="宋体" w:eastAsia="宋体" w:cs="宋体"/>
          <w:color w:val="auto"/>
          <w:spacing w:val="-88"/>
          <w:sz w:val="24"/>
          <w:szCs w:val="24"/>
          <w:highlight w:val="none"/>
        </w:rPr>
        <w:t xml:space="preserve"> </w:t>
      </w:r>
      <w:r>
        <w:rPr>
          <w:rFonts w:ascii="宋体" w:hAnsi="宋体" w:eastAsia="宋体" w:cs="宋体"/>
          <w:color w:val="auto"/>
          <w:spacing w:val="-5"/>
          <w:sz w:val="24"/>
          <w:szCs w:val="24"/>
          <w:highlight w:val="none"/>
        </w:rPr>
        <w:t>”中所述的组织本次招标的代理机构或采购人。</w:t>
      </w:r>
    </w:p>
    <w:p w14:paraId="0C6379F9">
      <w:pPr>
        <w:spacing w:before="184" w:line="360" w:lineRule="auto"/>
        <w:ind w:left="3" w:right="204" w:firstLine="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2.3“采购人</w:t>
      </w:r>
      <w:r>
        <w:rPr>
          <w:rFonts w:ascii="宋体" w:hAnsi="宋体" w:eastAsia="宋体" w:cs="宋体"/>
          <w:color w:val="auto"/>
          <w:spacing w:val="-88"/>
          <w:sz w:val="24"/>
          <w:szCs w:val="24"/>
          <w:highlight w:val="none"/>
        </w:rPr>
        <w:t xml:space="preserve"> </w:t>
      </w:r>
      <w:r>
        <w:rPr>
          <w:rFonts w:ascii="宋体" w:hAnsi="宋体" w:eastAsia="宋体" w:cs="宋体"/>
          <w:color w:val="auto"/>
          <w:spacing w:val="-1"/>
          <w:sz w:val="24"/>
          <w:szCs w:val="24"/>
          <w:highlight w:val="none"/>
        </w:rPr>
        <w:t>”：是指依法进行政府采购的国家机关、事业单位、</w:t>
      </w:r>
      <w:r>
        <w:rPr>
          <w:rFonts w:ascii="宋体" w:hAnsi="宋体" w:eastAsia="宋体" w:cs="宋体"/>
          <w:color w:val="auto"/>
          <w:spacing w:val="-2"/>
          <w:sz w:val="24"/>
          <w:szCs w:val="24"/>
          <w:highlight w:val="none"/>
        </w:rPr>
        <w:t>团体组织。采购人</w:t>
      </w:r>
      <w:r>
        <w:rPr>
          <w:rFonts w:ascii="宋体" w:hAnsi="宋体" w:eastAsia="宋体" w:cs="宋体"/>
          <w:color w:val="auto"/>
          <w:spacing w:val="-1"/>
          <w:sz w:val="24"/>
          <w:szCs w:val="24"/>
          <w:highlight w:val="none"/>
        </w:rPr>
        <w:t>名称、地址、电话、联系人见“供应商须知前附表</w:t>
      </w:r>
      <w:r>
        <w:rPr>
          <w:rFonts w:ascii="宋体" w:hAnsi="宋体" w:eastAsia="宋体" w:cs="宋体"/>
          <w:color w:val="auto"/>
          <w:spacing w:val="-77"/>
          <w:sz w:val="24"/>
          <w:szCs w:val="24"/>
          <w:highlight w:val="none"/>
        </w:rPr>
        <w:t xml:space="preserve"> </w:t>
      </w:r>
      <w:r>
        <w:rPr>
          <w:rFonts w:ascii="宋体" w:hAnsi="宋体" w:eastAsia="宋体" w:cs="宋体"/>
          <w:color w:val="auto"/>
          <w:spacing w:val="-1"/>
          <w:sz w:val="24"/>
          <w:szCs w:val="24"/>
          <w:highlight w:val="none"/>
        </w:rPr>
        <w:t>”。</w:t>
      </w:r>
    </w:p>
    <w:p w14:paraId="4B461DC6">
      <w:pPr>
        <w:spacing w:line="360" w:lineRule="auto"/>
        <w:ind w:right="120" w:firstLine="482"/>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2.4“代理机构</w:t>
      </w:r>
      <w:r>
        <w:rPr>
          <w:rFonts w:ascii="宋体" w:hAnsi="宋体" w:eastAsia="宋体" w:cs="宋体"/>
          <w:color w:val="auto"/>
          <w:spacing w:val="-88"/>
          <w:sz w:val="24"/>
          <w:szCs w:val="24"/>
          <w:highlight w:val="none"/>
        </w:rPr>
        <w:t xml:space="preserve"> </w:t>
      </w:r>
      <w:r>
        <w:rPr>
          <w:rFonts w:ascii="宋体" w:hAnsi="宋体" w:eastAsia="宋体" w:cs="宋体"/>
          <w:color w:val="auto"/>
          <w:spacing w:val="-5"/>
          <w:sz w:val="24"/>
          <w:szCs w:val="24"/>
          <w:highlight w:val="none"/>
        </w:rPr>
        <w:t>”：接受采购人委托，代理采购项目的采购代理机构。代</w:t>
      </w:r>
      <w:r>
        <w:rPr>
          <w:rFonts w:ascii="宋体" w:hAnsi="宋体" w:eastAsia="宋体" w:cs="宋体"/>
          <w:color w:val="auto"/>
          <w:spacing w:val="-6"/>
          <w:sz w:val="24"/>
          <w:szCs w:val="24"/>
          <w:highlight w:val="none"/>
        </w:rPr>
        <w:t>理机构名称、</w:t>
      </w:r>
      <w:r>
        <w:rPr>
          <w:rFonts w:ascii="宋体" w:hAnsi="宋体" w:eastAsia="宋体" w:cs="宋体"/>
          <w:color w:val="auto"/>
          <w:spacing w:val="-1"/>
          <w:sz w:val="24"/>
          <w:szCs w:val="24"/>
          <w:highlight w:val="none"/>
        </w:rPr>
        <w:t>地址、电话、联系人见“供应商须知前附表</w:t>
      </w:r>
      <w:r>
        <w:rPr>
          <w:rFonts w:ascii="宋体" w:hAnsi="宋体" w:eastAsia="宋体" w:cs="宋体"/>
          <w:color w:val="auto"/>
          <w:spacing w:val="-77"/>
          <w:sz w:val="24"/>
          <w:szCs w:val="24"/>
          <w:highlight w:val="none"/>
        </w:rPr>
        <w:t xml:space="preserve"> </w:t>
      </w:r>
      <w:r>
        <w:rPr>
          <w:rFonts w:ascii="宋体" w:hAnsi="宋体" w:eastAsia="宋体" w:cs="宋体"/>
          <w:color w:val="auto"/>
          <w:spacing w:val="-1"/>
          <w:sz w:val="24"/>
          <w:szCs w:val="24"/>
          <w:highlight w:val="none"/>
        </w:rPr>
        <w:t>”。</w:t>
      </w:r>
    </w:p>
    <w:p w14:paraId="2C3ABC4E">
      <w:pPr>
        <w:spacing w:before="3" w:line="359" w:lineRule="auto"/>
        <w:ind w:right="200" w:firstLine="48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采购代理机构及其分支机构不得在所代理的采购项目</w:t>
      </w:r>
      <w:r>
        <w:rPr>
          <w:rFonts w:ascii="宋体" w:hAnsi="宋体" w:eastAsia="宋体" w:cs="宋体"/>
          <w:color w:val="auto"/>
          <w:spacing w:val="-4"/>
          <w:sz w:val="24"/>
          <w:szCs w:val="24"/>
          <w:highlight w:val="none"/>
        </w:rPr>
        <w:t>中投标或者代理投标，不得为所</w:t>
      </w:r>
      <w:r>
        <w:rPr>
          <w:rFonts w:ascii="宋体" w:hAnsi="宋体" w:eastAsia="宋体" w:cs="宋体"/>
          <w:color w:val="auto"/>
          <w:spacing w:val="-1"/>
          <w:sz w:val="24"/>
          <w:szCs w:val="24"/>
          <w:highlight w:val="none"/>
        </w:rPr>
        <w:t>代理的采购项目的供应商参加本项目提供投标咨询。</w:t>
      </w:r>
    </w:p>
    <w:p w14:paraId="7048AA03">
      <w:pPr>
        <w:spacing w:line="360" w:lineRule="auto"/>
        <w:ind w:firstLine="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2.5“潜在供应商</w:t>
      </w:r>
      <w:r>
        <w:rPr>
          <w:rFonts w:ascii="宋体" w:hAnsi="宋体" w:eastAsia="宋体" w:cs="宋体"/>
          <w:color w:val="auto"/>
          <w:spacing w:val="-88"/>
          <w:sz w:val="24"/>
          <w:szCs w:val="24"/>
          <w:highlight w:val="none"/>
        </w:rPr>
        <w:t xml:space="preserve"> </w:t>
      </w:r>
      <w:r>
        <w:rPr>
          <w:rFonts w:ascii="宋体" w:hAnsi="宋体" w:eastAsia="宋体" w:cs="宋体"/>
          <w:color w:val="auto"/>
          <w:spacing w:val="-1"/>
          <w:sz w:val="24"/>
          <w:szCs w:val="24"/>
          <w:highlight w:val="none"/>
        </w:rPr>
        <w:t>”指符合《中华人民共和国政府采购法》及相关</w:t>
      </w:r>
      <w:r>
        <w:rPr>
          <w:rFonts w:ascii="宋体" w:hAnsi="宋体" w:eastAsia="宋体" w:cs="宋体"/>
          <w:color w:val="auto"/>
          <w:spacing w:val="-2"/>
          <w:sz w:val="24"/>
          <w:szCs w:val="24"/>
          <w:highlight w:val="none"/>
        </w:rPr>
        <w:t>法律法规和本磋商</w:t>
      </w:r>
      <w:r>
        <w:rPr>
          <w:rFonts w:ascii="宋体" w:hAnsi="宋体" w:eastAsia="宋体" w:cs="宋体"/>
          <w:color w:val="auto"/>
          <w:spacing w:val="-4"/>
          <w:sz w:val="24"/>
          <w:szCs w:val="24"/>
          <w:highlight w:val="none"/>
        </w:rPr>
        <w:t>磋商文件的各项规定，且按照本项目磋商公告及磋商文件规定的方式获取磋商文</w:t>
      </w:r>
      <w:r>
        <w:rPr>
          <w:rFonts w:ascii="宋体" w:hAnsi="宋体" w:eastAsia="宋体" w:cs="宋体"/>
          <w:color w:val="auto"/>
          <w:spacing w:val="-5"/>
          <w:sz w:val="24"/>
          <w:szCs w:val="24"/>
          <w:highlight w:val="none"/>
        </w:rPr>
        <w:t>件的法人、</w:t>
      </w:r>
      <w:r>
        <w:rPr>
          <w:rFonts w:ascii="宋体" w:hAnsi="宋体" w:eastAsia="宋体" w:cs="宋体"/>
          <w:color w:val="auto"/>
          <w:spacing w:val="-1"/>
          <w:sz w:val="24"/>
          <w:szCs w:val="24"/>
          <w:highlight w:val="none"/>
        </w:rPr>
        <w:t>其他组织或者自然人。</w:t>
      </w:r>
    </w:p>
    <w:p w14:paraId="6D690164">
      <w:pPr>
        <w:spacing w:before="4" w:line="359" w:lineRule="auto"/>
        <w:ind w:right="204" w:firstLine="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2.6“供应商</w:t>
      </w:r>
      <w:r>
        <w:rPr>
          <w:rFonts w:ascii="宋体" w:hAnsi="宋体" w:eastAsia="宋体" w:cs="宋体"/>
          <w:color w:val="auto"/>
          <w:spacing w:val="-88"/>
          <w:sz w:val="24"/>
          <w:szCs w:val="24"/>
          <w:highlight w:val="none"/>
        </w:rPr>
        <w:t xml:space="preserve"> </w:t>
      </w:r>
      <w:r>
        <w:rPr>
          <w:rFonts w:ascii="宋体" w:hAnsi="宋体" w:eastAsia="宋体" w:cs="宋体"/>
          <w:color w:val="auto"/>
          <w:spacing w:val="-1"/>
          <w:sz w:val="24"/>
          <w:szCs w:val="24"/>
          <w:highlight w:val="none"/>
        </w:rPr>
        <w:t>”：是指符合《中华人民共和国政府采购法》及相关</w:t>
      </w:r>
      <w:r>
        <w:rPr>
          <w:rFonts w:ascii="宋体" w:hAnsi="宋体" w:eastAsia="宋体" w:cs="宋体"/>
          <w:color w:val="auto"/>
          <w:spacing w:val="-2"/>
          <w:sz w:val="24"/>
          <w:szCs w:val="24"/>
          <w:highlight w:val="none"/>
        </w:rPr>
        <w:t>法律法规和本磋商</w:t>
      </w:r>
      <w:r>
        <w:rPr>
          <w:rFonts w:ascii="宋体" w:hAnsi="宋体" w:eastAsia="宋体" w:cs="宋体"/>
          <w:color w:val="auto"/>
          <w:sz w:val="24"/>
          <w:szCs w:val="24"/>
          <w:highlight w:val="none"/>
        </w:rPr>
        <w:t>磋商文件的各项规定，响应招标、参加投标竞争，从采购人处按规</w:t>
      </w:r>
      <w:r>
        <w:rPr>
          <w:rFonts w:ascii="宋体" w:hAnsi="宋体" w:eastAsia="宋体" w:cs="宋体"/>
          <w:color w:val="auto"/>
          <w:spacing w:val="-1"/>
          <w:sz w:val="24"/>
          <w:szCs w:val="24"/>
          <w:highlight w:val="none"/>
        </w:rPr>
        <w:t>定获取磋商文件， 并</w:t>
      </w:r>
      <w:r>
        <w:rPr>
          <w:rFonts w:ascii="宋体" w:hAnsi="宋体" w:eastAsia="宋体" w:cs="宋体"/>
          <w:color w:val="auto"/>
          <w:sz w:val="24"/>
          <w:szCs w:val="24"/>
          <w:highlight w:val="none"/>
        </w:rPr>
        <w:t>按照磋商文件要求向采购人提交响应文件的法人、</w:t>
      </w:r>
      <w:r>
        <w:rPr>
          <w:rFonts w:ascii="宋体" w:hAnsi="宋体" w:eastAsia="宋体" w:cs="宋体"/>
          <w:color w:val="auto"/>
          <w:spacing w:val="-1"/>
          <w:sz w:val="24"/>
          <w:szCs w:val="24"/>
          <w:highlight w:val="none"/>
        </w:rPr>
        <w:t>其他组织或者自然人。</w:t>
      </w:r>
    </w:p>
    <w:p w14:paraId="3EEF42F5">
      <w:pPr>
        <w:spacing w:line="360" w:lineRule="auto"/>
        <w:ind w:right="99" w:firstLine="482"/>
        <w:rPr>
          <w:rFonts w:ascii="宋体" w:hAnsi="宋体" w:eastAsia="宋体" w:cs="宋体"/>
          <w:color w:val="auto"/>
          <w:sz w:val="24"/>
          <w:szCs w:val="24"/>
          <w:highlight w:val="none"/>
        </w:rPr>
      </w:pPr>
      <w:r>
        <w:rPr>
          <w:rFonts w:ascii="宋体" w:hAnsi="宋体" w:eastAsia="宋体" w:cs="宋体"/>
          <w:color w:val="auto"/>
          <w:sz w:val="24"/>
          <w:szCs w:val="24"/>
          <w:highlight w:val="none"/>
        </w:rPr>
        <w:t>2.7“进口产品</w:t>
      </w:r>
      <w:r>
        <w:rPr>
          <w:rFonts w:ascii="宋体" w:hAnsi="宋体" w:eastAsia="宋体" w:cs="宋体"/>
          <w:color w:val="auto"/>
          <w:spacing w:val="-88"/>
          <w:sz w:val="24"/>
          <w:szCs w:val="24"/>
          <w:highlight w:val="none"/>
        </w:rPr>
        <w:t xml:space="preserve"> </w:t>
      </w:r>
      <w:r>
        <w:rPr>
          <w:rFonts w:ascii="宋体" w:hAnsi="宋体" w:eastAsia="宋体" w:cs="宋体"/>
          <w:color w:val="auto"/>
          <w:sz w:val="24"/>
          <w:szCs w:val="24"/>
          <w:highlight w:val="none"/>
        </w:rPr>
        <w:t>”：是指通过中国海关报关验</w:t>
      </w:r>
      <w:r>
        <w:rPr>
          <w:rFonts w:ascii="宋体" w:hAnsi="宋体" w:eastAsia="宋体" w:cs="宋体"/>
          <w:color w:val="auto"/>
          <w:spacing w:val="-1"/>
          <w:sz w:val="24"/>
          <w:szCs w:val="24"/>
          <w:highlight w:val="none"/>
        </w:rPr>
        <w:t>放进入中国境内且产自关境外的产品，包括已经进入中国境内的进口产品。详见《关于政府采购进口产品管理有关问题的通知》</w:t>
      </w:r>
      <w:r>
        <w:rPr>
          <w:rFonts w:ascii="宋体" w:hAnsi="宋体" w:eastAsia="宋体" w:cs="宋体"/>
          <w:color w:val="auto"/>
          <w:spacing w:val="14"/>
          <w:sz w:val="24"/>
          <w:szCs w:val="24"/>
          <w:highlight w:val="none"/>
        </w:rPr>
        <w:t xml:space="preserve"> </w:t>
      </w:r>
      <w:r>
        <w:rPr>
          <w:rFonts w:ascii="宋体" w:hAnsi="宋体" w:eastAsia="宋体" w:cs="宋体"/>
          <w:color w:val="auto"/>
          <w:spacing w:val="-8"/>
          <w:sz w:val="24"/>
          <w:szCs w:val="24"/>
          <w:highlight w:val="none"/>
        </w:rPr>
        <w:t>（财库〔2007〕119号）、《关于政府采购进口产品管理有</w:t>
      </w:r>
      <w:r>
        <w:rPr>
          <w:rFonts w:ascii="宋体" w:hAnsi="宋体" w:eastAsia="宋体" w:cs="宋体"/>
          <w:color w:val="auto"/>
          <w:spacing w:val="-9"/>
          <w:sz w:val="24"/>
          <w:szCs w:val="24"/>
          <w:highlight w:val="none"/>
        </w:rPr>
        <w:t>关问题的通知》（财办库〔2008〕</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248号）。</w:t>
      </w:r>
    </w:p>
    <w:p w14:paraId="121400BA">
      <w:pPr>
        <w:spacing w:before="2" w:line="359" w:lineRule="auto"/>
        <w:ind w:left="2" w:right="204"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2.7.1磋商文件列明不允许或未列明允许进口产品参</w:t>
      </w:r>
      <w:r>
        <w:rPr>
          <w:rFonts w:ascii="宋体" w:hAnsi="宋体" w:eastAsia="宋体" w:cs="宋体"/>
          <w:color w:val="auto"/>
          <w:spacing w:val="-1"/>
          <w:sz w:val="24"/>
          <w:szCs w:val="24"/>
          <w:highlight w:val="none"/>
        </w:rPr>
        <w:t>加投标的，均视为拒绝进口产品</w:t>
      </w:r>
      <w:r>
        <w:rPr>
          <w:rFonts w:ascii="宋体" w:hAnsi="宋体" w:eastAsia="宋体" w:cs="宋体"/>
          <w:color w:val="auto"/>
          <w:spacing w:val="-3"/>
          <w:sz w:val="24"/>
          <w:szCs w:val="24"/>
          <w:highlight w:val="none"/>
        </w:rPr>
        <w:t>参加投标。</w:t>
      </w:r>
    </w:p>
    <w:p w14:paraId="6E2EAE1B">
      <w:pPr>
        <w:spacing w:before="3" w:line="359" w:lineRule="auto"/>
        <w:ind w:left="20" w:right="204" w:firstLine="463"/>
        <w:rPr>
          <w:rFonts w:ascii="宋体" w:hAnsi="宋体" w:eastAsia="宋体" w:cs="宋体"/>
          <w:color w:val="auto"/>
          <w:sz w:val="24"/>
          <w:szCs w:val="24"/>
          <w:highlight w:val="none"/>
        </w:rPr>
      </w:pPr>
      <w:r>
        <w:rPr>
          <w:rFonts w:ascii="宋体" w:hAnsi="宋体" w:eastAsia="宋体" w:cs="宋体"/>
          <w:color w:val="auto"/>
          <w:sz w:val="24"/>
          <w:szCs w:val="24"/>
          <w:highlight w:val="none"/>
        </w:rPr>
        <w:t>2.7.2如磋商文件中已说明，经财政部门审核同意，</w:t>
      </w:r>
      <w:r>
        <w:rPr>
          <w:rFonts w:ascii="宋体" w:hAnsi="宋体" w:eastAsia="宋体" w:cs="宋体"/>
          <w:color w:val="auto"/>
          <w:spacing w:val="-1"/>
          <w:sz w:val="24"/>
          <w:szCs w:val="24"/>
          <w:highlight w:val="none"/>
        </w:rPr>
        <w:t>允许部分或全部产品采购进口产</w:t>
      </w:r>
      <w:r>
        <w:rPr>
          <w:rFonts w:ascii="宋体" w:hAnsi="宋体" w:eastAsia="宋体" w:cs="宋体"/>
          <w:color w:val="auto"/>
          <w:spacing w:val="-2"/>
          <w:sz w:val="24"/>
          <w:szCs w:val="24"/>
          <w:highlight w:val="none"/>
        </w:rPr>
        <w:t>品，供应商既可提供本国产品，也可以提供进口产品。</w:t>
      </w:r>
    </w:p>
    <w:p w14:paraId="28987731">
      <w:pPr>
        <w:spacing w:before="1" w:line="218" w:lineRule="auto"/>
        <w:ind w:left="48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2.8磋商文件中凡标有“★</w:t>
      </w:r>
      <w:r>
        <w:rPr>
          <w:rFonts w:ascii="宋体" w:hAnsi="宋体" w:eastAsia="宋体" w:cs="宋体"/>
          <w:color w:val="auto"/>
          <w:spacing w:val="-80"/>
          <w:sz w:val="24"/>
          <w:szCs w:val="24"/>
          <w:highlight w:val="none"/>
        </w:rPr>
        <w:t xml:space="preserve"> </w:t>
      </w:r>
      <w:r>
        <w:rPr>
          <w:rFonts w:ascii="宋体" w:hAnsi="宋体" w:eastAsia="宋体" w:cs="宋体"/>
          <w:color w:val="auto"/>
          <w:spacing w:val="-2"/>
          <w:sz w:val="24"/>
          <w:szCs w:val="24"/>
          <w:highlight w:val="none"/>
        </w:rPr>
        <w:t>”的条款均系实质性要求条款。</w:t>
      </w:r>
    </w:p>
    <w:p w14:paraId="55EA4F80">
      <w:pPr>
        <w:spacing w:line="218" w:lineRule="auto"/>
        <w:rPr>
          <w:rFonts w:ascii="宋体" w:hAnsi="宋体" w:eastAsia="宋体" w:cs="宋体"/>
          <w:color w:val="auto"/>
          <w:sz w:val="24"/>
          <w:szCs w:val="24"/>
          <w:highlight w:val="none"/>
        </w:rPr>
        <w:sectPr>
          <w:footerReference r:id="rId15" w:type="default"/>
          <w:pgSz w:w="11906" w:h="16839"/>
          <w:pgMar w:top="1431" w:right="874" w:bottom="1443" w:left="1594" w:header="0" w:footer="1202" w:gutter="0"/>
          <w:pgNumType w:fmt="decimal"/>
          <w:cols w:space="720" w:num="1"/>
        </w:sectPr>
      </w:pPr>
    </w:p>
    <w:p w14:paraId="14727568">
      <w:pPr>
        <w:spacing w:before="122" w:line="219" w:lineRule="auto"/>
        <w:ind w:left="486"/>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3.合格的供应商</w:t>
      </w:r>
    </w:p>
    <w:p w14:paraId="53C35CEE">
      <w:pPr>
        <w:spacing w:before="183" w:line="360" w:lineRule="auto"/>
        <w:ind w:left="1" w:right="106" w:firstLine="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3.1在中华人民共和国境内注册，具有本项目</w:t>
      </w:r>
      <w:r>
        <w:rPr>
          <w:rFonts w:ascii="宋体" w:hAnsi="宋体" w:eastAsia="宋体" w:cs="宋体"/>
          <w:color w:val="auto"/>
          <w:spacing w:val="-2"/>
          <w:sz w:val="24"/>
          <w:szCs w:val="24"/>
          <w:highlight w:val="none"/>
        </w:rPr>
        <w:t>生产、制造、供应或实施能力，符合、</w:t>
      </w:r>
      <w:r>
        <w:rPr>
          <w:rFonts w:ascii="宋体" w:hAnsi="宋体" w:eastAsia="宋体" w:cs="宋体"/>
          <w:color w:val="auto"/>
          <w:sz w:val="24"/>
          <w:szCs w:val="24"/>
          <w:highlight w:val="none"/>
        </w:rPr>
        <w:t>承认并承诺履行本磋商文件各项规定的法人</w:t>
      </w:r>
      <w:r>
        <w:rPr>
          <w:rFonts w:ascii="宋体" w:hAnsi="宋体" w:eastAsia="宋体" w:cs="宋体"/>
          <w:color w:val="auto"/>
          <w:spacing w:val="-1"/>
          <w:sz w:val="24"/>
          <w:szCs w:val="24"/>
          <w:highlight w:val="none"/>
        </w:rPr>
        <w:t>、其他组织或者自然人。</w:t>
      </w:r>
    </w:p>
    <w:p w14:paraId="5385486C">
      <w:pPr>
        <w:spacing w:line="360" w:lineRule="auto"/>
        <w:ind w:left="4" w:right="66" w:firstLine="48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3.2符合本项目“投标邀请</w:t>
      </w:r>
      <w:r>
        <w:rPr>
          <w:rFonts w:ascii="宋体" w:hAnsi="宋体" w:eastAsia="宋体" w:cs="宋体"/>
          <w:color w:val="auto"/>
          <w:spacing w:val="-88"/>
          <w:sz w:val="24"/>
          <w:szCs w:val="24"/>
          <w:highlight w:val="none"/>
        </w:rPr>
        <w:t xml:space="preserve"> </w:t>
      </w:r>
      <w:r>
        <w:rPr>
          <w:rFonts w:ascii="宋体" w:hAnsi="宋体" w:eastAsia="宋体" w:cs="宋体"/>
          <w:color w:val="auto"/>
          <w:spacing w:val="-2"/>
          <w:sz w:val="24"/>
          <w:szCs w:val="24"/>
          <w:highlight w:val="none"/>
        </w:rPr>
        <w:t>”和“供应商须知前附表</w:t>
      </w:r>
      <w:r>
        <w:rPr>
          <w:rFonts w:ascii="宋体" w:hAnsi="宋体" w:eastAsia="宋体" w:cs="宋体"/>
          <w:color w:val="auto"/>
          <w:spacing w:val="-88"/>
          <w:sz w:val="24"/>
          <w:szCs w:val="24"/>
          <w:highlight w:val="none"/>
        </w:rPr>
        <w:t xml:space="preserve"> </w:t>
      </w:r>
      <w:r>
        <w:rPr>
          <w:rFonts w:ascii="宋体" w:hAnsi="宋体" w:eastAsia="宋体" w:cs="宋体"/>
          <w:color w:val="auto"/>
          <w:spacing w:val="-2"/>
          <w:sz w:val="24"/>
          <w:szCs w:val="24"/>
          <w:highlight w:val="none"/>
        </w:rPr>
        <w:t>”中规定的合格供应商</w:t>
      </w:r>
      <w:r>
        <w:rPr>
          <w:rFonts w:ascii="宋体" w:hAnsi="宋体" w:eastAsia="宋体" w:cs="宋体"/>
          <w:color w:val="auto"/>
          <w:spacing w:val="-3"/>
          <w:sz w:val="24"/>
          <w:szCs w:val="24"/>
          <w:highlight w:val="none"/>
        </w:rPr>
        <w:t>所必须具备的条件。</w:t>
      </w:r>
    </w:p>
    <w:p w14:paraId="4F9C707F">
      <w:pPr>
        <w:spacing w:line="360" w:lineRule="auto"/>
        <w:ind w:right="4" w:firstLine="485"/>
        <w:rPr>
          <w:rFonts w:ascii="宋体" w:hAnsi="宋体" w:eastAsia="宋体" w:cs="宋体"/>
          <w:color w:val="auto"/>
          <w:sz w:val="24"/>
          <w:szCs w:val="24"/>
          <w:highlight w:val="none"/>
        </w:rPr>
      </w:pPr>
      <w:r>
        <w:rPr>
          <w:rFonts w:ascii="宋体" w:hAnsi="宋体" w:eastAsia="宋体" w:cs="宋体"/>
          <w:color w:val="auto"/>
          <w:sz w:val="24"/>
          <w:szCs w:val="24"/>
          <w:highlight w:val="none"/>
        </w:rPr>
        <w:t>3.3按照财政部《关于在政府采购活动中查询及</w:t>
      </w:r>
      <w:r>
        <w:rPr>
          <w:rFonts w:ascii="宋体" w:hAnsi="宋体" w:eastAsia="宋体" w:cs="宋体"/>
          <w:color w:val="auto"/>
          <w:spacing w:val="-1"/>
          <w:sz w:val="24"/>
          <w:szCs w:val="24"/>
          <w:highlight w:val="none"/>
        </w:rPr>
        <w:t>使用信用记录有关问题的通知》（财</w:t>
      </w:r>
      <w:r>
        <w:rPr>
          <w:rFonts w:ascii="宋体" w:hAnsi="宋体" w:eastAsia="宋体" w:cs="宋体"/>
          <w:color w:val="auto"/>
          <w:sz w:val="24"/>
          <w:szCs w:val="24"/>
          <w:highlight w:val="none"/>
        </w:rPr>
        <w:t>库〔2016〕125号）要求，政府采购活动中查询及使用供应商信用</w:t>
      </w:r>
      <w:r>
        <w:rPr>
          <w:rFonts w:ascii="宋体" w:hAnsi="宋体" w:eastAsia="宋体" w:cs="宋体"/>
          <w:color w:val="auto"/>
          <w:spacing w:val="-1"/>
          <w:sz w:val="24"/>
          <w:szCs w:val="24"/>
          <w:highlight w:val="none"/>
        </w:rPr>
        <w:t>记录的具体要求为：供</w:t>
      </w:r>
      <w:r>
        <w:rPr>
          <w:rFonts w:ascii="宋体" w:hAnsi="宋体" w:eastAsia="宋体" w:cs="宋体"/>
          <w:color w:val="auto"/>
          <w:spacing w:val="-3"/>
          <w:sz w:val="24"/>
          <w:szCs w:val="24"/>
          <w:highlight w:val="none"/>
        </w:rPr>
        <w:t>应商未被列入失信被执行人、重大税收违法失信主体、政府采购严重违</w:t>
      </w:r>
      <w:r>
        <w:rPr>
          <w:rFonts w:ascii="宋体" w:hAnsi="宋体" w:eastAsia="宋体" w:cs="宋体"/>
          <w:color w:val="auto"/>
          <w:spacing w:val="-4"/>
          <w:sz w:val="24"/>
          <w:szCs w:val="24"/>
          <w:highlight w:val="none"/>
        </w:rPr>
        <w:t>法失信行为记录名</w:t>
      </w:r>
      <w:r>
        <w:rPr>
          <w:rFonts w:ascii="宋体" w:hAnsi="宋体" w:eastAsia="宋体" w:cs="宋体"/>
          <w:color w:val="auto"/>
          <w:spacing w:val="-2"/>
          <w:sz w:val="24"/>
          <w:szCs w:val="24"/>
          <w:highlight w:val="none"/>
        </w:rPr>
        <w:t>单、严重违法失信社会组织名单（以联合体形式投标的，联合体成员存在不良信用记录，</w:t>
      </w:r>
      <w:r>
        <w:rPr>
          <w:rFonts w:ascii="宋体" w:hAnsi="宋体" w:eastAsia="宋体" w:cs="宋体"/>
          <w:color w:val="auto"/>
          <w:spacing w:val="-1"/>
          <w:sz w:val="24"/>
          <w:szCs w:val="24"/>
          <w:highlight w:val="none"/>
        </w:rPr>
        <w:t>视同联合体存在不良信用记录）。</w:t>
      </w:r>
    </w:p>
    <w:p w14:paraId="591A74A6">
      <w:pPr>
        <w:spacing w:line="359" w:lineRule="auto"/>
        <w:ind w:right="66" w:firstLine="486"/>
        <w:rPr>
          <w:rFonts w:ascii="宋体" w:hAnsi="宋体" w:eastAsia="宋体" w:cs="宋体"/>
          <w:color w:val="auto"/>
          <w:sz w:val="24"/>
          <w:szCs w:val="24"/>
          <w:highlight w:val="none"/>
        </w:rPr>
      </w:pPr>
      <w:r>
        <w:rPr>
          <w:rFonts w:ascii="宋体" w:hAnsi="宋体" w:eastAsia="宋体" w:cs="宋体"/>
          <w:color w:val="auto"/>
          <w:sz w:val="24"/>
          <w:szCs w:val="24"/>
          <w:highlight w:val="none"/>
        </w:rPr>
        <w:t>3.3.1查询渠道：“信用中国”网站（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ascii="宋体" w:hAnsi="宋体" w:eastAsia="宋体" w:cs="宋体"/>
          <w:color w:val="auto"/>
          <w:sz w:val="24"/>
          <w:szCs w:val="24"/>
          <w:highlight w:val="none"/>
        </w:rPr>
        <w:t>www.creditchina.</w:t>
      </w:r>
      <w:r>
        <w:rPr>
          <w:rFonts w:ascii="宋体" w:hAnsi="宋体" w:eastAsia="宋体" w:cs="宋体"/>
          <w:color w:val="auto"/>
          <w:spacing w:val="-1"/>
          <w:sz w:val="24"/>
          <w:szCs w:val="24"/>
          <w:highlight w:val="none"/>
        </w:rPr>
        <w:t>gov.cn/</w:t>
      </w:r>
      <w:r>
        <w:rPr>
          <w:rFonts w:ascii="宋体" w:hAnsi="宋体" w:eastAsia="宋体" w:cs="宋体"/>
          <w:color w:val="auto"/>
          <w:spacing w:val="-1"/>
          <w:sz w:val="24"/>
          <w:szCs w:val="24"/>
          <w:highlight w:val="none"/>
        </w:rPr>
        <w:fldChar w:fldCharType="end"/>
      </w:r>
      <w:r>
        <w:rPr>
          <w:rFonts w:ascii="宋体" w:hAnsi="宋体" w:eastAsia="宋体" w:cs="宋体"/>
          <w:color w:val="auto"/>
          <w:spacing w:val="-1"/>
          <w:sz w:val="24"/>
          <w:szCs w:val="24"/>
          <w:highlight w:val="none"/>
        </w:rPr>
        <w:t>）、 “中国政府采</w:t>
      </w:r>
      <w:r>
        <w:rPr>
          <w:rFonts w:ascii="宋体" w:hAnsi="宋体" w:eastAsia="宋体" w:cs="宋体"/>
          <w:color w:val="auto"/>
          <w:sz w:val="24"/>
          <w:szCs w:val="24"/>
          <w:highlight w:val="none"/>
        </w:rPr>
        <w:t>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rFonts w:ascii="宋体" w:hAnsi="宋体" w:eastAsia="宋体" w:cs="宋体"/>
          <w:color w:val="auto"/>
          <w:sz w:val="24"/>
          <w:szCs w:val="24"/>
          <w:highlight w:val="none"/>
        </w:rPr>
        <w:t>www.ccgp.gov.cn/</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t>）和“中国社会组织</w:t>
      </w:r>
      <w:r>
        <w:rPr>
          <w:rFonts w:ascii="宋体" w:hAnsi="宋体" w:eastAsia="宋体" w:cs="宋体"/>
          <w:color w:val="auto"/>
          <w:spacing w:val="-1"/>
          <w:sz w:val="24"/>
          <w:szCs w:val="24"/>
          <w:highlight w:val="none"/>
        </w:rPr>
        <w:t>政务服务平台”网站</w:t>
      </w:r>
    </w:p>
    <w:p w14:paraId="6CF8C0B3">
      <w:pPr>
        <w:spacing w:before="1" w:line="214" w:lineRule="auto"/>
        <w:ind w:left="13"/>
        <w:rPr>
          <w:rFonts w:ascii="宋体" w:hAnsi="宋体" w:eastAsia="宋体" w:cs="宋体"/>
          <w:color w:val="auto"/>
          <w:sz w:val="24"/>
          <w:szCs w:val="24"/>
          <w:highlight w:val="none"/>
        </w:rPr>
      </w:pPr>
      <w:r>
        <w:rPr>
          <w:rFonts w:ascii="宋体" w:hAnsi="宋体" w:eastAsia="宋体" w:cs="宋体"/>
          <w:color w:val="auto"/>
          <w:sz w:val="24"/>
          <w:szCs w:val="24"/>
          <w:highlight w:val="none"/>
        </w:rPr>
        <w:t>（</w:t>
      </w:r>
      <w:r>
        <w:rPr>
          <w:color w:val="auto"/>
          <w:highlight w:val="none"/>
        </w:rPr>
        <w:fldChar w:fldCharType="begin"/>
      </w:r>
      <w:r>
        <w:rPr>
          <w:color w:val="auto"/>
          <w:highlight w:val="none"/>
        </w:rPr>
        <w:instrText xml:space="preserve"> HYPERLINK "https://chinanpo.mca.gov.cn/" </w:instrText>
      </w:r>
      <w:r>
        <w:rPr>
          <w:color w:val="auto"/>
          <w:highlight w:val="none"/>
        </w:rPr>
        <w:fldChar w:fldCharType="separate"/>
      </w:r>
      <w:r>
        <w:rPr>
          <w:rFonts w:ascii="宋体" w:hAnsi="宋体" w:eastAsia="宋体" w:cs="宋体"/>
          <w:color w:val="auto"/>
          <w:sz w:val="24"/>
          <w:szCs w:val="24"/>
          <w:highlight w:val="none"/>
        </w:rPr>
        <w:t>https://chinanpo.mca.gov.cn/</w:t>
      </w:r>
      <w:r>
        <w:rPr>
          <w:rFonts w:ascii="宋体" w:hAnsi="宋体" w:eastAsia="宋体" w:cs="宋体"/>
          <w:color w:val="auto"/>
          <w:sz w:val="24"/>
          <w:szCs w:val="24"/>
          <w:highlight w:val="none"/>
        </w:rPr>
        <w:fldChar w:fldCharType="end"/>
      </w:r>
      <w:r>
        <w:rPr>
          <w:rFonts w:ascii="宋体" w:hAnsi="宋体" w:eastAsia="宋体" w:cs="宋体"/>
          <w:color w:val="auto"/>
          <w:spacing w:val="-11"/>
          <w:sz w:val="24"/>
          <w:szCs w:val="24"/>
          <w:highlight w:val="none"/>
        </w:rPr>
        <w:t>）（</w:t>
      </w:r>
      <w:r>
        <w:rPr>
          <w:rFonts w:ascii="宋体" w:hAnsi="宋体" w:eastAsia="宋体" w:cs="宋体"/>
          <w:color w:val="auto"/>
          <w:sz w:val="24"/>
          <w:szCs w:val="24"/>
          <w:highlight w:val="none"/>
        </w:rPr>
        <w:t>仅查询社会组织）</w:t>
      </w:r>
    </w:p>
    <w:p w14:paraId="7BB296CE">
      <w:pPr>
        <w:spacing w:before="190" w:line="220" w:lineRule="auto"/>
        <w:ind w:left="48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3.3.2截止时间：同投标截止时间；</w:t>
      </w:r>
    </w:p>
    <w:p w14:paraId="2832D2D3">
      <w:pPr>
        <w:spacing w:before="182" w:line="360" w:lineRule="auto"/>
        <w:ind w:left="2" w:right="66" w:firstLine="483"/>
        <w:rPr>
          <w:rFonts w:ascii="宋体" w:hAnsi="宋体" w:eastAsia="宋体" w:cs="宋体"/>
          <w:color w:val="auto"/>
          <w:sz w:val="24"/>
          <w:szCs w:val="24"/>
          <w:highlight w:val="none"/>
        </w:rPr>
      </w:pPr>
      <w:r>
        <w:rPr>
          <w:rFonts w:ascii="宋体" w:hAnsi="宋体" w:eastAsia="宋体" w:cs="宋体"/>
          <w:color w:val="auto"/>
          <w:sz w:val="24"/>
          <w:szCs w:val="24"/>
          <w:highlight w:val="none"/>
        </w:rPr>
        <w:t>3.3.3信用信息查询记录和证据留存具体方式：</w:t>
      </w:r>
      <w:r>
        <w:rPr>
          <w:rFonts w:ascii="宋体" w:hAnsi="宋体" w:eastAsia="宋体" w:cs="宋体"/>
          <w:color w:val="auto"/>
          <w:spacing w:val="-1"/>
          <w:sz w:val="24"/>
          <w:szCs w:val="24"/>
          <w:highlight w:val="none"/>
        </w:rPr>
        <w:t>经磋商小组确认的查询结果网页截图作为查询记录和证据，与其他磋商文件一并保存；</w:t>
      </w:r>
    </w:p>
    <w:p w14:paraId="36D6F763">
      <w:pPr>
        <w:spacing w:before="4" w:line="359" w:lineRule="auto"/>
        <w:ind w:right="4" w:firstLine="486"/>
        <w:rPr>
          <w:rFonts w:ascii="宋体" w:hAnsi="宋体" w:eastAsia="宋体" w:cs="宋体"/>
          <w:color w:val="auto"/>
          <w:sz w:val="24"/>
          <w:szCs w:val="24"/>
          <w:highlight w:val="none"/>
        </w:rPr>
      </w:pPr>
      <w:r>
        <w:rPr>
          <w:rFonts w:ascii="宋体" w:hAnsi="宋体" w:eastAsia="宋体" w:cs="宋体"/>
          <w:color w:val="auto"/>
          <w:sz w:val="24"/>
          <w:szCs w:val="24"/>
          <w:highlight w:val="none"/>
        </w:rPr>
        <w:t>3.3.4信用信息的使用原则：经磋商小组认定的</w:t>
      </w:r>
      <w:r>
        <w:rPr>
          <w:rFonts w:ascii="宋体" w:hAnsi="宋体" w:eastAsia="宋体" w:cs="宋体"/>
          <w:color w:val="auto"/>
          <w:spacing w:val="-1"/>
          <w:sz w:val="24"/>
          <w:szCs w:val="24"/>
          <w:highlight w:val="none"/>
        </w:rPr>
        <w:t>被列入失信被执行人、重大税收违法</w:t>
      </w:r>
      <w:r>
        <w:rPr>
          <w:rFonts w:ascii="宋体" w:hAnsi="宋体" w:eastAsia="宋体" w:cs="宋体"/>
          <w:color w:val="auto"/>
          <w:spacing w:val="-2"/>
          <w:sz w:val="24"/>
          <w:szCs w:val="24"/>
          <w:highlight w:val="none"/>
        </w:rPr>
        <w:t>失信主体、政府采购严重违法失信行为记录名单、严重违法失信社会组织名单的供应商，</w:t>
      </w:r>
      <w:r>
        <w:rPr>
          <w:rFonts w:ascii="宋体" w:hAnsi="宋体" w:eastAsia="宋体" w:cs="宋体"/>
          <w:color w:val="auto"/>
          <w:spacing w:val="-1"/>
          <w:sz w:val="24"/>
          <w:szCs w:val="24"/>
          <w:highlight w:val="none"/>
        </w:rPr>
        <w:t>将拒绝其参与本次政府采购活动。</w:t>
      </w:r>
    </w:p>
    <w:p w14:paraId="55F8E668">
      <w:pPr>
        <w:spacing w:line="360" w:lineRule="auto"/>
        <w:ind w:left="4" w:right="63" w:firstLine="481"/>
        <w:rPr>
          <w:rFonts w:ascii="宋体" w:hAnsi="宋体" w:eastAsia="宋体" w:cs="宋体"/>
          <w:color w:val="auto"/>
          <w:sz w:val="24"/>
          <w:szCs w:val="24"/>
          <w:highlight w:val="none"/>
        </w:rPr>
      </w:pPr>
      <w:r>
        <w:rPr>
          <w:rFonts w:ascii="宋体" w:hAnsi="宋体" w:eastAsia="宋体" w:cs="宋体"/>
          <w:color w:val="auto"/>
          <w:sz w:val="24"/>
          <w:szCs w:val="24"/>
          <w:highlight w:val="none"/>
        </w:rPr>
        <w:t>3.3.5供应商无须提供信用记录查询结果网页截</w:t>
      </w:r>
      <w:r>
        <w:rPr>
          <w:rFonts w:ascii="宋体" w:hAnsi="宋体" w:eastAsia="宋体" w:cs="宋体"/>
          <w:color w:val="auto"/>
          <w:spacing w:val="-1"/>
          <w:sz w:val="24"/>
          <w:szCs w:val="24"/>
          <w:highlight w:val="none"/>
        </w:rPr>
        <w:t>屏。供应商不良信用记录以磋商小组</w:t>
      </w:r>
      <w:r>
        <w:rPr>
          <w:rFonts w:ascii="宋体" w:hAnsi="宋体" w:eastAsia="宋体" w:cs="宋体"/>
          <w:color w:val="auto"/>
          <w:spacing w:val="-3"/>
          <w:sz w:val="24"/>
          <w:szCs w:val="24"/>
          <w:highlight w:val="none"/>
        </w:rPr>
        <w:t>查询结果为准，磋商小组查询之后，网站信息发生的任何</w:t>
      </w:r>
      <w:r>
        <w:rPr>
          <w:rFonts w:ascii="宋体" w:hAnsi="宋体" w:eastAsia="宋体" w:cs="宋体"/>
          <w:color w:val="auto"/>
          <w:spacing w:val="-4"/>
          <w:sz w:val="24"/>
          <w:szCs w:val="24"/>
          <w:highlight w:val="none"/>
        </w:rPr>
        <w:t>变更不再作为评审依据，供应商</w:t>
      </w:r>
      <w:r>
        <w:rPr>
          <w:rFonts w:ascii="宋体" w:hAnsi="宋体" w:eastAsia="宋体" w:cs="宋体"/>
          <w:color w:val="auto"/>
          <w:spacing w:val="-1"/>
          <w:sz w:val="24"/>
          <w:szCs w:val="24"/>
          <w:highlight w:val="none"/>
        </w:rPr>
        <w:t>自行提供的与网站信息不一致的其他证明材料亦不作为评审依据。</w:t>
      </w:r>
    </w:p>
    <w:p w14:paraId="179E6C99">
      <w:pPr>
        <w:spacing w:before="2" w:line="359" w:lineRule="auto"/>
        <w:ind w:left="2" w:right="66" w:firstLine="483"/>
        <w:rPr>
          <w:rFonts w:ascii="宋体" w:hAnsi="宋体" w:eastAsia="宋体" w:cs="宋体"/>
          <w:color w:val="auto"/>
          <w:sz w:val="24"/>
          <w:szCs w:val="24"/>
          <w:highlight w:val="none"/>
        </w:rPr>
      </w:pPr>
      <w:r>
        <w:rPr>
          <w:rFonts w:ascii="宋体" w:hAnsi="宋体" w:eastAsia="宋体" w:cs="宋体"/>
          <w:color w:val="auto"/>
          <w:sz w:val="24"/>
          <w:szCs w:val="24"/>
          <w:highlight w:val="none"/>
        </w:rPr>
        <w:t>3.4单位负责人为同一人或者存在直接控股、管</w:t>
      </w:r>
      <w:r>
        <w:rPr>
          <w:rFonts w:ascii="宋体" w:hAnsi="宋体" w:eastAsia="宋体" w:cs="宋体"/>
          <w:color w:val="auto"/>
          <w:spacing w:val="-1"/>
          <w:sz w:val="24"/>
          <w:szCs w:val="24"/>
          <w:highlight w:val="none"/>
        </w:rPr>
        <w:t>理关系的不同供应商，不得同时参加本项目响应。违反规定的，相关响应均无效。</w:t>
      </w:r>
    </w:p>
    <w:p w14:paraId="4D2A62A9">
      <w:pPr>
        <w:spacing w:line="360" w:lineRule="auto"/>
        <w:ind w:left="5" w:firstLine="48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3.5为采购项目提供整体设计、规范编制或者项目管理、监理、检测等服务的供应商，</w:t>
      </w:r>
      <w:r>
        <w:rPr>
          <w:rFonts w:ascii="宋体" w:hAnsi="宋体" w:eastAsia="宋体" w:cs="宋体"/>
          <w:color w:val="auto"/>
          <w:spacing w:val="-1"/>
          <w:sz w:val="24"/>
          <w:szCs w:val="24"/>
          <w:highlight w:val="none"/>
        </w:rPr>
        <w:t>不得再参加该采购项目的其他采购活动。</w:t>
      </w:r>
    </w:p>
    <w:p w14:paraId="459F3D79">
      <w:pPr>
        <w:spacing w:before="3" w:line="359" w:lineRule="auto"/>
        <w:ind w:left="6" w:right="66" w:firstLine="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3.6“投标邀请</w:t>
      </w:r>
      <w:r>
        <w:rPr>
          <w:rFonts w:ascii="宋体" w:hAnsi="宋体" w:eastAsia="宋体" w:cs="宋体"/>
          <w:color w:val="auto"/>
          <w:spacing w:val="-88"/>
          <w:sz w:val="24"/>
          <w:szCs w:val="24"/>
          <w:highlight w:val="none"/>
        </w:rPr>
        <w:t xml:space="preserve"> </w:t>
      </w:r>
      <w:r>
        <w:rPr>
          <w:rFonts w:ascii="宋体" w:hAnsi="宋体" w:eastAsia="宋体" w:cs="宋体"/>
          <w:color w:val="auto"/>
          <w:spacing w:val="-2"/>
          <w:sz w:val="24"/>
          <w:szCs w:val="24"/>
          <w:highlight w:val="none"/>
        </w:rPr>
        <w:t>”和“供应商须知前附表</w:t>
      </w:r>
      <w:r>
        <w:rPr>
          <w:rFonts w:ascii="宋体" w:hAnsi="宋体" w:eastAsia="宋体" w:cs="宋体"/>
          <w:color w:val="auto"/>
          <w:spacing w:val="-88"/>
          <w:sz w:val="24"/>
          <w:szCs w:val="24"/>
          <w:highlight w:val="none"/>
        </w:rPr>
        <w:t xml:space="preserve"> </w:t>
      </w:r>
      <w:r>
        <w:rPr>
          <w:rFonts w:ascii="宋体" w:hAnsi="宋体" w:eastAsia="宋体" w:cs="宋体"/>
          <w:color w:val="auto"/>
          <w:spacing w:val="-2"/>
          <w:sz w:val="24"/>
          <w:szCs w:val="24"/>
          <w:highlight w:val="none"/>
        </w:rPr>
        <w:t>”规定接受联合体投标的，除应符</w:t>
      </w:r>
      <w:r>
        <w:rPr>
          <w:rFonts w:ascii="宋体" w:hAnsi="宋体" w:eastAsia="宋体" w:cs="宋体"/>
          <w:color w:val="auto"/>
          <w:spacing w:val="-3"/>
          <w:sz w:val="24"/>
          <w:szCs w:val="24"/>
          <w:highlight w:val="none"/>
        </w:rPr>
        <w:t>合本章第</w:t>
      </w:r>
      <w:r>
        <w:rPr>
          <w:rFonts w:ascii="宋体" w:hAnsi="宋体" w:eastAsia="宋体" w:cs="宋体"/>
          <w:color w:val="auto"/>
          <w:spacing w:val="-1"/>
          <w:sz w:val="24"/>
          <w:szCs w:val="24"/>
          <w:highlight w:val="none"/>
        </w:rPr>
        <w:t>3.1项和3.2项要求外，还应遵守以下规定：</w:t>
      </w:r>
    </w:p>
    <w:p w14:paraId="783E3CDD">
      <w:pPr>
        <w:spacing w:before="1" w:line="218" w:lineRule="auto"/>
        <w:jc w:val="right"/>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3.6.1在响应文件中向采购人提交联合体协议书，明确联合体各方承担的工作和义务；</w:t>
      </w:r>
    </w:p>
    <w:p w14:paraId="72D88E03">
      <w:pPr>
        <w:spacing w:line="218" w:lineRule="auto"/>
        <w:rPr>
          <w:rFonts w:ascii="宋体" w:hAnsi="宋体" w:eastAsia="宋体" w:cs="宋体"/>
          <w:color w:val="auto"/>
          <w:sz w:val="24"/>
          <w:szCs w:val="24"/>
          <w:highlight w:val="none"/>
        </w:rPr>
        <w:sectPr>
          <w:footerReference r:id="rId16" w:type="default"/>
          <w:pgSz w:w="11906" w:h="16839"/>
          <w:pgMar w:top="1431" w:right="1013" w:bottom="1443" w:left="1593" w:header="0" w:footer="1202" w:gutter="0"/>
          <w:pgNumType w:fmt="decimal"/>
          <w:cols w:space="720" w:num="1"/>
        </w:sectPr>
      </w:pPr>
    </w:p>
    <w:p w14:paraId="01F70634">
      <w:pPr>
        <w:spacing w:before="122" w:line="360" w:lineRule="auto"/>
        <w:ind w:left="4" w:right="84"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3.6.2联合体中有同类资质的供应商按联合体分</w:t>
      </w:r>
      <w:r>
        <w:rPr>
          <w:rFonts w:ascii="宋体" w:hAnsi="宋体" w:eastAsia="宋体" w:cs="宋体"/>
          <w:color w:val="auto"/>
          <w:spacing w:val="-1"/>
          <w:sz w:val="24"/>
          <w:szCs w:val="24"/>
          <w:highlight w:val="none"/>
        </w:rPr>
        <w:t>工承担相同工作的，应当按照资质等级较低的供应商确定资质等级；</w:t>
      </w:r>
    </w:p>
    <w:p w14:paraId="71FA1EAE">
      <w:pPr>
        <w:spacing w:before="2" w:line="359" w:lineRule="auto"/>
        <w:ind w:left="16" w:right="84" w:firstLine="469"/>
        <w:rPr>
          <w:rFonts w:ascii="宋体" w:hAnsi="宋体" w:eastAsia="宋体" w:cs="宋体"/>
          <w:color w:val="auto"/>
          <w:sz w:val="24"/>
          <w:szCs w:val="24"/>
          <w:highlight w:val="none"/>
        </w:rPr>
      </w:pPr>
      <w:r>
        <w:rPr>
          <w:rFonts w:ascii="宋体" w:hAnsi="宋体" w:eastAsia="宋体" w:cs="宋体"/>
          <w:color w:val="auto"/>
          <w:sz w:val="24"/>
          <w:szCs w:val="24"/>
          <w:highlight w:val="none"/>
        </w:rPr>
        <w:t>3.6.3采购人根据采购项目的特殊要求规定供应</w:t>
      </w:r>
      <w:r>
        <w:rPr>
          <w:rFonts w:ascii="宋体" w:hAnsi="宋体" w:eastAsia="宋体" w:cs="宋体"/>
          <w:color w:val="auto"/>
          <w:spacing w:val="-1"/>
          <w:sz w:val="24"/>
          <w:szCs w:val="24"/>
          <w:highlight w:val="none"/>
        </w:rPr>
        <w:t>商特定条件的，联合体各方中至少应</w:t>
      </w:r>
      <w:r>
        <w:rPr>
          <w:rFonts w:ascii="宋体" w:hAnsi="宋体" w:eastAsia="宋体" w:cs="宋体"/>
          <w:color w:val="auto"/>
          <w:spacing w:val="-2"/>
          <w:sz w:val="24"/>
          <w:szCs w:val="24"/>
          <w:highlight w:val="none"/>
        </w:rPr>
        <w:t>当有一方符合采购规定的特定条件；</w:t>
      </w:r>
    </w:p>
    <w:p w14:paraId="29C8888D">
      <w:pPr>
        <w:spacing w:before="2" w:line="359" w:lineRule="auto"/>
        <w:ind w:left="8" w:right="84" w:firstLine="477"/>
        <w:rPr>
          <w:rFonts w:ascii="宋体" w:hAnsi="宋体" w:eastAsia="宋体" w:cs="宋体"/>
          <w:color w:val="auto"/>
          <w:sz w:val="24"/>
          <w:szCs w:val="24"/>
          <w:highlight w:val="none"/>
        </w:rPr>
      </w:pPr>
      <w:r>
        <w:rPr>
          <w:rFonts w:ascii="宋体" w:hAnsi="宋体" w:eastAsia="宋体" w:cs="宋体"/>
          <w:color w:val="auto"/>
          <w:sz w:val="24"/>
          <w:szCs w:val="24"/>
          <w:highlight w:val="none"/>
        </w:rPr>
        <w:t>3.6.4联合体各方不得再单独参加或者与其他供</w:t>
      </w:r>
      <w:r>
        <w:rPr>
          <w:rFonts w:ascii="宋体" w:hAnsi="宋体" w:eastAsia="宋体" w:cs="宋体"/>
          <w:color w:val="auto"/>
          <w:spacing w:val="-1"/>
          <w:sz w:val="24"/>
          <w:szCs w:val="24"/>
          <w:highlight w:val="none"/>
        </w:rPr>
        <w:t>应商另外组成联合体参加同一合同项</w:t>
      </w:r>
      <w:r>
        <w:rPr>
          <w:rFonts w:ascii="宋体" w:hAnsi="宋体" w:eastAsia="宋体" w:cs="宋体"/>
          <w:color w:val="auto"/>
          <w:spacing w:val="-2"/>
          <w:sz w:val="24"/>
          <w:szCs w:val="24"/>
          <w:highlight w:val="none"/>
        </w:rPr>
        <w:t>下的政府采购活动；</w:t>
      </w:r>
    </w:p>
    <w:p w14:paraId="4464FE2A">
      <w:pPr>
        <w:spacing w:before="2" w:line="359" w:lineRule="auto"/>
        <w:ind w:right="84" w:firstLine="484"/>
        <w:rPr>
          <w:rFonts w:ascii="宋体" w:hAnsi="宋体" w:eastAsia="宋体" w:cs="宋体"/>
          <w:color w:val="auto"/>
          <w:sz w:val="24"/>
          <w:szCs w:val="24"/>
          <w:highlight w:val="none"/>
        </w:rPr>
      </w:pPr>
      <w:r>
        <w:rPr>
          <w:rFonts w:ascii="宋体" w:hAnsi="宋体" w:eastAsia="宋体" w:cs="宋体"/>
          <w:color w:val="auto"/>
          <w:sz w:val="24"/>
          <w:szCs w:val="24"/>
          <w:highlight w:val="none"/>
        </w:rPr>
        <w:t>3.6.5联合体各方应当共同与采购人签订采购合</w:t>
      </w:r>
      <w:r>
        <w:rPr>
          <w:rFonts w:ascii="宋体" w:hAnsi="宋体" w:eastAsia="宋体" w:cs="宋体"/>
          <w:color w:val="auto"/>
          <w:spacing w:val="-1"/>
          <w:sz w:val="24"/>
          <w:szCs w:val="24"/>
          <w:highlight w:val="none"/>
        </w:rPr>
        <w:t>同，就采购合同约定的事项对采购人</w:t>
      </w:r>
      <w:r>
        <w:rPr>
          <w:rFonts w:ascii="宋体" w:hAnsi="宋体" w:eastAsia="宋体" w:cs="宋体"/>
          <w:color w:val="auto"/>
          <w:spacing w:val="-2"/>
          <w:sz w:val="24"/>
          <w:szCs w:val="24"/>
          <w:highlight w:val="none"/>
        </w:rPr>
        <w:t>承担连带责任。</w:t>
      </w:r>
    </w:p>
    <w:p w14:paraId="0B38EE0F">
      <w:pPr>
        <w:spacing w:before="1" w:line="219" w:lineRule="auto"/>
        <w:ind w:left="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3.7法律、行政法规规定的其他条件。</w:t>
      </w:r>
    </w:p>
    <w:p w14:paraId="494E52C1">
      <w:pPr>
        <w:spacing w:before="182" w:line="219" w:lineRule="auto"/>
        <w:ind w:left="480"/>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4.合格的货物和服务</w:t>
      </w:r>
    </w:p>
    <w:p w14:paraId="5E4044D8">
      <w:pPr>
        <w:spacing w:before="184" w:line="360" w:lineRule="auto"/>
        <w:ind w:right="82"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4.1供应商提供的货物应当符合磋商文件的要求，并且其质量</w:t>
      </w:r>
      <w:r>
        <w:rPr>
          <w:rFonts w:ascii="宋体" w:hAnsi="宋体" w:eastAsia="宋体" w:cs="宋体"/>
          <w:color w:val="auto"/>
          <w:spacing w:val="-1"/>
          <w:sz w:val="24"/>
          <w:szCs w:val="24"/>
          <w:highlight w:val="none"/>
        </w:rPr>
        <w:t>完全符合国家标准、行</w:t>
      </w:r>
      <w:r>
        <w:rPr>
          <w:rFonts w:ascii="宋体" w:hAnsi="宋体" w:eastAsia="宋体" w:cs="宋体"/>
          <w:color w:val="auto"/>
          <w:spacing w:val="-3"/>
          <w:sz w:val="24"/>
          <w:szCs w:val="24"/>
          <w:highlight w:val="none"/>
        </w:rPr>
        <w:t>业标准或地方标准，均有标准的以高（严格）者为准。没有国家</w:t>
      </w:r>
      <w:r>
        <w:rPr>
          <w:rFonts w:ascii="宋体" w:hAnsi="宋体" w:eastAsia="宋体" w:cs="宋体"/>
          <w:color w:val="auto"/>
          <w:spacing w:val="-4"/>
          <w:sz w:val="24"/>
          <w:szCs w:val="24"/>
          <w:highlight w:val="none"/>
        </w:rPr>
        <w:t>标准、行业标准和企业标</w:t>
      </w:r>
      <w:r>
        <w:rPr>
          <w:rFonts w:ascii="宋体" w:hAnsi="宋体" w:eastAsia="宋体" w:cs="宋体"/>
          <w:color w:val="auto"/>
          <w:spacing w:val="-1"/>
          <w:sz w:val="24"/>
          <w:szCs w:val="24"/>
          <w:highlight w:val="none"/>
        </w:rPr>
        <w:t>准的，按照通常标准或者符合采购目的的特定标准确定。</w:t>
      </w:r>
    </w:p>
    <w:p w14:paraId="77B22B51">
      <w:pPr>
        <w:spacing w:line="218" w:lineRule="auto"/>
        <w:jc w:val="right"/>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4.2供应商所提供的服务应当没有侵犯任何第三方的知识产权、技</w:t>
      </w:r>
      <w:r>
        <w:rPr>
          <w:rFonts w:ascii="宋体" w:hAnsi="宋体" w:eastAsia="宋体" w:cs="宋体"/>
          <w:color w:val="auto"/>
          <w:spacing w:val="-5"/>
          <w:sz w:val="24"/>
          <w:szCs w:val="24"/>
          <w:highlight w:val="none"/>
        </w:rPr>
        <w:t>术秘密等合法权利。</w:t>
      </w:r>
    </w:p>
    <w:p w14:paraId="203FC57A">
      <w:pPr>
        <w:spacing w:before="184" w:line="360" w:lineRule="auto"/>
        <w:ind w:firstLine="48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4.3根据《财政部、发展改革委、生态环境部、市场监管总局关于</w:t>
      </w:r>
      <w:r>
        <w:rPr>
          <w:rFonts w:ascii="宋体" w:hAnsi="宋体" w:eastAsia="宋体" w:cs="宋体"/>
          <w:color w:val="auto"/>
          <w:spacing w:val="-5"/>
          <w:sz w:val="24"/>
          <w:szCs w:val="24"/>
          <w:highlight w:val="none"/>
        </w:rPr>
        <w:t>调整优化节能产品、</w:t>
      </w:r>
      <w:r>
        <w:rPr>
          <w:rFonts w:ascii="宋体" w:hAnsi="宋体" w:eastAsia="宋体" w:cs="宋体"/>
          <w:color w:val="auto"/>
          <w:sz w:val="24"/>
          <w:szCs w:val="24"/>
          <w:highlight w:val="none"/>
        </w:rPr>
        <w:t>环境标志产品政府采购执行机制的通知》（财库〔2019〕9号）要</w:t>
      </w:r>
      <w:r>
        <w:rPr>
          <w:rFonts w:ascii="宋体" w:hAnsi="宋体" w:eastAsia="宋体" w:cs="宋体"/>
          <w:color w:val="auto"/>
          <w:spacing w:val="-1"/>
          <w:sz w:val="24"/>
          <w:szCs w:val="24"/>
          <w:highlight w:val="none"/>
        </w:rPr>
        <w:t>求，采购属于政府强制</w:t>
      </w:r>
      <w:r>
        <w:rPr>
          <w:rFonts w:ascii="宋体" w:hAnsi="宋体" w:eastAsia="宋体" w:cs="宋体"/>
          <w:color w:val="auto"/>
          <w:spacing w:val="-3"/>
          <w:sz w:val="24"/>
          <w:szCs w:val="24"/>
          <w:highlight w:val="none"/>
        </w:rPr>
        <w:t>采购产品类别的，该产品必须具有国家确定的认证机构出具的、处于有</w:t>
      </w:r>
      <w:r>
        <w:rPr>
          <w:rFonts w:ascii="宋体" w:hAnsi="宋体" w:eastAsia="宋体" w:cs="宋体"/>
          <w:color w:val="auto"/>
          <w:spacing w:val="-4"/>
          <w:sz w:val="24"/>
          <w:szCs w:val="24"/>
          <w:highlight w:val="none"/>
        </w:rPr>
        <w:t>效期之内的节能产</w:t>
      </w:r>
      <w:r>
        <w:rPr>
          <w:rFonts w:ascii="宋体" w:hAnsi="宋体" w:eastAsia="宋体" w:cs="宋体"/>
          <w:color w:val="auto"/>
          <w:spacing w:val="-1"/>
          <w:sz w:val="24"/>
          <w:szCs w:val="24"/>
          <w:highlight w:val="none"/>
        </w:rPr>
        <w:t>品认证证书，否则其投标将被拒绝。</w:t>
      </w:r>
    </w:p>
    <w:p w14:paraId="4ACA577B">
      <w:pPr>
        <w:spacing w:before="9" w:line="359" w:lineRule="auto"/>
        <w:ind w:right="80"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4.4根据国家互联网信息办公室、工业和信息化部、公安部和</w:t>
      </w:r>
      <w:r>
        <w:rPr>
          <w:rFonts w:ascii="宋体" w:hAnsi="宋体" w:eastAsia="宋体" w:cs="宋体"/>
          <w:color w:val="auto"/>
          <w:spacing w:val="-1"/>
          <w:sz w:val="24"/>
          <w:szCs w:val="24"/>
          <w:highlight w:val="none"/>
        </w:rPr>
        <w:t>国家认证认可监督管理</w:t>
      </w:r>
      <w:r>
        <w:rPr>
          <w:rFonts w:ascii="宋体" w:hAnsi="宋体" w:eastAsia="宋体" w:cs="宋体"/>
          <w:color w:val="auto"/>
          <w:sz w:val="24"/>
          <w:szCs w:val="24"/>
          <w:highlight w:val="none"/>
        </w:rPr>
        <w:t>委员会2023年第2号《关于调整〈网络关键设备和网络安全专用产</w:t>
      </w:r>
      <w:r>
        <w:rPr>
          <w:rFonts w:ascii="宋体" w:hAnsi="宋体" w:eastAsia="宋体" w:cs="宋体"/>
          <w:color w:val="auto"/>
          <w:spacing w:val="-1"/>
          <w:sz w:val="24"/>
          <w:szCs w:val="24"/>
          <w:highlight w:val="none"/>
        </w:rPr>
        <w:t>品目录〉的公告》及国</w:t>
      </w:r>
      <w:r>
        <w:rPr>
          <w:rFonts w:ascii="宋体" w:hAnsi="宋体" w:eastAsia="宋体" w:cs="宋体"/>
          <w:color w:val="auto"/>
          <w:spacing w:val="-3"/>
          <w:sz w:val="24"/>
          <w:szCs w:val="24"/>
          <w:highlight w:val="none"/>
        </w:rPr>
        <w:t>家互联网信息办公室、工业和信息化部、公安部、财政部和国家认证认</w:t>
      </w:r>
      <w:r>
        <w:rPr>
          <w:rFonts w:ascii="宋体" w:hAnsi="宋体" w:eastAsia="宋体" w:cs="宋体"/>
          <w:color w:val="auto"/>
          <w:spacing w:val="-4"/>
          <w:sz w:val="24"/>
          <w:szCs w:val="24"/>
          <w:highlight w:val="none"/>
        </w:rPr>
        <w:t>可监督管理委员会</w:t>
      </w:r>
      <w:r>
        <w:rPr>
          <w:rFonts w:ascii="宋体" w:hAnsi="宋体" w:eastAsia="宋体" w:cs="宋体"/>
          <w:color w:val="auto"/>
          <w:sz w:val="24"/>
          <w:szCs w:val="24"/>
          <w:highlight w:val="none"/>
        </w:rPr>
        <w:t>2023年第1号《关于调整网络安全专用产品安全管理有关事项的公告》等相关</w:t>
      </w:r>
      <w:r>
        <w:rPr>
          <w:rFonts w:ascii="宋体" w:hAnsi="宋体" w:eastAsia="宋体" w:cs="宋体"/>
          <w:color w:val="auto"/>
          <w:spacing w:val="-1"/>
          <w:sz w:val="24"/>
          <w:szCs w:val="24"/>
          <w:highlight w:val="none"/>
        </w:rPr>
        <w:t>文件要求，</w:t>
      </w:r>
      <w:r>
        <w:rPr>
          <w:rFonts w:ascii="宋体" w:hAnsi="宋体" w:eastAsia="宋体" w:cs="宋体"/>
          <w:color w:val="auto"/>
          <w:spacing w:val="-3"/>
          <w:sz w:val="24"/>
          <w:szCs w:val="24"/>
          <w:highlight w:val="none"/>
        </w:rPr>
        <w:t>项目中涉及网络关键设备或网络安全专用产品的，至少符合以下条件之</w:t>
      </w:r>
      <w:r>
        <w:rPr>
          <w:rFonts w:ascii="宋体" w:hAnsi="宋体" w:eastAsia="宋体" w:cs="宋体"/>
          <w:color w:val="auto"/>
          <w:spacing w:val="-4"/>
          <w:sz w:val="24"/>
          <w:szCs w:val="24"/>
          <w:highlight w:val="none"/>
        </w:rPr>
        <w:t>一：一是已具备资</w:t>
      </w:r>
      <w:r>
        <w:rPr>
          <w:rFonts w:ascii="宋体" w:hAnsi="宋体" w:eastAsia="宋体" w:cs="宋体"/>
          <w:color w:val="auto"/>
          <w:spacing w:val="-3"/>
          <w:sz w:val="24"/>
          <w:szCs w:val="24"/>
          <w:highlight w:val="none"/>
        </w:rPr>
        <w:t>格的机构安全认证合格或安全检测符合要求；二是已获得《计算机信息</w:t>
      </w:r>
      <w:r>
        <w:rPr>
          <w:rFonts w:ascii="宋体" w:hAnsi="宋体" w:eastAsia="宋体" w:cs="宋体"/>
          <w:color w:val="auto"/>
          <w:spacing w:val="-4"/>
          <w:sz w:val="24"/>
          <w:szCs w:val="24"/>
          <w:highlight w:val="none"/>
        </w:rPr>
        <w:t>系统安全专用产品</w:t>
      </w:r>
      <w:r>
        <w:rPr>
          <w:rFonts w:ascii="宋体" w:hAnsi="宋体" w:eastAsia="宋体" w:cs="宋体"/>
          <w:color w:val="auto"/>
          <w:spacing w:val="-1"/>
          <w:sz w:val="24"/>
          <w:szCs w:val="24"/>
          <w:highlight w:val="none"/>
        </w:rPr>
        <w:t>销售许可证》，且在有效期内。</w:t>
      </w:r>
    </w:p>
    <w:p w14:paraId="11B455D8">
      <w:pPr>
        <w:spacing w:line="220" w:lineRule="auto"/>
        <w:ind w:left="48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5.磋商费用</w:t>
      </w:r>
    </w:p>
    <w:p w14:paraId="7F904068">
      <w:pPr>
        <w:spacing w:before="182" w:line="360" w:lineRule="auto"/>
        <w:ind w:left="4" w:right="80" w:firstLine="48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不论磋商的结果如何，供应商均应自行承担所有与磋商有关的全部费用，采购人在任</w:t>
      </w:r>
      <w:r>
        <w:rPr>
          <w:rFonts w:ascii="宋体" w:hAnsi="宋体" w:eastAsia="宋体" w:cs="宋体"/>
          <w:color w:val="auto"/>
          <w:spacing w:val="-1"/>
          <w:sz w:val="24"/>
          <w:szCs w:val="24"/>
          <w:highlight w:val="none"/>
        </w:rPr>
        <w:t>何情况下均无义务和责任承担这些费用。</w:t>
      </w:r>
    </w:p>
    <w:p w14:paraId="7DD3B368">
      <w:pPr>
        <w:spacing w:before="1" w:line="218" w:lineRule="auto"/>
        <w:ind w:left="48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6.信息发布</w:t>
      </w:r>
    </w:p>
    <w:p w14:paraId="732D69E7">
      <w:pPr>
        <w:spacing w:line="218" w:lineRule="auto"/>
        <w:rPr>
          <w:rFonts w:ascii="宋体" w:hAnsi="宋体" w:eastAsia="宋体" w:cs="宋体"/>
          <w:color w:val="auto"/>
          <w:sz w:val="24"/>
          <w:szCs w:val="24"/>
          <w:highlight w:val="none"/>
        </w:rPr>
        <w:sectPr>
          <w:footerReference r:id="rId17" w:type="default"/>
          <w:pgSz w:w="11906" w:h="16839"/>
          <w:pgMar w:top="1431" w:right="994" w:bottom="1443" w:left="1594" w:header="0" w:footer="1202" w:gutter="0"/>
          <w:pgNumType w:fmt="decimal"/>
          <w:cols w:space="720" w:num="1"/>
        </w:sectPr>
      </w:pPr>
    </w:p>
    <w:p w14:paraId="348B14B6">
      <w:pPr>
        <w:spacing w:before="122" w:line="360" w:lineRule="auto"/>
        <w:ind w:firstLine="481"/>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本采购项目需要公开的有关信息，包括磋商公告</w:t>
      </w:r>
      <w:r>
        <w:rPr>
          <w:rFonts w:ascii="宋体" w:hAnsi="宋体" w:eastAsia="宋体" w:cs="宋体"/>
          <w:color w:val="auto"/>
          <w:spacing w:val="-4"/>
          <w:sz w:val="24"/>
          <w:szCs w:val="24"/>
          <w:highlight w:val="none"/>
        </w:rPr>
        <w:t>、磋商文件澄清或修改公告、成交公</w:t>
      </w:r>
      <w:r>
        <w:rPr>
          <w:rFonts w:ascii="宋体" w:hAnsi="宋体" w:eastAsia="宋体" w:cs="宋体"/>
          <w:color w:val="auto"/>
          <w:spacing w:val="-3"/>
          <w:sz w:val="24"/>
          <w:szCs w:val="24"/>
          <w:highlight w:val="none"/>
        </w:rPr>
        <w:t>告以及延长响应文件提交截止时间等与采购活动有关的通知，采购人均</w:t>
      </w:r>
      <w:r>
        <w:rPr>
          <w:rFonts w:ascii="宋体" w:hAnsi="宋体" w:eastAsia="宋体" w:cs="宋体"/>
          <w:color w:val="auto"/>
          <w:spacing w:val="-4"/>
          <w:sz w:val="24"/>
          <w:szCs w:val="24"/>
          <w:highlight w:val="none"/>
        </w:rPr>
        <w:t>将通过在《中国政</w:t>
      </w:r>
      <w:r>
        <w:rPr>
          <w:rFonts w:ascii="宋体" w:hAnsi="宋体" w:eastAsia="宋体" w:cs="宋体"/>
          <w:color w:val="auto"/>
          <w:spacing w:val="-3"/>
          <w:sz w:val="24"/>
          <w:szCs w:val="24"/>
          <w:highlight w:val="none"/>
        </w:rPr>
        <w:t>府采购网》《河南省政府采购网》《许昌市政府采购网》《全国公共资</w:t>
      </w:r>
      <w:r>
        <w:rPr>
          <w:rFonts w:ascii="宋体" w:hAnsi="宋体" w:eastAsia="宋体" w:cs="宋体"/>
          <w:color w:val="auto"/>
          <w:spacing w:val="-4"/>
          <w:sz w:val="24"/>
          <w:szCs w:val="24"/>
          <w:highlight w:val="none"/>
        </w:rPr>
        <w:t>源交易平台（河南</w:t>
      </w:r>
      <w:r>
        <w:rPr>
          <w:rFonts w:ascii="宋体" w:hAnsi="宋体" w:eastAsia="宋体" w:cs="宋体"/>
          <w:color w:val="auto"/>
          <w:spacing w:val="-6"/>
          <w:sz w:val="24"/>
          <w:szCs w:val="24"/>
          <w:highlight w:val="none"/>
        </w:rPr>
        <w:t>省</w:t>
      </w:r>
      <w:r>
        <w:rPr>
          <w:rFonts w:ascii="宋体" w:hAnsi="宋体" w:eastAsia="宋体" w:cs="宋体"/>
          <w:color w:val="auto"/>
          <w:spacing w:val="-11"/>
          <w:sz w:val="24"/>
          <w:szCs w:val="24"/>
          <w:highlight w:val="none"/>
        </w:rPr>
        <w:t xml:space="preserve"> </w:t>
      </w:r>
      <w:r>
        <w:rPr>
          <w:rFonts w:ascii="宋体" w:hAnsi="宋体" w:eastAsia="宋体" w:cs="宋体"/>
          <w:color w:val="auto"/>
          <w:spacing w:val="-6"/>
          <w:sz w:val="24"/>
          <w:szCs w:val="24"/>
          <w:highlight w:val="none"/>
        </w:rPr>
        <w:t>·许昌市）》公开发布。供应商在参与本采购项目招投标活动期间，请及时关注以上媒</w:t>
      </w:r>
      <w:r>
        <w:rPr>
          <w:rFonts w:ascii="宋体" w:hAnsi="宋体" w:eastAsia="宋体" w:cs="宋体"/>
          <w:color w:val="auto"/>
          <w:spacing w:val="-3"/>
          <w:sz w:val="24"/>
          <w:szCs w:val="24"/>
          <w:highlight w:val="none"/>
        </w:rPr>
        <w:t>体上的相关信息，供应商因没有及时关注而未能如期获取相关信息，及</w:t>
      </w:r>
      <w:r>
        <w:rPr>
          <w:rFonts w:ascii="宋体" w:hAnsi="宋体" w:eastAsia="宋体" w:cs="宋体"/>
          <w:color w:val="auto"/>
          <w:spacing w:val="-4"/>
          <w:sz w:val="24"/>
          <w:szCs w:val="24"/>
          <w:highlight w:val="none"/>
        </w:rPr>
        <w:t>因此所产生的一切</w:t>
      </w:r>
      <w:r>
        <w:rPr>
          <w:rFonts w:ascii="宋体" w:hAnsi="宋体" w:eastAsia="宋体" w:cs="宋体"/>
          <w:color w:val="auto"/>
          <w:spacing w:val="-3"/>
          <w:sz w:val="24"/>
          <w:szCs w:val="24"/>
          <w:highlight w:val="none"/>
        </w:rPr>
        <w:t>后果和责任，由供应商自行承担，采购人、采购代理公司在任何情况下</w:t>
      </w:r>
      <w:r>
        <w:rPr>
          <w:rFonts w:ascii="宋体" w:hAnsi="宋体" w:eastAsia="宋体" w:cs="宋体"/>
          <w:color w:val="auto"/>
          <w:spacing w:val="-4"/>
          <w:sz w:val="24"/>
          <w:szCs w:val="24"/>
          <w:highlight w:val="none"/>
        </w:rPr>
        <w:t>均不对此承担任何</w:t>
      </w:r>
      <w:r>
        <w:rPr>
          <w:rFonts w:ascii="宋体" w:hAnsi="宋体" w:eastAsia="宋体" w:cs="宋体"/>
          <w:color w:val="auto"/>
          <w:spacing w:val="-3"/>
          <w:sz w:val="24"/>
          <w:szCs w:val="24"/>
          <w:highlight w:val="none"/>
        </w:rPr>
        <w:t>责任。</w:t>
      </w:r>
    </w:p>
    <w:p w14:paraId="751D73F7">
      <w:pPr>
        <w:spacing w:line="218" w:lineRule="auto"/>
        <w:ind w:left="48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7.采购代理机构代理费用收取标准和方式</w:t>
      </w:r>
    </w:p>
    <w:p w14:paraId="1C011F11">
      <w:pPr>
        <w:spacing w:before="183" w:line="219" w:lineRule="auto"/>
        <w:ind w:left="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本项目收取代理费用。收取标准和方式详见供应商须知前附表。</w:t>
      </w:r>
    </w:p>
    <w:p w14:paraId="6FF860A6">
      <w:pPr>
        <w:spacing w:before="183" w:line="220" w:lineRule="auto"/>
        <w:ind w:left="48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8.其他</w:t>
      </w:r>
    </w:p>
    <w:p w14:paraId="2E6109C5">
      <w:pPr>
        <w:spacing w:before="182" w:line="360" w:lineRule="auto"/>
        <w:ind w:left="13" w:right="2" w:firstLine="468"/>
        <w:rPr>
          <w:rFonts w:ascii="宋体" w:hAnsi="宋体" w:eastAsia="宋体" w:cs="宋体"/>
          <w:color w:val="auto"/>
          <w:sz w:val="24"/>
          <w:szCs w:val="24"/>
          <w:highlight w:val="none"/>
        </w:rPr>
      </w:pPr>
      <w:r>
        <w:rPr>
          <w:rFonts w:ascii="宋体" w:hAnsi="宋体" w:eastAsia="宋体" w:cs="宋体"/>
          <w:color w:val="auto"/>
          <w:spacing w:val="-14"/>
          <w:sz w:val="24"/>
          <w:szCs w:val="24"/>
          <w:highlight w:val="none"/>
        </w:rPr>
        <w:t>本</w:t>
      </w:r>
      <w:r>
        <w:rPr>
          <w:rFonts w:ascii="宋体" w:hAnsi="宋体" w:eastAsia="宋体" w:cs="宋体"/>
          <w:color w:val="auto"/>
          <w:spacing w:val="-13"/>
          <w:sz w:val="24"/>
          <w:szCs w:val="24"/>
          <w:highlight w:val="none"/>
        </w:rPr>
        <w:t>“供应商须知</w:t>
      </w:r>
      <w:r>
        <w:rPr>
          <w:rFonts w:ascii="宋体" w:hAnsi="宋体" w:eastAsia="宋体" w:cs="宋体"/>
          <w:color w:val="auto"/>
          <w:spacing w:val="-88"/>
          <w:sz w:val="24"/>
          <w:szCs w:val="24"/>
          <w:highlight w:val="none"/>
        </w:rPr>
        <w:t xml:space="preserve"> </w:t>
      </w:r>
      <w:r>
        <w:rPr>
          <w:rFonts w:ascii="宋体" w:hAnsi="宋体" w:eastAsia="宋体" w:cs="宋体"/>
          <w:color w:val="auto"/>
          <w:spacing w:val="-13"/>
          <w:sz w:val="24"/>
          <w:szCs w:val="24"/>
          <w:highlight w:val="none"/>
        </w:rPr>
        <w:t>”的条款如与“采购邀请</w:t>
      </w:r>
      <w:r>
        <w:rPr>
          <w:rFonts w:ascii="宋体" w:hAnsi="宋体" w:eastAsia="宋体" w:cs="宋体"/>
          <w:color w:val="auto"/>
          <w:spacing w:val="-88"/>
          <w:sz w:val="24"/>
          <w:szCs w:val="24"/>
          <w:highlight w:val="none"/>
        </w:rPr>
        <w:t xml:space="preserve"> </w:t>
      </w:r>
      <w:r>
        <w:rPr>
          <w:rFonts w:ascii="宋体" w:hAnsi="宋体" w:eastAsia="宋体" w:cs="宋体"/>
          <w:color w:val="auto"/>
          <w:spacing w:val="-13"/>
          <w:sz w:val="24"/>
          <w:szCs w:val="24"/>
          <w:highlight w:val="none"/>
        </w:rPr>
        <w:t>”“采购需求</w:t>
      </w:r>
      <w:r>
        <w:rPr>
          <w:rFonts w:ascii="宋体" w:hAnsi="宋体" w:eastAsia="宋体" w:cs="宋体"/>
          <w:color w:val="auto"/>
          <w:spacing w:val="-88"/>
          <w:sz w:val="24"/>
          <w:szCs w:val="24"/>
          <w:highlight w:val="none"/>
        </w:rPr>
        <w:t xml:space="preserve"> </w:t>
      </w:r>
      <w:r>
        <w:rPr>
          <w:rFonts w:ascii="宋体" w:hAnsi="宋体" w:eastAsia="宋体" w:cs="宋体"/>
          <w:color w:val="auto"/>
          <w:spacing w:val="-13"/>
          <w:sz w:val="24"/>
          <w:szCs w:val="24"/>
          <w:highlight w:val="none"/>
        </w:rPr>
        <w:t>”“供应商须知前附表</w:t>
      </w:r>
      <w:r>
        <w:rPr>
          <w:rFonts w:ascii="宋体" w:hAnsi="宋体" w:eastAsia="宋体" w:cs="宋体"/>
          <w:color w:val="auto"/>
          <w:spacing w:val="-88"/>
          <w:sz w:val="24"/>
          <w:szCs w:val="24"/>
          <w:highlight w:val="none"/>
        </w:rPr>
        <w:t xml:space="preserve"> </w:t>
      </w:r>
      <w:r>
        <w:rPr>
          <w:rFonts w:ascii="宋体" w:hAnsi="宋体" w:eastAsia="宋体" w:cs="宋体"/>
          <w:color w:val="auto"/>
          <w:spacing w:val="-13"/>
          <w:sz w:val="24"/>
          <w:szCs w:val="24"/>
          <w:highlight w:val="none"/>
        </w:rPr>
        <w:t>”</w:t>
      </w:r>
      <w:r>
        <w:rPr>
          <w:rFonts w:ascii="宋体" w:hAnsi="宋体" w:eastAsia="宋体" w:cs="宋体"/>
          <w:color w:val="auto"/>
          <w:spacing w:val="-14"/>
          <w:sz w:val="24"/>
          <w:szCs w:val="24"/>
          <w:highlight w:val="none"/>
        </w:rPr>
        <w:t>和“</w:t>
      </w:r>
      <w:r>
        <w:rPr>
          <w:rFonts w:ascii="宋体" w:hAnsi="宋体" w:eastAsia="宋体" w:cs="宋体"/>
          <w:color w:val="auto"/>
          <w:spacing w:val="-13"/>
          <w:sz w:val="24"/>
          <w:szCs w:val="24"/>
          <w:highlight w:val="none"/>
        </w:rPr>
        <w:t>对</w:t>
      </w:r>
      <w:r>
        <w:rPr>
          <w:rFonts w:ascii="宋体" w:hAnsi="宋体" w:eastAsia="宋体" w:cs="宋体"/>
          <w:color w:val="auto"/>
          <w:spacing w:val="-2"/>
          <w:sz w:val="24"/>
          <w:szCs w:val="24"/>
          <w:highlight w:val="none"/>
        </w:rPr>
        <w:t>响应文件审查与评审</w:t>
      </w:r>
      <w:r>
        <w:rPr>
          <w:rFonts w:ascii="宋体" w:hAnsi="宋体" w:eastAsia="宋体" w:cs="宋体"/>
          <w:color w:val="auto"/>
          <w:spacing w:val="-88"/>
          <w:sz w:val="24"/>
          <w:szCs w:val="24"/>
          <w:highlight w:val="none"/>
        </w:rPr>
        <w:t xml:space="preserve"> </w:t>
      </w:r>
      <w:r>
        <w:rPr>
          <w:rFonts w:ascii="宋体" w:hAnsi="宋体" w:eastAsia="宋体" w:cs="宋体"/>
          <w:color w:val="auto"/>
          <w:spacing w:val="-2"/>
          <w:sz w:val="24"/>
          <w:szCs w:val="24"/>
          <w:highlight w:val="none"/>
        </w:rPr>
        <w:t>”就同一内容的表述不一致</w:t>
      </w:r>
      <w:r>
        <w:rPr>
          <w:rFonts w:ascii="宋体" w:hAnsi="宋体" w:eastAsia="宋体" w:cs="宋体"/>
          <w:color w:val="auto"/>
          <w:spacing w:val="-3"/>
          <w:sz w:val="24"/>
          <w:szCs w:val="24"/>
          <w:highlight w:val="none"/>
        </w:rPr>
        <w:t>的，以“采购邀请</w:t>
      </w:r>
      <w:r>
        <w:rPr>
          <w:rFonts w:ascii="宋体" w:hAnsi="宋体" w:eastAsia="宋体" w:cs="宋体"/>
          <w:color w:val="auto"/>
          <w:spacing w:val="-88"/>
          <w:sz w:val="24"/>
          <w:szCs w:val="24"/>
          <w:highlight w:val="none"/>
        </w:rPr>
        <w:t xml:space="preserve"> </w:t>
      </w:r>
      <w:r>
        <w:rPr>
          <w:rFonts w:ascii="宋体" w:hAnsi="宋体" w:eastAsia="宋体" w:cs="宋体"/>
          <w:color w:val="auto"/>
          <w:spacing w:val="-3"/>
          <w:sz w:val="24"/>
          <w:szCs w:val="24"/>
          <w:highlight w:val="none"/>
        </w:rPr>
        <w:t>”“ 采购需求</w:t>
      </w:r>
      <w:r>
        <w:rPr>
          <w:rFonts w:ascii="宋体" w:hAnsi="宋体" w:eastAsia="宋体" w:cs="宋体"/>
          <w:color w:val="auto"/>
          <w:spacing w:val="-88"/>
          <w:sz w:val="24"/>
          <w:szCs w:val="24"/>
          <w:highlight w:val="none"/>
        </w:rPr>
        <w:t xml:space="preserve"> </w:t>
      </w:r>
      <w:r>
        <w:rPr>
          <w:rFonts w:ascii="宋体" w:hAnsi="宋体" w:eastAsia="宋体" w:cs="宋体"/>
          <w:color w:val="auto"/>
          <w:spacing w:val="-3"/>
          <w:sz w:val="24"/>
          <w:szCs w:val="24"/>
          <w:highlight w:val="none"/>
        </w:rPr>
        <w:t>”、</w:t>
      </w:r>
    </w:p>
    <w:p w14:paraId="4352EB30">
      <w:pPr>
        <w:spacing w:before="1" w:line="218" w:lineRule="auto"/>
        <w:ind w:left="46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“供应商须知前附表</w:t>
      </w:r>
      <w:r>
        <w:rPr>
          <w:rFonts w:ascii="宋体" w:hAnsi="宋体" w:eastAsia="宋体" w:cs="宋体"/>
          <w:color w:val="auto"/>
          <w:spacing w:val="-87"/>
          <w:sz w:val="24"/>
          <w:szCs w:val="24"/>
          <w:highlight w:val="none"/>
        </w:rPr>
        <w:t xml:space="preserve"> </w:t>
      </w:r>
      <w:r>
        <w:rPr>
          <w:rFonts w:ascii="宋体" w:hAnsi="宋体" w:eastAsia="宋体" w:cs="宋体"/>
          <w:color w:val="auto"/>
          <w:spacing w:val="-2"/>
          <w:sz w:val="24"/>
          <w:szCs w:val="24"/>
          <w:highlight w:val="none"/>
        </w:rPr>
        <w:t>”和“对响应文件审查与评审</w:t>
      </w:r>
      <w:r>
        <w:rPr>
          <w:rFonts w:ascii="宋体" w:hAnsi="宋体" w:eastAsia="宋体" w:cs="宋体"/>
          <w:color w:val="auto"/>
          <w:spacing w:val="-88"/>
          <w:sz w:val="24"/>
          <w:szCs w:val="24"/>
          <w:highlight w:val="none"/>
        </w:rPr>
        <w:t xml:space="preserve"> </w:t>
      </w:r>
      <w:r>
        <w:rPr>
          <w:rFonts w:ascii="宋体" w:hAnsi="宋体" w:eastAsia="宋体" w:cs="宋体"/>
          <w:color w:val="auto"/>
          <w:spacing w:val="-2"/>
          <w:sz w:val="24"/>
          <w:szCs w:val="24"/>
          <w:highlight w:val="none"/>
        </w:rPr>
        <w:t>”中规定的内容为准。</w:t>
      </w:r>
    </w:p>
    <w:p w14:paraId="2DD36FEC">
      <w:pPr>
        <w:spacing w:before="228" w:line="225" w:lineRule="auto"/>
        <w:ind w:left="3131"/>
        <w:rPr>
          <w:rFonts w:ascii="宋体" w:hAnsi="宋体" w:eastAsia="宋体" w:cs="宋体"/>
          <w:color w:val="auto"/>
          <w:sz w:val="30"/>
          <w:szCs w:val="30"/>
          <w:highlight w:val="none"/>
        </w:rPr>
      </w:pPr>
      <w:r>
        <w:rPr>
          <w:rFonts w:ascii="宋体" w:hAnsi="宋体" w:eastAsia="宋体" w:cs="宋体"/>
          <w:b/>
          <w:bCs/>
          <w:color w:val="auto"/>
          <w:spacing w:val="5"/>
          <w:sz w:val="30"/>
          <w:szCs w:val="30"/>
          <w:highlight w:val="none"/>
        </w:rPr>
        <w:t>二、磋商文件说明</w:t>
      </w:r>
    </w:p>
    <w:p w14:paraId="0FFE8248">
      <w:pPr>
        <w:spacing w:before="215" w:line="219" w:lineRule="auto"/>
        <w:ind w:left="1"/>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9.磋商文件构成</w:t>
      </w:r>
    </w:p>
    <w:p w14:paraId="6753851D">
      <w:pPr>
        <w:spacing w:before="183" w:line="219" w:lineRule="auto"/>
        <w:ind w:left="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9.1磋商文件由以下部分组成：</w:t>
      </w:r>
    </w:p>
    <w:p w14:paraId="3DE6B7B4">
      <w:pPr>
        <w:spacing w:before="183" w:line="218"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（1）磋商邀请（磋商公告）</w:t>
      </w:r>
    </w:p>
    <w:p w14:paraId="2D6C064B">
      <w:pPr>
        <w:spacing w:before="184" w:line="219" w:lineRule="auto"/>
        <w:ind w:left="49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（2）采购需求</w:t>
      </w:r>
    </w:p>
    <w:p w14:paraId="3EB2A286">
      <w:pPr>
        <w:spacing w:before="183"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（3）供应商须知前附表</w:t>
      </w:r>
    </w:p>
    <w:p w14:paraId="253AB781">
      <w:pPr>
        <w:spacing w:before="183" w:line="219" w:lineRule="auto"/>
        <w:ind w:left="49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（4）供应商须知</w:t>
      </w:r>
    </w:p>
    <w:p w14:paraId="764A3D65">
      <w:pPr>
        <w:spacing w:before="184"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（5）政府采购政策功能</w:t>
      </w:r>
    </w:p>
    <w:p w14:paraId="0C3CF995">
      <w:pPr>
        <w:spacing w:before="184"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（6）对响应文件审查与评审</w:t>
      </w:r>
    </w:p>
    <w:p w14:paraId="2376D22D">
      <w:pPr>
        <w:spacing w:before="182"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（7）拟签订的合同文本</w:t>
      </w:r>
    </w:p>
    <w:p w14:paraId="6FD4D84A">
      <w:pPr>
        <w:spacing w:before="185"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（8）响应文件有关格式</w:t>
      </w:r>
    </w:p>
    <w:p w14:paraId="1D862E6D">
      <w:pPr>
        <w:spacing w:before="182"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（9）本项目磋商文件的澄清、答复、修改、补充内容（如有的话）</w:t>
      </w:r>
    </w:p>
    <w:p w14:paraId="0A0CC42D">
      <w:pPr>
        <w:spacing w:before="184" w:line="361" w:lineRule="auto"/>
        <w:ind w:right="2" w:firstLine="48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9.2供应商应认真阅读、并充分理解磋商文件的全部内容</w:t>
      </w:r>
      <w:r>
        <w:rPr>
          <w:rFonts w:ascii="宋体" w:hAnsi="宋体" w:eastAsia="宋体" w:cs="宋体"/>
          <w:color w:val="auto"/>
          <w:spacing w:val="-1"/>
          <w:sz w:val="24"/>
          <w:szCs w:val="24"/>
          <w:highlight w:val="none"/>
        </w:rPr>
        <w:t>（包括所有的补充、修改内</w:t>
      </w:r>
      <w:r>
        <w:rPr>
          <w:rFonts w:ascii="宋体" w:hAnsi="宋体" w:eastAsia="宋体" w:cs="宋体"/>
          <w:color w:val="auto"/>
          <w:spacing w:val="-3"/>
          <w:sz w:val="24"/>
          <w:szCs w:val="24"/>
          <w:highlight w:val="none"/>
        </w:rPr>
        <w:t>容、重要事项、格式、条款和技术规范、参数及要求等</w:t>
      </w:r>
      <w:r>
        <w:rPr>
          <w:rFonts w:ascii="宋体" w:hAnsi="宋体" w:eastAsia="宋体" w:cs="宋体"/>
          <w:color w:val="auto"/>
          <w:spacing w:val="-9"/>
          <w:sz w:val="24"/>
          <w:szCs w:val="24"/>
          <w:highlight w:val="none"/>
        </w:rPr>
        <w:t>），</w:t>
      </w:r>
      <w:r>
        <w:rPr>
          <w:rFonts w:ascii="宋体" w:hAnsi="宋体" w:eastAsia="宋体" w:cs="宋体"/>
          <w:color w:val="auto"/>
          <w:spacing w:val="-3"/>
          <w:sz w:val="24"/>
          <w:szCs w:val="24"/>
          <w:highlight w:val="none"/>
        </w:rPr>
        <w:t>按磋商文件要求和规定编制响应文件，并保证所提供的全部资料的真实性，否则有可能导致投</w:t>
      </w:r>
      <w:r>
        <w:rPr>
          <w:rFonts w:ascii="宋体" w:hAnsi="宋体" w:eastAsia="宋体" w:cs="宋体"/>
          <w:color w:val="auto"/>
          <w:spacing w:val="-4"/>
          <w:sz w:val="24"/>
          <w:szCs w:val="24"/>
          <w:highlight w:val="none"/>
        </w:rPr>
        <w:t>标被拒绝，其风险由供应</w:t>
      </w:r>
      <w:r>
        <w:rPr>
          <w:rFonts w:ascii="宋体" w:hAnsi="宋体" w:eastAsia="宋体" w:cs="宋体"/>
          <w:color w:val="auto"/>
          <w:spacing w:val="-2"/>
          <w:sz w:val="24"/>
          <w:szCs w:val="24"/>
          <w:highlight w:val="none"/>
        </w:rPr>
        <w:t>商自行承担。</w:t>
      </w:r>
    </w:p>
    <w:p w14:paraId="07EE70B4">
      <w:pPr>
        <w:spacing w:line="361" w:lineRule="auto"/>
        <w:rPr>
          <w:rFonts w:ascii="宋体" w:hAnsi="宋体" w:eastAsia="宋体" w:cs="宋体"/>
          <w:color w:val="auto"/>
          <w:sz w:val="24"/>
          <w:szCs w:val="24"/>
          <w:highlight w:val="none"/>
        </w:rPr>
        <w:sectPr>
          <w:footerReference r:id="rId18" w:type="default"/>
          <w:pgSz w:w="11906" w:h="16839"/>
          <w:pgMar w:top="1431" w:right="1074" w:bottom="1443" w:left="1594" w:header="0" w:footer="1202" w:gutter="0"/>
          <w:pgNumType w:fmt="decimal"/>
          <w:cols w:space="720" w:num="1"/>
        </w:sectPr>
      </w:pPr>
    </w:p>
    <w:p w14:paraId="3B075750">
      <w:pPr>
        <w:spacing w:before="122" w:line="360" w:lineRule="auto"/>
        <w:ind w:right="200" w:firstLine="48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9.3供应商应认真了解本次招标的具体工作要求、工作范</w:t>
      </w:r>
      <w:r>
        <w:rPr>
          <w:rFonts w:ascii="宋体" w:hAnsi="宋体" w:eastAsia="宋体" w:cs="宋体"/>
          <w:color w:val="auto"/>
          <w:spacing w:val="-1"/>
          <w:sz w:val="24"/>
          <w:szCs w:val="24"/>
          <w:highlight w:val="none"/>
        </w:rPr>
        <w:t>围以及职责，了解一切可能</w:t>
      </w:r>
      <w:r>
        <w:rPr>
          <w:rFonts w:ascii="宋体" w:hAnsi="宋体" w:eastAsia="宋体" w:cs="宋体"/>
          <w:color w:val="auto"/>
          <w:spacing w:val="-3"/>
          <w:sz w:val="24"/>
          <w:szCs w:val="24"/>
          <w:highlight w:val="none"/>
        </w:rPr>
        <w:t>影响投标报价的资料。一经中标，不得以不完全了解项目要求、项目</w:t>
      </w:r>
      <w:r>
        <w:rPr>
          <w:rFonts w:ascii="宋体" w:hAnsi="宋体" w:eastAsia="宋体" w:cs="宋体"/>
          <w:color w:val="auto"/>
          <w:spacing w:val="-4"/>
          <w:sz w:val="24"/>
          <w:szCs w:val="24"/>
          <w:highlight w:val="none"/>
        </w:rPr>
        <w:t>情况等为借口而提出</w:t>
      </w:r>
      <w:r>
        <w:rPr>
          <w:rFonts w:ascii="宋体" w:hAnsi="宋体" w:eastAsia="宋体" w:cs="宋体"/>
          <w:color w:val="auto"/>
          <w:spacing w:val="-1"/>
          <w:sz w:val="24"/>
          <w:szCs w:val="24"/>
          <w:highlight w:val="none"/>
        </w:rPr>
        <w:t>额外补偿等要求，否则，由此引起的一切后果由中标人负责。</w:t>
      </w:r>
    </w:p>
    <w:p w14:paraId="080EA3A2">
      <w:pPr>
        <w:spacing w:line="218" w:lineRule="auto"/>
        <w:ind w:left="18"/>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10.现场考察、磋商前答疑会（如有）</w:t>
      </w:r>
    </w:p>
    <w:p w14:paraId="65D4F587">
      <w:pPr>
        <w:spacing w:before="183" w:line="360" w:lineRule="auto"/>
        <w:ind w:left="2" w:right="200" w:firstLine="495"/>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10.1采购人根据采购项目的具体情况，可以在磋商文件公告期满后，组织已获取磋商</w:t>
      </w:r>
      <w:r>
        <w:rPr>
          <w:rFonts w:ascii="宋体" w:hAnsi="宋体" w:eastAsia="宋体" w:cs="宋体"/>
          <w:color w:val="auto"/>
          <w:spacing w:val="-1"/>
          <w:sz w:val="24"/>
          <w:szCs w:val="24"/>
          <w:highlight w:val="none"/>
        </w:rPr>
        <w:t>文件的供应商现场考察或者召开磋商前答疑会。</w:t>
      </w:r>
    </w:p>
    <w:p w14:paraId="6B6BAD7E">
      <w:pPr>
        <w:spacing w:line="360" w:lineRule="auto"/>
        <w:ind w:left="19" w:right="200" w:firstLine="47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10.2采购人组织现场考察或者召开磋商前答疑会的，所有供应商应按“供应商须知前</w:t>
      </w:r>
      <w:r>
        <w:rPr>
          <w:rFonts w:ascii="宋体" w:hAnsi="宋体" w:eastAsia="宋体" w:cs="宋体"/>
          <w:color w:val="auto"/>
          <w:spacing w:val="-5"/>
          <w:sz w:val="24"/>
          <w:szCs w:val="24"/>
          <w:highlight w:val="none"/>
        </w:rPr>
        <w:t>附表</w:t>
      </w:r>
      <w:r>
        <w:rPr>
          <w:rFonts w:ascii="宋体" w:hAnsi="宋体" w:eastAsia="宋体" w:cs="宋体"/>
          <w:color w:val="auto"/>
          <w:spacing w:val="-70"/>
          <w:sz w:val="24"/>
          <w:szCs w:val="24"/>
          <w:highlight w:val="none"/>
        </w:rPr>
        <w:t xml:space="preserve"> </w:t>
      </w:r>
      <w:r>
        <w:rPr>
          <w:rFonts w:ascii="宋体" w:hAnsi="宋体" w:eastAsia="宋体" w:cs="宋体"/>
          <w:color w:val="auto"/>
          <w:spacing w:val="-5"/>
          <w:sz w:val="24"/>
          <w:szCs w:val="24"/>
          <w:highlight w:val="none"/>
        </w:rPr>
        <w:t>”规定的时间、地点前往参加现场考察或者磋商前答疑会。供应商如不参加，其风险</w:t>
      </w:r>
      <w:r>
        <w:rPr>
          <w:rFonts w:ascii="宋体" w:hAnsi="宋体" w:eastAsia="宋体" w:cs="宋体"/>
          <w:color w:val="auto"/>
          <w:spacing w:val="-2"/>
          <w:sz w:val="24"/>
          <w:szCs w:val="24"/>
          <w:highlight w:val="none"/>
        </w:rPr>
        <w:t>由供应商自行承担，采购人不承担任何责任。</w:t>
      </w:r>
    </w:p>
    <w:p w14:paraId="562DDF6C">
      <w:pPr>
        <w:spacing w:before="4" w:line="359" w:lineRule="auto"/>
        <w:ind w:right="200" w:firstLine="49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10.3采购人组织现场考察或者召开答疑会的，应当在磋商文件中载明，或者在磋商文</w:t>
      </w:r>
      <w:r>
        <w:rPr>
          <w:rFonts w:ascii="宋体" w:hAnsi="宋体" w:eastAsia="宋体" w:cs="宋体"/>
          <w:color w:val="auto"/>
          <w:spacing w:val="-3"/>
          <w:sz w:val="24"/>
          <w:szCs w:val="24"/>
          <w:highlight w:val="none"/>
        </w:rPr>
        <w:t>件公告期满后在财政部门指定的政府采购信息发布媒体和《全国公共资</w:t>
      </w:r>
      <w:r>
        <w:rPr>
          <w:rFonts w:ascii="宋体" w:hAnsi="宋体" w:eastAsia="宋体" w:cs="宋体"/>
          <w:color w:val="auto"/>
          <w:spacing w:val="-4"/>
          <w:sz w:val="24"/>
          <w:szCs w:val="24"/>
          <w:highlight w:val="none"/>
        </w:rPr>
        <w:t>源交易平台（河南</w:t>
      </w:r>
      <w:r>
        <w:rPr>
          <w:rFonts w:ascii="宋体" w:hAnsi="宋体" w:eastAsia="宋体" w:cs="宋体"/>
          <w:color w:val="auto"/>
          <w:spacing w:val="-8"/>
          <w:sz w:val="24"/>
          <w:szCs w:val="24"/>
          <w:highlight w:val="none"/>
        </w:rPr>
        <w:t>省</w:t>
      </w:r>
      <w:r>
        <w:rPr>
          <w:rFonts w:ascii="宋体" w:hAnsi="宋体" w:eastAsia="宋体" w:cs="宋体"/>
          <w:color w:val="auto"/>
          <w:spacing w:val="-18"/>
          <w:sz w:val="24"/>
          <w:szCs w:val="24"/>
          <w:highlight w:val="none"/>
        </w:rPr>
        <w:t xml:space="preserve"> </w:t>
      </w:r>
      <w:r>
        <w:rPr>
          <w:rFonts w:ascii="宋体" w:hAnsi="宋体" w:eastAsia="宋体" w:cs="宋体"/>
          <w:color w:val="auto"/>
          <w:spacing w:val="-8"/>
          <w:sz w:val="24"/>
          <w:szCs w:val="24"/>
          <w:highlight w:val="none"/>
        </w:rPr>
        <w:t>·许昌市）》发布更正公告。</w:t>
      </w:r>
    </w:p>
    <w:p w14:paraId="66B3E293">
      <w:pPr>
        <w:spacing w:line="360" w:lineRule="auto"/>
        <w:ind w:left="2" w:firstLine="495"/>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10.4采购人在考察现场和磋商前答疑会口头介绍的情况，除采购人事后形成书面记录、</w:t>
      </w:r>
      <w:r>
        <w:rPr>
          <w:rFonts w:ascii="宋体" w:hAnsi="宋体" w:eastAsia="宋体" w:cs="宋体"/>
          <w:color w:val="auto"/>
          <w:spacing w:val="-3"/>
          <w:sz w:val="24"/>
          <w:szCs w:val="24"/>
          <w:highlight w:val="none"/>
        </w:rPr>
        <w:t>并以澄清或修改公告的形式发布、构成磋商文件的组成部分以外</w:t>
      </w:r>
      <w:r>
        <w:rPr>
          <w:rFonts w:ascii="宋体" w:hAnsi="宋体" w:eastAsia="宋体" w:cs="宋体"/>
          <w:color w:val="auto"/>
          <w:spacing w:val="-4"/>
          <w:sz w:val="24"/>
          <w:szCs w:val="24"/>
          <w:highlight w:val="none"/>
        </w:rPr>
        <w:t>，其他内容仅供供应商在</w:t>
      </w:r>
      <w:r>
        <w:rPr>
          <w:rFonts w:ascii="宋体" w:hAnsi="宋体" w:eastAsia="宋体" w:cs="宋体"/>
          <w:color w:val="auto"/>
          <w:spacing w:val="-1"/>
          <w:sz w:val="24"/>
          <w:szCs w:val="24"/>
          <w:highlight w:val="none"/>
        </w:rPr>
        <w:t>编制响应文件时参考，采购人不对供应商据此作出的判断和决策负责。</w:t>
      </w:r>
    </w:p>
    <w:p w14:paraId="6AE62043">
      <w:pPr>
        <w:spacing w:before="1" w:line="218" w:lineRule="auto"/>
        <w:ind w:left="49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10.5现场考察及参加磋商前答疑会所发生的费用及一切责任由供应商自行承担。</w:t>
      </w:r>
    </w:p>
    <w:p w14:paraId="6E6601BB">
      <w:pPr>
        <w:spacing w:before="184" w:line="219" w:lineRule="auto"/>
        <w:ind w:left="18"/>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11.磋商文件的澄清或修改</w:t>
      </w:r>
    </w:p>
    <w:p w14:paraId="133ABBED">
      <w:pPr>
        <w:spacing w:before="183" w:line="360" w:lineRule="auto"/>
        <w:ind w:left="20" w:right="200" w:firstLine="47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11.1在磋商响应截止期前，无论出于何种原因，采购人可主动地或在解答供应商提出</w:t>
      </w:r>
      <w:r>
        <w:rPr>
          <w:rFonts w:ascii="宋体" w:hAnsi="宋体" w:eastAsia="宋体" w:cs="宋体"/>
          <w:color w:val="auto"/>
          <w:spacing w:val="-2"/>
          <w:sz w:val="24"/>
          <w:szCs w:val="24"/>
          <w:highlight w:val="none"/>
        </w:rPr>
        <w:t>的澄清问题时对磋商文件进行修改。</w:t>
      </w:r>
    </w:p>
    <w:p w14:paraId="0CF67F2D">
      <w:pPr>
        <w:spacing w:line="360" w:lineRule="auto"/>
        <w:ind w:right="200" w:firstLine="49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11.2采购人可以对已发出的磋商文件进行必要的澄清或者修改。澄清或者修改的内容</w:t>
      </w:r>
      <w:r>
        <w:rPr>
          <w:rFonts w:ascii="宋体" w:hAnsi="宋体" w:eastAsia="宋体" w:cs="宋体"/>
          <w:color w:val="auto"/>
          <w:sz w:val="24"/>
          <w:szCs w:val="24"/>
          <w:highlight w:val="none"/>
        </w:rPr>
        <w:t>可能影响响应文件编制的，采购人将在响应文件提交截止之日5日</w:t>
      </w:r>
      <w:r>
        <w:rPr>
          <w:rFonts w:ascii="宋体" w:hAnsi="宋体" w:eastAsia="宋体" w:cs="宋体"/>
          <w:color w:val="auto"/>
          <w:spacing w:val="-1"/>
          <w:sz w:val="24"/>
          <w:szCs w:val="24"/>
          <w:highlight w:val="none"/>
        </w:rPr>
        <w:t>前，在财政部门指定的</w:t>
      </w:r>
      <w:r>
        <w:rPr>
          <w:rFonts w:ascii="宋体" w:hAnsi="宋体" w:eastAsia="宋体" w:cs="宋体"/>
          <w:color w:val="auto"/>
          <w:spacing w:val="-3"/>
          <w:sz w:val="24"/>
          <w:szCs w:val="24"/>
          <w:highlight w:val="none"/>
        </w:rPr>
        <w:t>政府采购信息发布媒体和《全国公共资源交易平台（河南省</w:t>
      </w:r>
      <w:r>
        <w:rPr>
          <w:rFonts w:ascii="宋体" w:hAnsi="宋体" w:eastAsia="宋体" w:cs="宋体"/>
          <w:color w:val="auto"/>
          <w:spacing w:val="-11"/>
          <w:sz w:val="24"/>
          <w:szCs w:val="24"/>
          <w:highlight w:val="none"/>
        </w:rPr>
        <w:t xml:space="preserve"> </w:t>
      </w:r>
      <w:r>
        <w:rPr>
          <w:rFonts w:ascii="宋体" w:hAnsi="宋体" w:eastAsia="宋体" w:cs="宋体"/>
          <w:color w:val="auto"/>
          <w:spacing w:val="-3"/>
          <w:sz w:val="24"/>
          <w:szCs w:val="24"/>
          <w:highlight w:val="none"/>
        </w:rPr>
        <w:t>·许昌市）》</w:t>
      </w:r>
    </w:p>
    <w:p w14:paraId="0A9A1B50">
      <w:pPr>
        <w:spacing w:line="213" w:lineRule="auto"/>
        <w:ind w:left="1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color w:val="auto"/>
          <w:highlight w:val="none"/>
        </w:rPr>
        <w:fldChar w:fldCharType="begin"/>
      </w:r>
      <w:r>
        <w:rPr>
          <w:color w:val="auto"/>
          <w:highlight w:val="none"/>
        </w:rPr>
        <w:instrText xml:space="preserve"> HYPERLINK "https://ggzy.xuchang.gov.cn" </w:instrText>
      </w:r>
      <w:r>
        <w:rPr>
          <w:color w:val="auto"/>
          <w:highlight w:val="none"/>
        </w:rPr>
        <w:fldChar w:fldCharType="separate"/>
      </w:r>
      <w:r>
        <w:rPr>
          <w:rFonts w:ascii="宋体" w:hAnsi="宋体" w:eastAsia="宋体" w:cs="宋体"/>
          <w:color w:val="auto"/>
          <w:spacing w:val="-1"/>
          <w:sz w:val="24"/>
          <w:szCs w:val="24"/>
          <w:highlight w:val="none"/>
        </w:rPr>
        <w:t>https://ggzy.xuchang.gov.cn</w:t>
      </w:r>
      <w:r>
        <w:rPr>
          <w:rFonts w:ascii="宋体" w:hAnsi="宋体" w:eastAsia="宋体" w:cs="宋体"/>
          <w:color w:val="auto"/>
          <w:spacing w:val="-1"/>
          <w:sz w:val="24"/>
          <w:szCs w:val="24"/>
          <w:highlight w:val="none"/>
        </w:rPr>
        <w:fldChar w:fldCharType="end"/>
      </w:r>
      <w:r>
        <w:rPr>
          <w:rFonts w:ascii="宋体" w:hAnsi="宋体" w:eastAsia="宋体" w:cs="宋体"/>
          <w:color w:val="auto"/>
          <w:spacing w:val="-1"/>
          <w:sz w:val="24"/>
          <w:szCs w:val="24"/>
          <w:highlight w:val="none"/>
        </w:rPr>
        <w:t>）发布更正公告。</w:t>
      </w:r>
    </w:p>
    <w:p w14:paraId="76DBE289">
      <w:pPr>
        <w:spacing w:before="191" w:line="360" w:lineRule="auto"/>
        <w:ind w:left="2" w:right="200" w:firstLine="495"/>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11.3澄清或修改公告的内容为磋商文件的组成部分，并对供应商具有约束力。当磋商</w:t>
      </w:r>
      <w:r>
        <w:rPr>
          <w:rFonts w:ascii="宋体" w:hAnsi="宋体" w:eastAsia="宋体" w:cs="宋体"/>
          <w:color w:val="auto"/>
          <w:sz w:val="24"/>
          <w:szCs w:val="24"/>
          <w:highlight w:val="none"/>
        </w:rPr>
        <w:t>文件与澄清或修改公告就同一内容的表述不一致时，</w:t>
      </w:r>
      <w:r>
        <w:rPr>
          <w:rFonts w:ascii="宋体" w:hAnsi="宋体" w:eastAsia="宋体" w:cs="宋体"/>
          <w:color w:val="auto"/>
          <w:spacing w:val="-1"/>
          <w:sz w:val="24"/>
          <w:szCs w:val="24"/>
          <w:highlight w:val="none"/>
        </w:rPr>
        <w:t>以最后发出的文件内容为准。</w:t>
      </w:r>
    </w:p>
    <w:p w14:paraId="2B0BEFAF">
      <w:pPr>
        <w:spacing w:line="362" w:lineRule="auto"/>
        <w:ind w:left="1" w:right="204" w:firstLine="49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11.4如果澄清或者修改发出的时间距规定的磋商响应截止时间不足5日的，采购人将顺延提交响应文件的截止时间。</w:t>
      </w:r>
    </w:p>
    <w:p w14:paraId="12F43B90">
      <w:pPr>
        <w:spacing w:before="38" w:line="225" w:lineRule="auto"/>
        <w:ind w:left="2970"/>
        <w:rPr>
          <w:rFonts w:ascii="宋体" w:hAnsi="宋体" w:eastAsia="宋体" w:cs="宋体"/>
          <w:color w:val="auto"/>
          <w:sz w:val="30"/>
          <w:szCs w:val="30"/>
          <w:highlight w:val="none"/>
        </w:rPr>
      </w:pPr>
      <w:r>
        <w:rPr>
          <w:rFonts w:ascii="宋体" w:hAnsi="宋体" w:eastAsia="宋体" w:cs="宋体"/>
          <w:b/>
          <w:bCs/>
          <w:color w:val="auto"/>
          <w:spacing w:val="6"/>
          <w:sz w:val="30"/>
          <w:szCs w:val="30"/>
          <w:highlight w:val="none"/>
        </w:rPr>
        <w:t>三、响应文件的编制</w:t>
      </w:r>
    </w:p>
    <w:p w14:paraId="7C058691">
      <w:pPr>
        <w:spacing w:before="215" w:line="220" w:lineRule="auto"/>
        <w:ind w:left="18"/>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12.响应的语言及计量单位</w:t>
      </w:r>
    </w:p>
    <w:p w14:paraId="6570F5A7">
      <w:pPr>
        <w:spacing w:line="220" w:lineRule="auto"/>
        <w:rPr>
          <w:rFonts w:ascii="宋体" w:hAnsi="宋体" w:eastAsia="宋体" w:cs="宋体"/>
          <w:color w:val="auto"/>
          <w:sz w:val="24"/>
          <w:szCs w:val="24"/>
          <w:highlight w:val="none"/>
        </w:rPr>
        <w:sectPr>
          <w:footerReference r:id="rId19" w:type="default"/>
          <w:pgSz w:w="11906" w:h="16839"/>
          <w:pgMar w:top="1431" w:right="874" w:bottom="1443" w:left="1594" w:header="0" w:footer="1202" w:gutter="0"/>
          <w:pgNumType w:fmt="decimal"/>
          <w:cols w:space="720" w:num="1"/>
        </w:sectPr>
      </w:pPr>
    </w:p>
    <w:p w14:paraId="3ECC681F">
      <w:pPr>
        <w:spacing w:before="122" w:line="360" w:lineRule="auto"/>
        <w:ind w:right="200" w:firstLine="49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12.1供应商提交的响应文件以及供应商与采购人就有关采购事宜的所有来往书面文</w:t>
      </w:r>
      <w:r>
        <w:rPr>
          <w:rFonts w:ascii="宋体" w:hAnsi="宋体" w:eastAsia="宋体" w:cs="宋体"/>
          <w:color w:val="auto"/>
          <w:spacing w:val="-3"/>
          <w:sz w:val="24"/>
          <w:szCs w:val="24"/>
          <w:highlight w:val="none"/>
        </w:rPr>
        <w:t>件均应使用中文。除签名、盖章、专用名称等特殊情形外，以中文以外</w:t>
      </w:r>
      <w:r>
        <w:rPr>
          <w:rFonts w:ascii="宋体" w:hAnsi="宋体" w:eastAsia="宋体" w:cs="宋体"/>
          <w:color w:val="auto"/>
          <w:spacing w:val="-4"/>
          <w:sz w:val="24"/>
          <w:szCs w:val="24"/>
          <w:highlight w:val="none"/>
        </w:rPr>
        <w:t>的文字表述的响应</w:t>
      </w:r>
      <w:r>
        <w:rPr>
          <w:rFonts w:ascii="宋体" w:hAnsi="宋体" w:eastAsia="宋体" w:cs="宋体"/>
          <w:color w:val="auto"/>
          <w:spacing w:val="-2"/>
          <w:sz w:val="24"/>
          <w:szCs w:val="24"/>
          <w:highlight w:val="none"/>
        </w:rPr>
        <w:t>文件视同未提供。</w:t>
      </w:r>
    </w:p>
    <w:p w14:paraId="460514FC">
      <w:pPr>
        <w:spacing w:line="360" w:lineRule="auto"/>
        <w:ind w:right="146" w:firstLine="49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12.2响应文件计量单位，磋商文件已有明确规定的，使用</w:t>
      </w:r>
      <w:r>
        <w:rPr>
          <w:rFonts w:ascii="宋体" w:hAnsi="宋体" w:eastAsia="宋体" w:cs="宋体"/>
          <w:color w:val="auto"/>
          <w:spacing w:val="-3"/>
          <w:sz w:val="24"/>
          <w:szCs w:val="24"/>
          <w:highlight w:val="none"/>
        </w:rPr>
        <w:t>磋商文件规定的计量单位；</w:t>
      </w:r>
      <w:r>
        <w:rPr>
          <w:rFonts w:ascii="宋体" w:hAnsi="宋体" w:eastAsia="宋体" w:cs="宋体"/>
          <w:color w:val="auto"/>
          <w:spacing w:val="-1"/>
          <w:sz w:val="24"/>
          <w:szCs w:val="24"/>
          <w:highlight w:val="none"/>
        </w:rPr>
        <w:t>磋商文件没有规定的，一律采用中华人民共和国法定计量单位。</w:t>
      </w:r>
    </w:p>
    <w:p w14:paraId="0461A021">
      <w:pPr>
        <w:spacing w:before="1" w:line="217" w:lineRule="auto"/>
        <w:ind w:left="18"/>
        <w:rPr>
          <w:rFonts w:ascii="宋体" w:hAnsi="宋体" w:eastAsia="宋体" w:cs="宋体"/>
          <w:color w:val="auto"/>
          <w:sz w:val="24"/>
          <w:szCs w:val="24"/>
          <w:highlight w:val="none"/>
        </w:rPr>
      </w:pPr>
      <w:r>
        <w:rPr>
          <w:rFonts w:ascii="宋体" w:hAnsi="宋体" w:eastAsia="宋体" w:cs="宋体"/>
          <w:b/>
          <w:bCs/>
          <w:color w:val="auto"/>
          <w:spacing w:val="-8"/>
          <w:sz w:val="24"/>
          <w:szCs w:val="24"/>
          <w:highlight w:val="none"/>
        </w:rPr>
        <w:t>13.报价</w:t>
      </w:r>
    </w:p>
    <w:p w14:paraId="0BED15B6">
      <w:pPr>
        <w:spacing w:before="184" w:line="218" w:lineRule="auto"/>
        <w:ind w:left="49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13.1本次磋商项目的报价均以人民币为</w:t>
      </w:r>
      <w:r>
        <w:rPr>
          <w:rFonts w:ascii="宋体" w:hAnsi="宋体" w:eastAsia="宋体" w:cs="宋体"/>
          <w:color w:val="auto"/>
          <w:spacing w:val="-2"/>
          <w:sz w:val="24"/>
          <w:szCs w:val="24"/>
          <w:highlight w:val="none"/>
        </w:rPr>
        <w:t>计算单位。</w:t>
      </w:r>
    </w:p>
    <w:p w14:paraId="426E1950">
      <w:pPr>
        <w:spacing w:before="184" w:line="360" w:lineRule="auto"/>
        <w:ind w:left="20" w:right="200" w:firstLine="47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13.2采购人不得向供应商索要或者接受其给予的赠品、回扣或者与采购无关的其他商</w:t>
      </w:r>
      <w:r>
        <w:rPr>
          <w:rFonts w:ascii="宋体" w:hAnsi="宋体" w:eastAsia="宋体" w:cs="宋体"/>
          <w:color w:val="auto"/>
          <w:spacing w:val="-6"/>
          <w:sz w:val="24"/>
          <w:szCs w:val="24"/>
          <w:highlight w:val="none"/>
        </w:rPr>
        <w:t>品、服务。</w:t>
      </w:r>
    </w:p>
    <w:p w14:paraId="79AA6CE8">
      <w:pPr>
        <w:spacing w:before="2" w:line="359" w:lineRule="auto"/>
        <w:ind w:right="200" w:firstLine="49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13.3供应商应对项目要求的全部内容进行报价，少报漏报将导致其投标为非实质性响</w:t>
      </w:r>
      <w:r>
        <w:rPr>
          <w:rFonts w:ascii="宋体" w:hAnsi="宋体" w:eastAsia="宋体" w:cs="宋体"/>
          <w:color w:val="auto"/>
          <w:spacing w:val="-2"/>
          <w:sz w:val="24"/>
          <w:szCs w:val="24"/>
          <w:highlight w:val="none"/>
        </w:rPr>
        <w:t>应予以拒绝。</w:t>
      </w:r>
    </w:p>
    <w:p w14:paraId="0CC2FE03">
      <w:pPr>
        <w:spacing w:line="360" w:lineRule="auto"/>
        <w:ind w:right="200" w:firstLine="49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13.4供应商应当按照国家相关规定，结合自身服务水平和承受能力进行报价。响应报价应是履行合同的最终价格，除“采购需求</w:t>
      </w:r>
      <w:r>
        <w:rPr>
          <w:rFonts w:ascii="宋体" w:hAnsi="宋体" w:eastAsia="宋体" w:cs="宋体"/>
          <w:color w:val="auto"/>
          <w:spacing w:val="-88"/>
          <w:sz w:val="24"/>
          <w:szCs w:val="24"/>
          <w:highlight w:val="none"/>
        </w:rPr>
        <w:t xml:space="preserve"> </w:t>
      </w:r>
      <w:r>
        <w:rPr>
          <w:rFonts w:ascii="宋体" w:hAnsi="宋体" w:eastAsia="宋体" w:cs="宋体"/>
          <w:color w:val="auto"/>
          <w:spacing w:val="-4"/>
          <w:sz w:val="24"/>
          <w:szCs w:val="24"/>
          <w:highlight w:val="none"/>
        </w:rPr>
        <w:t>”中另有说明外，响应报价应当是供应商</w:t>
      </w:r>
      <w:r>
        <w:rPr>
          <w:rFonts w:ascii="宋体" w:hAnsi="宋体" w:eastAsia="宋体" w:cs="宋体"/>
          <w:color w:val="auto"/>
          <w:spacing w:val="-5"/>
          <w:sz w:val="24"/>
          <w:szCs w:val="24"/>
          <w:highlight w:val="none"/>
        </w:rPr>
        <w:t>为提</w:t>
      </w:r>
      <w:r>
        <w:rPr>
          <w:rFonts w:ascii="宋体" w:hAnsi="宋体" w:eastAsia="宋体" w:cs="宋体"/>
          <w:color w:val="auto"/>
          <w:spacing w:val="-3"/>
          <w:sz w:val="24"/>
          <w:szCs w:val="24"/>
          <w:highlight w:val="none"/>
        </w:rPr>
        <w:t>供本项目所要求的全部服务所发生的一切成本、税费和利润，包括人</w:t>
      </w:r>
      <w:r>
        <w:rPr>
          <w:rFonts w:ascii="宋体" w:hAnsi="宋体" w:eastAsia="宋体" w:cs="宋体"/>
          <w:color w:val="auto"/>
          <w:spacing w:val="-4"/>
          <w:sz w:val="24"/>
          <w:szCs w:val="24"/>
          <w:highlight w:val="none"/>
        </w:rPr>
        <w:t>工（含工资、社会统</w:t>
      </w:r>
      <w:r>
        <w:rPr>
          <w:rFonts w:ascii="宋体" w:hAnsi="宋体" w:eastAsia="宋体" w:cs="宋体"/>
          <w:color w:val="auto"/>
          <w:spacing w:val="-3"/>
          <w:sz w:val="24"/>
          <w:szCs w:val="24"/>
          <w:highlight w:val="none"/>
        </w:rPr>
        <w:t>筹保险金、加班工资、工作餐、相关福利、关于人员聘用的费用等）</w:t>
      </w:r>
      <w:r>
        <w:rPr>
          <w:rFonts w:ascii="宋体" w:hAnsi="宋体" w:eastAsia="宋体" w:cs="宋体"/>
          <w:color w:val="auto"/>
          <w:spacing w:val="-4"/>
          <w:sz w:val="24"/>
          <w:szCs w:val="24"/>
          <w:highlight w:val="none"/>
        </w:rPr>
        <w:t>、设备、国家规定检</w:t>
      </w:r>
      <w:r>
        <w:rPr>
          <w:rFonts w:ascii="宋体" w:hAnsi="宋体" w:eastAsia="宋体" w:cs="宋体"/>
          <w:color w:val="auto"/>
          <w:spacing w:val="-1"/>
          <w:sz w:val="24"/>
          <w:szCs w:val="24"/>
          <w:highlight w:val="none"/>
        </w:rPr>
        <w:t>测、外发包、材料（含辅材）、管理、税费及利润等。</w:t>
      </w:r>
    </w:p>
    <w:p w14:paraId="111FE18E">
      <w:pPr>
        <w:spacing w:line="360" w:lineRule="auto"/>
        <w:ind w:right="202" w:firstLine="49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13.5本项目所涉及的运输、施工、安装、集成、调试、验收、备品和工具等费用均包</w:t>
      </w:r>
      <w:r>
        <w:rPr>
          <w:rFonts w:ascii="宋体" w:hAnsi="宋体" w:eastAsia="宋体" w:cs="宋体"/>
          <w:color w:val="auto"/>
          <w:spacing w:val="-2"/>
          <w:sz w:val="24"/>
          <w:szCs w:val="24"/>
          <w:highlight w:val="none"/>
        </w:rPr>
        <w:t>含在响应报价中。</w:t>
      </w:r>
    </w:p>
    <w:p w14:paraId="15AA675D">
      <w:pPr>
        <w:spacing w:before="3" w:line="359" w:lineRule="auto"/>
        <w:ind w:left="1" w:right="200" w:firstLine="496"/>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13.6本次招标不接受可选择或可调整的投标方案和报价，任何有选择的或可调整的投</w:t>
      </w:r>
      <w:r>
        <w:rPr>
          <w:rFonts w:ascii="宋体" w:hAnsi="宋体" w:eastAsia="宋体" w:cs="宋体"/>
          <w:color w:val="auto"/>
          <w:spacing w:val="-1"/>
          <w:sz w:val="24"/>
          <w:szCs w:val="24"/>
          <w:highlight w:val="none"/>
        </w:rPr>
        <w:t>标方案和报价将被视为非实质性响应投标而作无效投标处理。</w:t>
      </w:r>
    </w:p>
    <w:p w14:paraId="0B43CFA8">
      <w:pPr>
        <w:spacing w:line="360" w:lineRule="auto"/>
        <w:ind w:right="202" w:firstLine="497"/>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13.7报价不得高于本项目最高限价。本次招标实行“最高</w:t>
      </w:r>
      <w:r>
        <w:rPr>
          <w:rFonts w:ascii="宋体" w:hAnsi="宋体" w:eastAsia="宋体" w:cs="宋体"/>
          <w:color w:val="auto"/>
          <w:spacing w:val="-13"/>
          <w:sz w:val="24"/>
          <w:szCs w:val="24"/>
          <w:highlight w:val="none"/>
        </w:rPr>
        <w:t>限价（项目控制金额上限）”,</w:t>
      </w:r>
      <w:r>
        <w:rPr>
          <w:rFonts w:ascii="宋体" w:hAnsi="宋体" w:eastAsia="宋体" w:cs="宋体"/>
          <w:color w:val="auto"/>
          <w:sz w:val="24"/>
          <w:szCs w:val="24"/>
          <w:highlight w:val="none"/>
        </w:rPr>
        <w:t>供应商的投标报价高于最高限价（项目控制金额上限） 的，该</w:t>
      </w:r>
      <w:r>
        <w:rPr>
          <w:rFonts w:ascii="宋体" w:hAnsi="宋体" w:eastAsia="宋体" w:cs="宋体"/>
          <w:color w:val="auto"/>
          <w:spacing w:val="-1"/>
          <w:sz w:val="24"/>
          <w:szCs w:val="24"/>
          <w:highlight w:val="none"/>
        </w:rPr>
        <w:t>供应商的响应文件将被视为非实质性响应予以拒绝。</w:t>
      </w:r>
    </w:p>
    <w:p w14:paraId="7916B02C">
      <w:pPr>
        <w:spacing w:before="1" w:line="217" w:lineRule="auto"/>
        <w:ind w:left="49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13.8最低报价不能作为成交的保证。</w:t>
      </w:r>
    </w:p>
    <w:p w14:paraId="1BE131A5">
      <w:pPr>
        <w:spacing w:before="185" w:line="220" w:lineRule="auto"/>
        <w:ind w:left="18"/>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14.响应有效期</w:t>
      </w:r>
    </w:p>
    <w:p w14:paraId="0295585D">
      <w:pPr>
        <w:spacing w:before="182" w:line="360" w:lineRule="auto"/>
        <w:ind w:left="3" w:right="200" w:firstLine="494"/>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14.1响应有效期从提交响应文件的截止之日起算。本项目投标有效期详见供应商须知前附表。响应文件中承诺的响应有效期应当不少于“供应商须知前附表</w:t>
      </w:r>
      <w:r>
        <w:rPr>
          <w:rFonts w:ascii="宋体" w:hAnsi="宋体" w:eastAsia="宋体" w:cs="宋体"/>
          <w:color w:val="auto"/>
          <w:spacing w:val="-88"/>
          <w:sz w:val="24"/>
          <w:szCs w:val="24"/>
          <w:highlight w:val="none"/>
        </w:rPr>
        <w:t xml:space="preserve"> </w:t>
      </w:r>
      <w:r>
        <w:rPr>
          <w:rFonts w:ascii="宋体" w:hAnsi="宋体" w:eastAsia="宋体" w:cs="宋体"/>
          <w:color w:val="auto"/>
          <w:spacing w:val="-4"/>
          <w:sz w:val="24"/>
          <w:szCs w:val="24"/>
          <w:highlight w:val="none"/>
        </w:rPr>
        <w:t>”</w:t>
      </w:r>
      <w:r>
        <w:rPr>
          <w:rFonts w:ascii="宋体" w:hAnsi="宋体" w:eastAsia="宋体" w:cs="宋体"/>
          <w:color w:val="auto"/>
          <w:spacing w:val="-5"/>
          <w:sz w:val="24"/>
          <w:szCs w:val="24"/>
          <w:highlight w:val="none"/>
        </w:rPr>
        <w:t>载明的响应有效</w:t>
      </w:r>
      <w:r>
        <w:rPr>
          <w:rFonts w:ascii="宋体" w:hAnsi="宋体" w:eastAsia="宋体" w:cs="宋体"/>
          <w:color w:val="auto"/>
          <w:sz w:val="24"/>
          <w:szCs w:val="24"/>
          <w:highlight w:val="none"/>
        </w:rPr>
        <w:t>期。响应有效期比磋商文件规定短的属于非实质</w:t>
      </w:r>
      <w:r>
        <w:rPr>
          <w:rFonts w:ascii="宋体" w:hAnsi="宋体" w:eastAsia="宋体" w:cs="宋体"/>
          <w:color w:val="auto"/>
          <w:spacing w:val="-1"/>
          <w:sz w:val="24"/>
          <w:szCs w:val="24"/>
          <w:highlight w:val="none"/>
        </w:rPr>
        <w:t>性响应，将被认定为无效投标。</w:t>
      </w:r>
    </w:p>
    <w:p w14:paraId="36CB1B14">
      <w:pPr>
        <w:spacing w:before="1" w:line="218" w:lineRule="auto"/>
        <w:jc w:val="right"/>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14.2响应有效期内供应商撤销响应文件的，供应商将承担违背投标承诺函的责任追究。</w:t>
      </w:r>
    </w:p>
    <w:p w14:paraId="1AF3DA44">
      <w:pPr>
        <w:spacing w:line="218" w:lineRule="auto"/>
        <w:rPr>
          <w:rFonts w:ascii="宋体" w:hAnsi="宋体" w:eastAsia="宋体" w:cs="宋体"/>
          <w:color w:val="auto"/>
          <w:sz w:val="24"/>
          <w:szCs w:val="24"/>
          <w:highlight w:val="none"/>
        </w:rPr>
        <w:sectPr>
          <w:footerReference r:id="rId20" w:type="default"/>
          <w:pgSz w:w="11906" w:h="16839"/>
          <w:pgMar w:top="1431" w:right="874" w:bottom="1443" w:left="1594" w:header="0" w:footer="1202" w:gutter="0"/>
          <w:pgNumType w:fmt="decimal"/>
          <w:cols w:space="720" w:num="1"/>
        </w:sectPr>
      </w:pPr>
    </w:p>
    <w:p w14:paraId="07C6B961">
      <w:pPr>
        <w:spacing w:before="122" w:line="360" w:lineRule="auto"/>
        <w:ind w:firstLine="49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14.3特殊情况下，在原投标有效期截止之前，采购人可要求供应商延长响应有效期。</w:t>
      </w:r>
      <w:r>
        <w:rPr>
          <w:rFonts w:ascii="宋体" w:hAnsi="宋体" w:eastAsia="宋体" w:cs="宋体"/>
          <w:color w:val="auto"/>
          <w:spacing w:val="-3"/>
          <w:sz w:val="24"/>
          <w:szCs w:val="24"/>
          <w:highlight w:val="none"/>
        </w:rPr>
        <w:t>这种要求与答复均应以书面形式提交。供应商可拒绝采购人的这种</w:t>
      </w:r>
      <w:r>
        <w:rPr>
          <w:rFonts w:ascii="宋体" w:hAnsi="宋体" w:eastAsia="宋体" w:cs="宋体"/>
          <w:color w:val="auto"/>
          <w:spacing w:val="-4"/>
          <w:sz w:val="24"/>
          <w:szCs w:val="24"/>
          <w:highlight w:val="none"/>
        </w:rPr>
        <w:t>要求，但其投标在原运</w:t>
      </w:r>
      <w:r>
        <w:rPr>
          <w:rFonts w:ascii="宋体" w:hAnsi="宋体" w:eastAsia="宋体" w:cs="宋体"/>
          <w:color w:val="auto"/>
          <w:spacing w:val="-3"/>
          <w:sz w:val="24"/>
          <w:szCs w:val="24"/>
          <w:highlight w:val="none"/>
        </w:rPr>
        <w:t>行有效期期满后将不再有效。同意延长响应有效期的供应商将不会</w:t>
      </w:r>
      <w:r>
        <w:rPr>
          <w:rFonts w:ascii="宋体" w:hAnsi="宋体" w:eastAsia="宋体" w:cs="宋体"/>
          <w:color w:val="auto"/>
          <w:spacing w:val="-4"/>
          <w:sz w:val="24"/>
          <w:szCs w:val="24"/>
          <w:highlight w:val="none"/>
        </w:rPr>
        <w:t>被要求和允许修正其投</w:t>
      </w:r>
      <w:r>
        <w:rPr>
          <w:rFonts w:ascii="宋体" w:hAnsi="宋体" w:eastAsia="宋体" w:cs="宋体"/>
          <w:color w:val="auto"/>
          <w:spacing w:val="-3"/>
          <w:sz w:val="24"/>
          <w:szCs w:val="24"/>
          <w:highlight w:val="none"/>
        </w:rPr>
        <w:t>标，而只会被要求相应地延长其投标承诺函的有效期。在这种情况</w:t>
      </w:r>
      <w:r>
        <w:rPr>
          <w:rFonts w:ascii="宋体" w:hAnsi="宋体" w:eastAsia="宋体" w:cs="宋体"/>
          <w:color w:val="auto"/>
          <w:spacing w:val="-4"/>
          <w:sz w:val="24"/>
          <w:szCs w:val="24"/>
          <w:highlight w:val="none"/>
        </w:rPr>
        <w:t>下，有关供应商违背投</w:t>
      </w:r>
      <w:r>
        <w:rPr>
          <w:rFonts w:ascii="宋体" w:hAnsi="宋体" w:eastAsia="宋体" w:cs="宋体"/>
          <w:color w:val="auto"/>
          <w:spacing w:val="-3"/>
          <w:sz w:val="24"/>
          <w:szCs w:val="24"/>
          <w:highlight w:val="none"/>
        </w:rPr>
        <w:t>标承诺的责任追究措施将在延长的有效期内继续有效。同意延期的</w:t>
      </w:r>
      <w:r>
        <w:rPr>
          <w:rFonts w:ascii="宋体" w:hAnsi="宋体" w:eastAsia="宋体" w:cs="宋体"/>
          <w:color w:val="auto"/>
          <w:spacing w:val="-4"/>
          <w:sz w:val="24"/>
          <w:szCs w:val="24"/>
          <w:highlight w:val="none"/>
        </w:rPr>
        <w:t>供应商在原投标有效期</w:t>
      </w:r>
      <w:r>
        <w:rPr>
          <w:rFonts w:ascii="宋体" w:hAnsi="宋体" w:eastAsia="宋体" w:cs="宋体"/>
          <w:color w:val="auto"/>
          <w:spacing w:val="-1"/>
          <w:sz w:val="24"/>
          <w:szCs w:val="24"/>
          <w:highlight w:val="none"/>
        </w:rPr>
        <w:t>内应享之权利及应负之责任也相应延续。</w:t>
      </w:r>
    </w:p>
    <w:p w14:paraId="703EA2E3">
      <w:pPr>
        <w:spacing w:before="2" w:line="359" w:lineRule="auto"/>
        <w:ind w:right="75" w:firstLine="495"/>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14.4成交供应商的响应文件作为项目合同的附件，其有效期至成交供应商全部合同义</w:t>
      </w:r>
      <w:r>
        <w:rPr>
          <w:rFonts w:ascii="宋体" w:hAnsi="宋体" w:eastAsia="宋体" w:cs="宋体"/>
          <w:color w:val="auto"/>
          <w:spacing w:val="-2"/>
          <w:sz w:val="24"/>
          <w:szCs w:val="24"/>
          <w:highlight w:val="none"/>
        </w:rPr>
        <w:t>务履行完毕为止。</w:t>
      </w:r>
    </w:p>
    <w:p w14:paraId="3F621911">
      <w:pPr>
        <w:spacing w:line="219" w:lineRule="auto"/>
        <w:ind w:left="16"/>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15.响应文件构成</w:t>
      </w:r>
    </w:p>
    <w:p w14:paraId="2F6E54B5">
      <w:pPr>
        <w:spacing w:before="183" w:line="219" w:lineRule="auto"/>
        <w:ind w:left="49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15.1响应文件的构成应符合法律法规及磋商文件的要</w:t>
      </w:r>
      <w:r>
        <w:rPr>
          <w:rFonts w:ascii="宋体" w:hAnsi="宋体" w:eastAsia="宋体" w:cs="宋体"/>
          <w:color w:val="auto"/>
          <w:spacing w:val="-2"/>
          <w:sz w:val="24"/>
          <w:szCs w:val="24"/>
          <w:highlight w:val="none"/>
        </w:rPr>
        <w:t>求。</w:t>
      </w:r>
    </w:p>
    <w:p w14:paraId="44A926AB">
      <w:pPr>
        <w:spacing w:before="182" w:line="360" w:lineRule="auto"/>
        <w:ind w:right="75" w:firstLine="496"/>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15.2供应商应当按照磋商文件的要求编制响应文件。响应文件应当对磋商文件提出的</w:t>
      </w:r>
      <w:r>
        <w:rPr>
          <w:rFonts w:ascii="宋体" w:hAnsi="宋体" w:eastAsia="宋体" w:cs="宋体"/>
          <w:color w:val="auto"/>
          <w:spacing w:val="-1"/>
          <w:sz w:val="24"/>
          <w:szCs w:val="24"/>
          <w:highlight w:val="none"/>
        </w:rPr>
        <w:t>要求和条件作出明确响应。</w:t>
      </w:r>
    </w:p>
    <w:p w14:paraId="01E4A3C9">
      <w:pPr>
        <w:spacing w:before="1" w:line="218" w:lineRule="auto"/>
        <w:ind w:left="49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15.3响应文件由资格证明材料、符合性证明材料、其他材料等组成。</w:t>
      </w:r>
    </w:p>
    <w:p w14:paraId="2A598D7D">
      <w:pPr>
        <w:spacing w:before="184" w:line="360" w:lineRule="auto"/>
        <w:ind w:right="75" w:firstLine="495"/>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15.4供应商根据磋商文件的规定和采购项目的实际情况，拟在成交后将成交项目的非</w:t>
      </w:r>
      <w:r>
        <w:rPr>
          <w:rFonts w:ascii="宋体" w:hAnsi="宋体" w:eastAsia="宋体" w:cs="宋体"/>
          <w:color w:val="auto"/>
          <w:spacing w:val="-3"/>
          <w:sz w:val="24"/>
          <w:szCs w:val="24"/>
          <w:highlight w:val="none"/>
        </w:rPr>
        <w:t>主体、非关键性工作分包的，应当在响应文件中载明分包承</w:t>
      </w:r>
      <w:r>
        <w:rPr>
          <w:rFonts w:ascii="宋体" w:hAnsi="宋体" w:eastAsia="宋体" w:cs="宋体"/>
          <w:color w:val="auto"/>
          <w:spacing w:val="-4"/>
          <w:sz w:val="24"/>
          <w:szCs w:val="24"/>
          <w:highlight w:val="none"/>
        </w:rPr>
        <w:t>担主体，分包承担主体应当具</w:t>
      </w:r>
      <w:r>
        <w:rPr>
          <w:rFonts w:ascii="宋体" w:hAnsi="宋体" w:eastAsia="宋体" w:cs="宋体"/>
          <w:color w:val="auto"/>
          <w:spacing w:val="-1"/>
          <w:sz w:val="24"/>
          <w:szCs w:val="24"/>
          <w:highlight w:val="none"/>
        </w:rPr>
        <w:t>备相应资质条件且不得再次分包。</w:t>
      </w:r>
    </w:p>
    <w:p w14:paraId="486BC76A">
      <w:pPr>
        <w:spacing w:before="1" w:line="218" w:lineRule="auto"/>
        <w:ind w:left="496"/>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15.5供应商登录《全国公共资源交易平台（河南省</w:t>
      </w:r>
      <w:r>
        <w:rPr>
          <w:rFonts w:ascii="宋体" w:hAnsi="宋体" w:eastAsia="宋体" w:cs="宋体"/>
          <w:color w:val="auto"/>
          <w:spacing w:val="-29"/>
          <w:sz w:val="24"/>
          <w:szCs w:val="24"/>
          <w:highlight w:val="none"/>
        </w:rPr>
        <w:t xml:space="preserve"> </w:t>
      </w:r>
      <w:r>
        <w:rPr>
          <w:rFonts w:ascii="宋体" w:hAnsi="宋体" w:eastAsia="宋体" w:cs="宋体"/>
          <w:color w:val="auto"/>
          <w:spacing w:val="-4"/>
          <w:sz w:val="24"/>
          <w:szCs w:val="24"/>
          <w:highlight w:val="none"/>
        </w:rPr>
        <w:t>·许昌市）》</w:t>
      </w:r>
    </w:p>
    <w:p w14:paraId="51C3BA3F">
      <w:pPr>
        <w:spacing w:before="184" w:line="360" w:lineRule="auto"/>
        <w:ind w:right="13" w:firstLine="1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w:t>
      </w:r>
      <w:r>
        <w:rPr>
          <w:color w:val="auto"/>
          <w:highlight w:val="none"/>
        </w:rPr>
        <w:fldChar w:fldCharType="begin"/>
      </w:r>
      <w:r>
        <w:rPr>
          <w:color w:val="auto"/>
          <w:highlight w:val="none"/>
        </w:rPr>
        <w:instrText xml:space="preserve"> HYPERLINK "https://ggzy.xuchang.gov.cn" </w:instrText>
      </w:r>
      <w:r>
        <w:rPr>
          <w:color w:val="auto"/>
          <w:highlight w:val="none"/>
        </w:rPr>
        <w:fldChar w:fldCharType="separate"/>
      </w:r>
      <w:r>
        <w:rPr>
          <w:rFonts w:ascii="宋体" w:hAnsi="宋体" w:eastAsia="宋体" w:cs="宋体"/>
          <w:color w:val="auto"/>
          <w:spacing w:val="-5"/>
          <w:sz w:val="24"/>
          <w:szCs w:val="24"/>
          <w:highlight w:val="none"/>
        </w:rPr>
        <w:t>https://ggzy.xuchang.gov.cn</w:t>
      </w:r>
      <w:r>
        <w:rPr>
          <w:rFonts w:ascii="宋体" w:hAnsi="宋体" w:eastAsia="宋体" w:cs="宋体"/>
          <w:color w:val="auto"/>
          <w:spacing w:val="-5"/>
          <w:sz w:val="24"/>
          <w:szCs w:val="24"/>
          <w:highlight w:val="none"/>
        </w:rPr>
        <w:fldChar w:fldCharType="end"/>
      </w:r>
      <w:r>
        <w:rPr>
          <w:rFonts w:ascii="宋体" w:hAnsi="宋体" w:eastAsia="宋体" w:cs="宋体"/>
          <w:color w:val="auto"/>
          <w:spacing w:val="-5"/>
          <w:sz w:val="24"/>
          <w:szCs w:val="24"/>
          <w:highlight w:val="none"/>
        </w:rPr>
        <w:t>）下载“新点投标文件制作软件（河南省版）”（在“投标人</w:t>
      </w:r>
      <w:r>
        <w:rPr>
          <w:rFonts w:ascii="宋体" w:hAnsi="宋体" w:eastAsia="宋体" w:cs="宋体"/>
          <w:color w:val="auto"/>
          <w:spacing w:val="-86"/>
          <w:sz w:val="24"/>
          <w:szCs w:val="24"/>
          <w:highlight w:val="none"/>
        </w:rPr>
        <w:t xml:space="preserve"> </w:t>
      </w:r>
      <w:r>
        <w:rPr>
          <w:rFonts w:ascii="宋体" w:hAnsi="宋体" w:eastAsia="宋体" w:cs="宋体"/>
          <w:color w:val="auto"/>
          <w:spacing w:val="-5"/>
          <w:sz w:val="24"/>
          <w:szCs w:val="24"/>
          <w:highlight w:val="none"/>
        </w:rPr>
        <w:t>”登录页面右下方“投标文件制作工具下载</w:t>
      </w:r>
      <w:r>
        <w:rPr>
          <w:rFonts w:ascii="宋体" w:hAnsi="宋体" w:eastAsia="宋体" w:cs="宋体"/>
          <w:color w:val="auto"/>
          <w:spacing w:val="-88"/>
          <w:sz w:val="24"/>
          <w:szCs w:val="24"/>
          <w:highlight w:val="none"/>
        </w:rPr>
        <w:t xml:space="preserve"> </w:t>
      </w:r>
      <w:r>
        <w:rPr>
          <w:rFonts w:ascii="宋体" w:hAnsi="宋体" w:eastAsia="宋体" w:cs="宋体"/>
          <w:color w:val="auto"/>
          <w:spacing w:val="-5"/>
          <w:sz w:val="24"/>
          <w:szCs w:val="24"/>
          <w:highlight w:val="none"/>
        </w:rPr>
        <w:t>”）制作电子响应文件，按所响应标段磋</w:t>
      </w:r>
      <w:r>
        <w:rPr>
          <w:rFonts w:ascii="宋体" w:hAnsi="宋体" w:eastAsia="宋体" w:cs="宋体"/>
          <w:color w:val="auto"/>
          <w:spacing w:val="-6"/>
          <w:sz w:val="24"/>
          <w:szCs w:val="24"/>
          <w:highlight w:val="none"/>
        </w:rPr>
        <w:t>商文件的要求制作电子响应文件。一个标段对应生成2份电子响应文件（后缀格式为.XCSTF</w:t>
      </w:r>
      <w:r>
        <w:rPr>
          <w:rFonts w:ascii="宋体" w:hAnsi="宋体" w:eastAsia="宋体" w:cs="宋体"/>
          <w:color w:val="auto"/>
          <w:spacing w:val="-7"/>
          <w:sz w:val="24"/>
          <w:szCs w:val="24"/>
          <w:highlight w:val="none"/>
        </w:rPr>
        <w:t>和.nXCSTF）,其中后缀格式为“.XCSTF</w:t>
      </w:r>
      <w:r>
        <w:rPr>
          <w:rFonts w:ascii="宋体" w:hAnsi="宋体" w:eastAsia="宋体" w:cs="宋体"/>
          <w:color w:val="auto"/>
          <w:spacing w:val="-89"/>
          <w:sz w:val="24"/>
          <w:szCs w:val="24"/>
          <w:highlight w:val="none"/>
        </w:rPr>
        <w:t xml:space="preserve"> </w:t>
      </w:r>
      <w:r>
        <w:rPr>
          <w:rFonts w:ascii="宋体" w:hAnsi="宋体" w:eastAsia="宋体" w:cs="宋体"/>
          <w:color w:val="auto"/>
          <w:spacing w:val="-7"/>
          <w:sz w:val="24"/>
          <w:szCs w:val="24"/>
          <w:highlight w:val="none"/>
        </w:rPr>
        <w:t>”的加密电子响应文件用于上传至</w:t>
      </w:r>
      <w:r>
        <w:rPr>
          <w:rFonts w:ascii="宋体" w:hAnsi="宋体" w:eastAsia="宋体" w:cs="宋体"/>
          <w:color w:val="auto"/>
          <w:spacing w:val="-8"/>
          <w:sz w:val="24"/>
          <w:szCs w:val="24"/>
          <w:highlight w:val="none"/>
        </w:rPr>
        <w:t>交易系统中投标，</w:t>
      </w:r>
      <w:r>
        <w:rPr>
          <w:rFonts w:ascii="宋体" w:hAnsi="宋体" w:eastAsia="宋体" w:cs="宋体"/>
          <w:color w:val="auto"/>
          <w:spacing w:val="-4"/>
          <w:sz w:val="24"/>
          <w:szCs w:val="24"/>
          <w:highlight w:val="none"/>
        </w:rPr>
        <w:t>后缀格式为“.nXCSTF</w:t>
      </w:r>
      <w:r>
        <w:rPr>
          <w:rFonts w:ascii="宋体" w:hAnsi="宋体" w:eastAsia="宋体" w:cs="宋体"/>
          <w:color w:val="auto"/>
          <w:spacing w:val="-71"/>
          <w:sz w:val="24"/>
          <w:szCs w:val="24"/>
          <w:highlight w:val="none"/>
        </w:rPr>
        <w:t xml:space="preserve"> </w:t>
      </w:r>
      <w:r>
        <w:rPr>
          <w:rFonts w:ascii="宋体" w:hAnsi="宋体" w:eastAsia="宋体" w:cs="宋体"/>
          <w:color w:val="auto"/>
          <w:spacing w:val="-4"/>
          <w:sz w:val="24"/>
          <w:szCs w:val="24"/>
          <w:highlight w:val="none"/>
        </w:rPr>
        <w:t>”的不加密电子响应文件用于查看响应文件内容或导出PDF格式响应文件。</w:t>
      </w:r>
    </w:p>
    <w:p w14:paraId="4E165C64">
      <w:pPr>
        <w:spacing w:line="219" w:lineRule="auto"/>
        <w:ind w:left="49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15.6电子响应文件制作技术咨询：</w:t>
      </w:r>
      <w:r>
        <w:rPr>
          <w:rFonts w:ascii="宋体" w:hAnsi="宋体" w:eastAsia="宋体" w:cs="宋体"/>
          <w:b/>
          <w:bCs/>
          <w:color w:val="auto"/>
          <w:spacing w:val="-2"/>
          <w:sz w:val="24"/>
          <w:szCs w:val="24"/>
          <w:highlight w:val="none"/>
        </w:rPr>
        <w:t>0374-2961598。</w:t>
      </w:r>
    </w:p>
    <w:p w14:paraId="71314B10">
      <w:pPr>
        <w:spacing w:before="183" w:line="219" w:lineRule="auto"/>
        <w:ind w:left="16"/>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16.响应文件格式</w:t>
      </w:r>
    </w:p>
    <w:p w14:paraId="65D163B2">
      <w:pPr>
        <w:spacing w:before="183" w:line="360" w:lineRule="auto"/>
        <w:ind w:left="3" w:right="75" w:firstLine="49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16.1为便于评审及规范统一，建议响应文件参照磋商文件第八部分（响应文件有关格</w:t>
      </w:r>
      <w:r>
        <w:rPr>
          <w:rFonts w:ascii="宋体" w:hAnsi="宋体" w:eastAsia="宋体" w:cs="宋体"/>
          <w:color w:val="auto"/>
          <w:spacing w:val="-3"/>
          <w:sz w:val="24"/>
          <w:szCs w:val="24"/>
          <w:highlight w:val="none"/>
        </w:rPr>
        <w:t>式）的内容要求、编排顺序和格式要求，以A4幅面编上连贯页码</w:t>
      </w:r>
      <w:r>
        <w:rPr>
          <w:rFonts w:ascii="宋体" w:hAnsi="宋体" w:eastAsia="宋体" w:cs="宋体"/>
          <w:color w:val="auto"/>
          <w:spacing w:val="-4"/>
          <w:sz w:val="24"/>
          <w:szCs w:val="24"/>
          <w:highlight w:val="none"/>
        </w:rPr>
        <w:t>，并在响应文件封面上注</w:t>
      </w:r>
      <w:r>
        <w:rPr>
          <w:rFonts w:ascii="宋体" w:hAnsi="宋体" w:eastAsia="宋体" w:cs="宋体"/>
          <w:color w:val="auto"/>
          <w:spacing w:val="-3"/>
          <w:sz w:val="24"/>
          <w:szCs w:val="24"/>
          <w:highlight w:val="none"/>
        </w:rPr>
        <w:t>明：所投项目名称、项目编号、供应商名称、</w:t>
      </w:r>
      <w:r>
        <w:rPr>
          <w:rFonts w:ascii="宋体" w:hAnsi="宋体" w:eastAsia="宋体" w:cs="宋体"/>
          <w:color w:val="auto"/>
          <w:spacing w:val="-58"/>
          <w:sz w:val="24"/>
          <w:szCs w:val="24"/>
          <w:highlight w:val="none"/>
        </w:rPr>
        <w:t xml:space="preserve"> </w:t>
      </w:r>
      <w:r>
        <w:rPr>
          <w:rFonts w:ascii="宋体" w:hAnsi="宋体" w:eastAsia="宋体" w:cs="宋体"/>
          <w:color w:val="auto"/>
          <w:spacing w:val="-3"/>
          <w:sz w:val="24"/>
          <w:szCs w:val="24"/>
          <w:highlight w:val="none"/>
        </w:rPr>
        <w:t>日期等字样。</w:t>
      </w:r>
    </w:p>
    <w:p w14:paraId="0000FA9B">
      <w:pPr>
        <w:spacing w:before="1" w:line="218" w:lineRule="auto"/>
        <w:ind w:left="49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16.2磋商文件未提供标准格式的供应商可自</w:t>
      </w:r>
      <w:r>
        <w:rPr>
          <w:rFonts w:ascii="宋体" w:hAnsi="宋体" w:eastAsia="宋体" w:cs="宋体"/>
          <w:color w:val="auto"/>
          <w:spacing w:val="-2"/>
          <w:sz w:val="24"/>
          <w:szCs w:val="24"/>
          <w:highlight w:val="none"/>
        </w:rPr>
        <w:t>行拟定。</w:t>
      </w:r>
    </w:p>
    <w:p w14:paraId="39578C83">
      <w:pPr>
        <w:spacing w:line="218" w:lineRule="auto"/>
        <w:rPr>
          <w:rFonts w:ascii="宋体" w:hAnsi="宋体" w:eastAsia="宋体" w:cs="宋体"/>
          <w:color w:val="auto"/>
          <w:sz w:val="24"/>
          <w:szCs w:val="24"/>
          <w:highlight w:val="none"/>
        </w:rPr>
        <w:sectPr>
          <w:footerReference r:id="rId21" w:type="default"/>
          <w:pgSz w:w="11906" w:h="16839"/>
          <w:pgMar w:top="1431" w:right="999" w:bottom="1443" w:left="1596" w:header="0" w:footer="1202" w:gutter="0"/>
          <w:pgNumType w:fmt="decimal"/>
          <w:cols w:space="720" w:num="1"/>
        </w:sectPr>
      </w:pPr>
    </w:p>
    <w:p w14:paraId="11104053">
      <w:pPr>
        <w:spacing w:before="122" w:line="220" w:lineRule="auto"/>
        <w:ind w:left="19"/>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17.磋商保证金</w:t>
      </w:r>
    </w:p>
    <w:p w14:paraId="5FB13A09">
      <w:pPr>
        <w:spacing w:before="181" w:line="360" w:lineRule="auto"/>
        <w:ind w:left="7" w:right="61" w:firstLine="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17.1按照河南省《关于优化政府采购营商环境有关问题的通知》（豫财购〔2019〕4号文）的要求，本项目不予收取投标保证金，供应商应提供投标承诺函。</w:t>
      </w:r>
    </w:p>
    <w:p w14:paraId="28EFAF09">
      <w:pPr>
        <w:spacing w:line="360" w:lineRule="auto"/>
        <w:ind w:left="10" w:right="56" w:firstLine="48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17.2供应商应按照磋商文件要求，在响应文件中提供投标承诺函，明确所应当履行的</w:t>
      </w:r>
      <w:r>
        <w:rPr>
          <w:rFonts w:ascii="宋体" w:hAnsi="宋体" w:eastAsia="宋体" w:cs="宋体"/>
          <w:color w:val="auto"/>
          <w:spacing w:val="-1"/>
          <w:sz w:val="24"/>
          <w:szCs w:val="24"/>
          <w:highlight w:val="none"/>
        </w:rPr>
        <w:t>责任和义务，诚信履约，并自觉接受行政监管部门的监督管理。</w:t>
      </w:r>
    </w:p>
    <w:p w14:paraId="58CBA843">
      <w:pPr>
        <w:spacing w:line="218" w:lineRule="auto"/>
        <w:ind w:left="19"/>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18.磋商文件的数量和签署盖章</w:t>
      </w:r>
    </w:p>
    <w:p w14:paraId="537DBB08">
      <w:pPr>
        <w:spacing w:before="183" w:line="219" w:lineRule="auto"/>
        <w:ind w:left="49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18.1供应商应提交响应文件份数见“供应商须知前附表</w:t>
      </w:r>
      <w:r>
        <w:rPr>
          <w:rFonts w:ascii="宋体" w:hAnsi="宋体" w:eastAsia="宋体" w:cs="宋体"/>
          <w:color w:val="auto"/>
          <w:spacing w:val="-88"/>
          <w:sz w:val="24"/>
          <w:szCs w:val="24"/>
          <w:highlight w:val="none"/>
        </w:rPr>
        <w:t xml:space="preserve"> </w:t>
      </w:r>
      <w:r>
        <w:rPr>
          <w:rFonts w:ascii="宋体" w:hAnsi="宋体" w:eastAsia="宋体" w:cs="宋体"/>
          <w:color w:val="auto"/>
          <w:spacing w:val="-1"/>
          <w:sz w:val="24"/>
          <w:szCs w:val="24"/>
          <w:highlight w:val="none"/>
        </w:rPr>
        <w:t>”。</w:t>
      </w:r>
    </w:p>
    <w:p w14:paraId="2C6FED87">
      <w:pPr>
        <w:spacing w:before="183" w:line="362" w:lineRule="auto"/>
        <w:ind w:left="1" w:right="56" w:firstLine="49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18.2在磋商文件中已明示需盖章及签名之处，电子响应文件应按磋商文件要求加盖供</w:t>
      </w:r>
      <w:r>
        <w:rPr>
          <w:rFonts w:ascii="宋体" w:hAnsi="宋体" w:eastAsia="宋体" w:cs="宋体"/>
          <w:color w:val="auto"/>
          <w:spacing w:val="-1"/>
          <w:sz w:val="24"/>
          <w:szCs w:val="24"/>
          <w:highlight w:val="none"/>
        </w:rPr>
        <w:t>应商电子印章和法人电子印章或授权代表电子印章。</w:t>
      </w:r>
    </w:p>
    <w:p w14:paraId="063F2621">
      <w:pPr>
        <w:spacing w:before="40" w:line="225" w:lineRule="auto"/>
        <w:ind w:left="3000"/>
        <w:rPr>
          <w:rFonts w:ascii="宋体" w:hAnsi="宋体" w:eastAsia="宋体" w:cs="宋体"/>
          <w:color w:val="auto"/>
          <w:sz w:val="30"/>
          <w:szCs w:val="30"/>
          <w:highlight w:val="none"/>
        </w:rPr>
      </w:pPr>
      <w:r>
        <w:rPr>
          <w:rFonts w:ascii="宋体" w:hAnsi="宋体" w:eastAsia="宋体" w:cs="宋体"/>
          <w:b/>
          <w:bCs/>
          <w:color w:val="auto"/>
          <w:spacing w:val="3"/>
          <w:sz w:val="30"/>
          <w:szCs w:val="30"/>
          <w:highlight w:val="none"/>
        </w:rPr>
        <w:t>四、响应文件的递交</w:t>
      </w:r>
    </w:p>
    <w:p w14:paraId="1A109057">
      <w:pPr>
        <w:spacing w:before="214" w:line="220" w:lineRule="auto"/>
        <w:ind w:left="19"/>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19.磋商响应截止时间</w:t>
      </w:r>
    </w:p>
    <w:p w14:paraId="73B10C5C">
      <w:pPr>
        <w:spacing w:before="184" w:line="359" w:lineRule="auto"/>
        <w:ind w:firstLine="49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19.1供应商必须在“采购邀请</w:t>
      </w:r>
      <w:r>
        <w:rPr>
          <w:rFonts w:ascii="宋体" w:hAnsi="宋体" w:eastAsia="宋体" w:cs="宋体"/>
          <w:color w:val="auto"/>
          <w:spacing w:val="-83"/>
          <w:sz w:val="24"/>
          <w:szCs w:val="24"/>
          <w:highlight w:val="none"/>
        </w:rPr>
        <w:t xml:space="preserve"> </w:t>
      </w:r>
      <w:r>
        <w:rPr>
          <w:rFonts w:ascii="宋体" w:hAnsi="宋体" w:eastAsia="宋体" w:cs="宋体"/>
          <w:color w:val="auto"/>
          <w:spacing w:val="-4"/>
          <w:sz w:val="24"/>
          <w:szCs w:val="24"/>
          <w:highlight w:val="none"/>
        </w:rPr>
        <w:t>”和“供应商须知前附表</w:t>
      </w:r>
      <w:r>
        <w:rPr>
          <w:rFonts w:ascii="宋体" w:hAnsi="宋体" w:eastAsia="宋体" w:cs="宋体"/>
          <w:color w:val="auto"/>
          <w:spacing w:val="-88"/>
          <w:sz w:val="24"/>
          <w:szCs w:val="24"/>
          <w:highlight w:val="none"/>
        </w:rPr>
        <w:t xml:space="preserve"> </w:t>
      </w:r>
      <w:r>
        <w:rPr>
          <w:rFonts w:ascii="宋体" w:hAnsi="宋体" w:eastAsia="宋体" w:cs="宋体"/>
          <w:color w:val="auto"/>
          <w:spacing w:val="-4"/>
          <w:sz w:val="24"/>
          <w:szCs w:val="24"/>
          <w:highlight w:val="none"/>
        </w:rPr>
        <w:t>”中规定的响应截止时间前，</w:t>
      </w:r>
      <w:r>
        <w:rPr>
          <w:rFonts w:ascii="宋体" w:hAnsi="宋体" w:eastAsia="宋体" w:cs="宋体"/>
          <w:color w:val="auto"/>
          <w:spacing w:val="-5"/>
          <w:sz w:val="24"/>
          <w:szCs w:val="24"/>
          <w:highlight w:val="none"/>
        </w:rPr>
        <w:t>将加密电子响应文件（后缀格式为.XCSTF）通过《全国公共资源交易平</w:t>
      </w:r>
      <w:r>
        <w:rPr>
          <w:rFonts w:ascii="宋体" w:hAnsi="宋体" w:eastAsia="宋体" w:cs="宋体"/>
          <w:color w:val="auto"/>
          <w:spacing w:val="-6"/>
          <w:sz w:val="24"/>
          <w:szCs w:val="24"/>
          <w:highlight w:val="none"/>
        </w:rPr>
        <w:t>台（河南省</w:t>
      </w:r>
      <w:r>
        <w:rPr>
          <w:rFonts w:ascii="宋体" w:hAnsi="宋体" w:eastAsia="宋体" w:cs="宋体"/>
          <w:color w:val="auto"/>
          <w:spacing w:val="-29"/>
          <w:sz w:val="24"/>
          <w:szCs w:val="24"/>
          <w:highlight w:val="none"/>
        </w:rPr>
        <w:t xml:space="preserve"> </w:t>
      </w:r>
      <w:r>
        <w:rPr>
          <w:rFonts w:ascii="宋体" w:hAnsi="宋体" w:eastAsia="宋体" w:cs="宋体"/>
          <w:color w:val="auto"/>
          <w:spacing w:val="-6"/>
          <w:sz w:val="24"/>
          <w:szCs w:val="24"/>
          <w:highlight w:val="none"/>
        </w:rPr>
        <w:t>·许昌</w:t>
      </w:r>
      <w:r>
        <w:rPr>
          <w:rFonts w:ascii="宋体" w:hAnsi="宋体" w:eastAsia="宋体" w:cs="宋体"/>
          <w:color w:val="auto"/>
          <w:sz w:val="24"/>
          <w:szCs w:val="24"/>
          <w:highlight w:val="none"/>
        </w:rPr>
        <w:t>市）》（</w:t>
      </w:r>
      <w:r>
        <w:rPr>
          <w:color w:val="auto"/>
          <w:highlight w:val="none"/>
        </w:rPr>
        <w:fldChar w:fldCharType="begin"/>
      </w:r>
      <w:r>
        <w:rPr>
          <w:color w:val="auto"/>
          <w:highlight w:val="none"/>
        </w:rPr>
        <w:instrText xml:space="preserve"> HYPERLINK "https://ggzy.xuchang.gov.cn" </w:instrText>
      </w:r>
      <w:r>
        <w:rPr>
          <w:color w:val="auto"/>
          <w:highlight w:val="none"/>
        </w:rPr>
        <w:fldChar w:fldCharType="separate"/>
      </w:r>
      <w:r>
        <w:rPr>
          <w:rFonts w:ascii="宋体" w:hAnsi="宋体" w:eastAsia="宋体" w:cs="宋体"/>
          <w:color w:val="auto"/>
          <w:sz w:val="24"/>
          <w:szCs w:val="24"/>
          <w:highlight w:val="none"/>
        </w:rPr>
        <w:t>https://ggzy.xuchang.gov.cn</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t>）许昌市公共资源电子</w:t>
      </w:r>
      <w:r>
        <w:rPr>
          <w:rFonts w:ascii="宋体" w:hAnsi="宋体" w:eastAsia="宋体" w:cs="宋体"/>
          <w:color w:val="auto"/>
          <w:spacing w:val="-1"/>
          <w:sz w:val="24"/>
          <w:szCs w:val="24"/>
          <w:highlight w:val="none"/>
        </w:rPr>
        <w:t>交易系统成功上传。</w:t>
      </w:r>
    </w:p>
    <w:p w14:paraId="23526939">
      <w:pPr>
        <w:spacing w:before="2" w:line="360" w:lineRule="auto"/>
        <w:ind w:right="56" w:firstLine="49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19.2采购人可以按本须知第11条规定，通过修改磋商文件自行决定酌情延长磋商响应</w:t>
      </w:r>
      <w:r>
        <w:rPr>
          <w:rFonts w:ascii="宋体" w:hAnsi="宋体" w:eastAsia="宋体" w:cs="宋体"/>
          <w:color w:val="auto"/>
          <w:spacing w:val="-3"/>
          <w:sz w:val="24"/>
          <w:szCs w:val="24"/>
          <w:highlight w:val="none"/>
        </w:rPr>
        <w:t>截止期。在此情况下，采购人和供应商受投标截止期制约的所有权利和</w:t>
      </w:r>
      <w:r>
        <w:rPr>
          <w:rFonts w:ascii="宋体" w:hAnsi="宋体" w:eastAsia="宋体" w:cs="宋体"/>
          <w:color w:val="auto"/>
          <w:spacing w:val="-4"/>
          <w:sz w:val="24"/>
          <w:szCs w:val="24"/>
          <w:highlight w:val="none"/>
        </w:rPr>
        <w:t>义务均应延长至新</w:t>
      </w:r>
      <w:r>
        <w:rPr>
          <w:rFonts w:ascii="宋体" w:hAnsi="宋体" w:eastAsia="宋体" w:cs="宋体"/>
          <w:color w:val="auto"/>
          <w:sz w:val="24"/>
          <w:szCs w:val="24"/>
          <w:highlight w:val="none"/>
        </w:rPr>
        <w:t>的截止日期和时间。供应商按采购人修改通知规定</w:t>
      </w:r>
      <w:r>
        <w:rPr>
          <w:rFonts w:ascii="宋体" w:hAnsi="宋体" w:eastAsia="宋体" w:cs="宋体"/>
          <w:color w:val="auto"/>
          <w:spacing w:val="-1"/>
          <w:sz w:val="24"/>
          <w:szCs w:val="24"/>
          <w:highlight w:val="none"/>
        </w:rPr>
        <w:t>的时间提交响应文件。</w:t>
      </w:r>
    </w:p>
    <w:p w14:paraId="1349F273">
      <w:pPr>
        <w:spacing w:before="1" w:line="219" w:lineRule="auto"/>
        <w:ind w:left="4"/>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20.迟交的响应文件</w:t>
      </w:r>
    </w:p>
    <w:p w14:paraId="10FF81CA">
      <w:pPr>
        <w:spacing w:before="182" w:line="219" w:lineRule="auto"/>
        <w:ind w:left="480"/>
        <w:rPr>
          <w:rFonts w:ascii="宋体" w:hAnsi="宋体" w:eastAsia="宋体" w:cs="宋体"/>
          <w:color w:val="auto"/>
          <w:sz w:val="24"/>
          <w:szCs w:val="24"/>
          <w:highlight w:val="none"/>
        </w:rPr>
      </w:pPr>
      <w:r>
        <w:rPr>
          <w:rFonts w:ascii="宋体" w:hAnsi="宋体" w:eastAsia="宋体" w:cs="宋体"/>
          <w:color w:val="auto"/>
          <w:sz w:val="24"/>
          <w:szCs w:val="24"/>
          <w:highlight w:val="none"/>
        </w:rPr>
        <w:t>磋商响应文件截止时间之后上传的响应文件</w:t>
      </w:r>
      <w:r>
        <w:rPr>
          <w:rFonts w:ascii="宋体" w:hAnsi="宋体" w:eastAsia="宋体" w:cs="宋体"/>
          <w:color w:val="auto"/>
          <w:spacing w:val="-1"/>
          <w:sz w:val="24"/>
          <w:szCs w:val="24"/>
          <w:highlight w:val="none"/>
        </w:rPr>
        <w:t>，采购人将拒绝接收。</w:t>
      </w:r>
    </w:p>
    <w:p w14:paraId="560C0DD7">
      <w:pPr>
        <w:spacing w:before="184" w:line="219" w:lineRule="auto"/>
        <w:ind w:left="4"/>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21.响应文件的修改和撤回</w:t>
      </w:r>
    </w:p>
    <w:p w14:paraId="2EABC4DD">
      <w:pPr>
        <w:spacing w:before="183" w:line="360" w:lineRule="auto"/>
        <w:ind w:left="3" w:firstLine="48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21.1供应商在磋商响应截止时间前，可以对所递交的响应</w:t>
      </w:r>
      <w:r>
        <w:rPr>
          <w:rFonts w:ascii="宋体" w:hAnsi="宋体" w:eastAsia="宋体" w:cs="宋体"/>
          <w:color w:val="auto"/>
          <w:spacing w:val="-4"/>
          <w:sz w:val="24"/>
          <w:szCs w:val="24"/>
          <w:highlight w:val="none"/>
        </w:rPr>
        <w:t>文件进行补充、修改或者撤</w:t>
      </w:r>
      <w:r>
        <w:rPr>
          <w:rFonts w:ascii="宋体" w:hAnsi="宋体" w:eastAsia="宋体" w:cs="宋体"/>
          <w:color w:val="auto"/>
          <w:spacing w:val="-2"/>
          <w:sz w:val="24"/>
          <w:szCs w:val="24"/>
          <w:highlight w:val="none"/>
        </w:rPr>
        <w:t>回的，须书面通知采购人。供应商应当在磋商响应截止时间前完成电子响应文件的提交，</w:t>
      </w:r>
      <w:r>
        <w:rPr>
          <w:rFonts w:ascii="宋体" w:hAnsi="宋体" w:eastAsia="宋体" w:cs="宋体"/>
          <w:color w:val="auto"/>
          <w:spacing w:val="-3"/>
          <w:sz w:val="24"/>
          <w:szCs w:val="24"/>
          <w:highlight w:val="none"/>
        </w:rPr>
        <w:t>可以补充、修改或撤回。磋商响应截止时间前未完成电子响</w:t>
      </w:r>
      <w:r>
        <w:rPr>
          <w:rFonts w:ascii="宋体" w:hAnsi="宋体" w:eastAsia="宋体" w:cs="宋体"/>
          <w:color w:val="auto"/>
          <w:spacing w:val="-4"/>
          <w:sz w:val="24"/>
          <w:szCs w:val="24"/>
          <w:highlight w:val="none"/>
        </w:rPr>
        <w:t>应文件提交的，视为撤回响应文件。</w:t>
      </w:r>
    </w:p>
    <w:p w14:paraId="386CABD9">
      <w:pPr>
        <w:spacing w:before="3" w:line="359" w:lineRule="auto"/>
        <w:ind w:right="56" w:firstLine="48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21.2供应商补充、修改的内容并作为响应文件的组成部分</w:t>
      </w:r>
      <w:r>
        <w:rPr>
          <w:rFonts w:ascii="宋体" w:hAnsi="宋体" w:eastAsia="宋体" w:cs="宋体"/>
          <w:color w:val="auto"/>
          <w:spacing w:val="-4"/>
          <w:sz w:val="24"/>
          <w:szCs w:val="24"/>
          <w:highlight w:val="none"/>
        </w:rPr>
        <w:t>。补充或修改应当按磋商文</w:t>
      </w:r>
      <w:r>
        <w:rPr>
          <w:rFonts w:ascii="宋体" w:hAnsi="宋体" w:eastAsia="宋体" w:cs="宋体"/>
          <w:color w:val="auto"/>
          <w:spacing w:val="-3"/>
          <w:sz w:val="24"/>
          <w:szCs w:val="24"/>
          <w:highlight w:val="none"/>
        </w:rPr>
        <w:t>件要求签署、盖章、递交，并应注明“修改</w:t>
      </w:r>
      <w:r>
        <w:rPr>
          <w:rFonts w:ascii="宋体" w:hAnsi="宋体" w:eastAsia="宋体" w:cs="宋体"/>
          <w:color w:val="auto"/>
          <w:spacing w:val="-78"/>
          <w:sz w:val="24"/>
          <w:szCs w:val="24"/>
          <w:highlight w:val="none"/>
        </w:rPr>
        <w:t xml:space="preserve"> </w:t>
      </w:r>
      <w:r>
        <w:rPr>
          <w:rFonts w:ascii="宋体" w:hAnsi="宋体" w:eastAsia="宋体" w:cs="宋体"/>
          <w:color w:val="auto"/>
          <w:spacing w:val="-3"/>
          <w:sz w:val="24"/>
          <w:szCs w:val="24"/>
          <w:highlight w:val="none"/>
        </w:rPr>
        <w:t>”或“补充</w:t>
      </w:r>
      <w:r>
        <w:rPr>
          <w:rFonts w:ascii="宋体" w:hAnsi="宋体" w:eastAsia="宋体" w:cs="宋体"/>
          <w:color w:val="auto"/>
          <w:spacing w:val="-88"/>
          <w:sz w:val="24"/>
          <w:szCs w:val="24"/>
          <w:highlight w:val="none"/>
        </w:rPr>
        <w:t xml:space="preserve"> </w:t>
      </w:r>
      <w:r>
        <w:rPr>
          <w:rFonts w:ascii="宋体" w:hAnsi="宋体" w:eastAsia="宋体" w:cs="宋体"/>
          <w:color w:val="auto"/>
          <w:spacing w:val="-3"/>
          <w:sz w:val="24"/>
          <w:szCs w:val="24"/>
          <w:highlight w:val="none"/>
        </w:rPr>
        <w:t>”字样。</w:t>
      </w:r>
    </w:p>
    <w:p w14:paraId="2C4C7B27">
      <w:pPr>
        <w:spacing w:before="2" w:line="359" w:lineRule="auto"/>
        <w:ind w:left="20" w:right="56" w:firstLine="46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21.3供应商在提交响应文件后，可以撤回其投标，但供应</w:t>
      </w:r>
      <w:r>
        <w:rPr>
          <w:rFonts w:ascii="宋体" w:hAnsi="宋体" w:eastAsia="宋体" w:cs="宋体"/>
          <w:color w:val="auto"/>
          <w:spacing w:val="-4"/>
          <w:sz w:val="24"/>
          <w:szCs w:val="24"/>
          <w:highlight w:val="none"/>
        </w:rPr>
        <w:t>商必须在规定的投标截止时</w:t>
      </w:r>
      <w:r>
        <w:rPr>
          <w:rFonts w:ascii="宋体" w:hAnsi="宋体" w:eastAsia="宋体" w:cs="宋体"/>
          <w:color w:val="auto"/>
          <w:spacing w:val="-3"/>
          <w:sz w:val="24"/>
          <w:szCs w:val="24"/>
          <w:highlight w:val="none"/>
        </w:rPr>
        <w:t>间前以书面形式告知招标人。</w:t>
      </w:r>
    </w:p>
    <w:p w14:paraId="3EF1FEDD">
      <w:pPr>
        <w:spacing w:before="1" w:line="218" w:lineRule="auto"/>
        <w:ind w:left="48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21.4供应商不得在响应有效期内撤销响应文件，否则供应</w:t>
      </w:r>
      <w:r>
        <w:rPr>
          <w:rFonts w:ascii="宋体" w:hAnsi="宋体" w:eastAsia="宋体" w:cs="宋体"/>
          <w:color w:val="auto"/>
          <w:spacing w:val="-4"/>
          <w:sz w:val="24"/>
          <w:szCs w:val="24"/>
          <w:highlight w:val="none"/>
        </w:rPr>
        <w:t>商将承担违背磋商承诺函的</w:t>
      </w:r>
    </w:p>
    <w:p w14:paraId="1EF4E6A7">
      <w:pPr>
        <w:spacing w:line="218" w:lineRule="auto"/>
        <w:rPr>
          <w:rFonts w:ascii="宋体" w:hAnsi="宋体" w:eastAsia="宋体" w:cs="宋体"/>
          <w:color w:val="auto"/>
          <w:sz w:val="24"/>
          <w:szCs w:val="24"/>
          <w:highlight w:val="none"/>
        </w:rPr>
        <w:sectPr>
          <w:footerReference r:id="rId22" w:type="default"/>
          <w:pgSz w:w="11906" w:h="16839"/>
          <w:pgMar w:top="1431" w:right="1018" w:bottom="1443" w:left="1593" w:header="0" w:footer="1202" w:gutter="0"/>
          <w:pgNumType w:fmt="decimal"/>
          <w:cols w:space="720" w:num="1"/>
        </w:sectPr>
      </w:pPr>
    </w:p>
    <w:p w14:paraId="0359A1D0">
      <w:pPr>
        <w:spacing w:before="122" w:line="219" w:lineRule="auto"/>
        <w:ind w:left="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责任追究。</w:t>
      </w:r>
    </w:p>
    <w:p w14:paraId="26DC4167">
      <w:pPr>
        <w:spacing w:before="183" w:line="219" w:lineRule="auto"/>
        <w:ind w:left="3"/>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22.除供应商须知前附表另有规定外，供应商所提交的电子响应文件不予退还。</w:t>
      </w:r>
    </w:p>
    <w:p w14:paraId="4C5FD9AE">
      <w:pPr>
        <w:spacing w:before="227" w:line="225" w:lineRule="auto"/>
        <w:ind w:left="2663"/>
        <w:rPr>
          <w:rFonts w:ascii="宋体" w:hAnsi="宋体" w:eastAsia="宋体" w:cs="宋体"/>
          <w:color w:val="auto"/>
          <w:sz w:val="30"/>
          <w:szCs w:val="30"/>
          <w:highlight w:val="none"/>
        </w:rPr>
      </w:pPr>
      <w:r>
        <w:rPr>
          <w:rFonts w:ascii="宋体" w:hAnsi="宋体" w:eastAsia="宋体" w:cs="宋体"/>
          <w:b/>
          <w:bCs/>
          <w:color w:val="auto"/>
          <w:spacing w:val="6"/>
          <w:sz w:val="30"/>
          <w:szCs w:val="30"/>
          <w:highlight w:val="none"/>
        </w:rPr>
        <w:t>五、响应文件开启和磋商</w:t>
      </w:r>
    </w:p>
    <w:p w14:paraId="5FF0F4E0">
      <w:pPr>
        <w:spacing w:before="214" w:line="219" w:lineRule="auto"/>
        <w:ind w:left="3"/>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23.响应文件开启</w:t>
      </w:r>
    </w:p>
    <w:p w14:paraId="73AE51F5">
      <w:pPr>
        <w:spacing w:before="183" w:line="360" w:lineRule="auto"/>
        <w:ind w:right="80" w:firstLine="48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23.1采购人将按磋商文件规定的磋商响应截止时间和地点</w:t>
      </w:r>
      <w:r>
        <w:rPr>
          <w:rFonts w:ascii="宋体" w:hAnsi="宋体" w:eastAsia="宋体" w:cs="宋体"/>
          <w:color w:val="auto"/>
          <w:spacing w:val="-4"/>
          <w:sz w:val="24"/>
          <w:szCs w:val="24"/>
          <w:highlight w:val="none"/>
        </w:rPr>
        <w:t>解密电子响应文件。由代理</w:t>
      </w:r>
      <w:r>
        <w:rPr>
          <w:rFonts w:ascii="宋体" w:hAnsi="宋体" w:eastAsia="宋体" w:cs="宋体"/>
          <w:color w:val="auto"/>
          <w:sz w:val="24"/>
          <w:szCs w:val="24"/>
          <w:highlight w:val="none"/>
        </w:rPr>
        <w:t>机构主持，供应商无须到现场。磋商小组成</w:t>
      </w:r>
      <w:r>
        <w:rPr>
          <w:rFonts w:ascii="宋体" w:hAnsi="宋体" w:eastAsia="宋体" w:cs="宋体"/>
          <w:color w:val="auto"/>
          <w:spacing w:val="-1"/>
          <w:sz w:val="24"/>
          <w:szCs w:val="24"/>
          <w:highlight w:val="none"/>
        </w:rPr>
        <w:t>员不得参加开标活动。</w:t>
      </w:r>
    </w:p>
    <w:p w14:paraId="1F82CACE">
      <w:pPr>
        <w:spacing w:line="360" w:lineRule="auto"/>
        <w:ind w:left="2" w:right="23" w:firstLine="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23.2招标人应当对开标、评标现场活动进行全程录音录像。录音录像应当清晰可辨，</w:t>
      </w:r>
      <w:r>
        <w:rPr>
          <w:rFonts w:ascii="宋体" w:hAnsi="宋体" w:eastAsia="宋体" w:cs="宋体"/>
          <w:color w:val="auto"/>
          <w:spacing w:val="-1"/>
          <w:sz w:val="24"/>
          <w:szCs w:val="24"/>
          <w:highlight w:val="none"/>
        </w:rPr>
        <w:t>音像资料作为采购文件一并存档。</w:t>
      </w:r>
    </w:p>
    <w:p w14:paraId="542057EA">
      <w:pPr>
        <w:spacing w:before="3" w:line="359" w:lineRule="auto"/>
        <w:ind w:right="80" w:firstLine="48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23.3磋商响应截止时间，由代理机构进行公布投标人、开</w:t>
      </w:r>
      <w:r>
        <w:rPr>
          <w:rFonts w:ascii="宋体" w:hAnsi="宋体" w:eastAsia="宋体" w:cs="宋体"/>
          <w:color w:val="auto"/>
          <w:spacing w:val="-4"/>
          <w:sz w:val="24"/>
          <w:szCs w:val="24"/>
          <w:highlight w:val="none"/>
        </w:rPr>
        <w:t>始投标解密、标书导入、唱</w:t>
      </w:r>
      <w:r>
        <w:rPr>
          <w:rFonts w:ascii="宋体" w:hAnsi="宋体" w:eastAsia="宋体" w:cs="宋体"/>
          <w:color w:val="auto"/>
          <w:spacing w:val="-3"/>
          <w:sz w:val="24"/>
          <w:szCs w:val="24"/>
          <w:highlight w:val="none"/>
        </w:rPr>
        <w:t>标等操作，并开启群聊功能；供应商进行电子响应文件的解密。待标书</w:t>
      </w:r>
      <w:r>
        <w:rPr>
          <w:rFonts w:ascii="宋体" w:hAnsi="宋体" w:eastAsia="宋体" w:cs="宋体"/>
          <w:color w:val="auto"/>
          <w:spacing w:val="-4"/>
          <w:sz w:val="24"/>
          <w:szCs w:val="24"/>
          <w:highlight w:val="none"/>
        </w:rPr>
        <w:t>导入后，供应商点</w:t>
      </w:r>
      <w:r>
        <w:rPr>
          <w:rFonts w:ascii="宋体" w:hAnsi="宋体" w:eastAsia="宋体" w:cs="宋体"/>
          <w:color w:val="auto"/>
          <w:spacing w:val="-2"/>
          <w:sz w:val="24"/>
          <w:szCs w:val="24"/>
          <w:highlight w:val="none"/>
        </w:rPr>
        <w:t>击页面上方进度条的“唱标</w:t>
      </w:r>
      <w:r>
        <w:rPr>
          <w:rFonts w:ascii="宋体" w:hAnsi="宋体" w:eastAsia="宋体" w:cs="宋体"/>
          <w:color w:val="auto"/>
          <w:spacing w:val="-88"/>
          <w:sz w:val="24"/>
          <w:szCs w:val="24"/>
          <w:highlight w:val="none"/>
        </w:rPr>
        <w:t xml:space="preserve"> </w:t>
      </w:r>
      <w:r>
        <w:rPr>
          <w:rFonts w:ascii="宋体" w:hAnsi="宋体" w:eastAsia="宋体" w:cs="宋体"/>
          <w:color w:val="auto"/>
          <w:spacing w:val="-2"/>
          <w:sz w:val="24"/>
          <w:szCs w:val="24"/>
          <w:highlight w:val="none"/>
        </w:rPr>
        <w:t>”可查看开标结果。</w:t>
      </w:r>
    </w:p>
    <w:p w14:paraId="5086C87E">
      <w:pPr>
        <w:spacing w:before="3" w:line="359" w:lineRule="auto"/>
        <w:ind w:left="1" w:right="80" w:firstLine="48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23.3.1电子响应文件的解密：全流程电子化交易项目电子响应文</w:t>
      </w:r>
      <w:r>
        <w:rPr>
          <w:rFonts w:ascii="宋体" w:hAnsi="宋体" w:eastAsia="宋体" w:cs="宋体"/>
          <w:color w:val="auto"/>
          <w:spacing w:val="-4"/>
          <w:sz w:val="24"/>
          <w:szCs w:val="24"/>
          <w:highlight w:val="none"/>
        </w:rPr>
        <w:t>件采用投标人一层加</w:t>
      </w:r>
      <w:r>
        <w:rPr>
          <w:rFonts w:ascii="宋体" w:hAnsi="宋体" w:eastAsia="宋体" w:cs="宋体"/>
          <w:color w:val="auto"/>
          <w:spacing w:val="-1"/>
          <w:sz w:val="24"/>
          <w:szCs w:val="24"/>
          <w:highlight w:val="none"/>
        </w:rPr>
        <w:t>密。解密时由投标人进行一次解密即可。</w:t>
      </w:r>
    </w:p>
    <w:p w14:paraId="624A2AAC">
      <w:pPr>
        <w:spacing w:before="1" w:line="218" w:lineRule="auto"/>
        <w:ind w:left="483"/>
        <w:rPr>
          <w:rFonts w:ascii="宋体" w:hAnsi="宋体" w:eastAsia="宋体" w:cs="宋体"/>
          <w:color w:val="auto"/>
          <w:sz w:val="24"/>
          <w:szCs w:val="24"/>
          <w:highlight w:val="none"/>
        </w:rPr>
      </w:pPr>
      <w:r>
        <w:rPr>
          <w:rFonts w:ascii="宋体" w:hAnsi="宋体" w:eastAsia="宋体" w:cs="宋体"/>
          <w:color w:val="auto"/>
          <w:sz w:val="24"/>
          <w:szCs w:val="24"/>
          <w:highlight w:val="none"/>
        </w:rPr>
        <w:t>23.3.1.1供应商解密：供应商使用本单</w:t>
      </w:r>
      <w:r>
        <w:rPr>
          <w:rFonts w:ascii="宋体" w:hAnsi="宋体" w:eastAsia="宋体" w:cs="宋体"/>
          <w:color w:val="auto"/>
          <w:spacing w:val="-1"/>
          <w:sz w:val="24"/>
          <w:szCs w:val="24"/>
          <w:highlight w:val="none"/>
        </w:rPr>
        <w:t>位CA数字证书进行远程解密。</w:t>
      </w:r>
    </w:p>
    <w:p w14:paraId="796E4946">
      <w:pPr>
        <w:spacing w:before="183" w:line="219" w:lineRule="auto"/>
        <w:ind w:left="483"/>
        <w:rPr>
          <w:rFonts w:ascii="宋体" w:hAnsi="宋体" w:eastAsia="宋体" w:cs="宋体"/>
          <w:color w:val="auto"/>
          <w:sz w:val="24"/>
          <w:szCs w:val="24"/>
          <w:highlight w:val="none"/>
        </w:rPr>
      </w:pPr>
      <w:r>
        <w:rPr>
          <w:rFonts w:ascii="宋体" w:hAnsi="宋体" w:eastAsia="宋体" w:cs="宋体"/>
          <w:color w:val="auto"/>
          <w:sz w:val="24"/>
          <w:szCs w:val="24"/>
          <w:highlight w:val="none"/>
        </w:rPr>
        <w:t>23.3.1.2因供应商原因电子响应文件解密</w:t>
      </w:r>
      <w:r>
        <w:rPr>
          <w:rFonts w:ascii="宋体" w:hAnsi="宋体" w:eastAsia="宋体" w:cs="宋体"/>
          <w:color w:val="auto"/>
          <w:spacing w:val="-1"/>
          <w:sz w:val="24"/>
          <w:szCs w:val="24"/>
          <w:highlight w:val="none"/>
        </w:rPr>
        <w:t>失败的，其响应文件将被退回。</w:t>
      </w:r>
    </w:p>
    <w:p w14:paraId="283FA9E9">
      <w:pPr>
        <w:spacing w:before="183" w:line="219" w:lineRule="auto"/>
        <w:ind w:left="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23.4供应商不足3家的，本项目磋商活动终止。</w:t>
      </w:r>
    </w:p>
    <w:p w14:paraId="4A4C2FFB">
      <w:pPr>
        <w:spacing w:before="184" w:line="360" w:lineRule="auto"/>
        <w:ind w:left="2" w:firstLine="480"/>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23.5开标过程由采购代理机构负责记录，《开标情况记录表》经供</w:t>
      </w:r>
      <w:r>
        <w:rPr>
          <w:rFonts w:ascii="宋体" w:hAnsi="宋体" w:eastAsia="宋体" w:cs="宋体"/>
          <w:color w:val="auto"/>
          <w:spacing w:val="-8"/>
          <w:sz w:val="24"/>
          <w:szCs w:val="24"/>
          <w:highlight w:val="none"/>
        </w:rPr>
        <w:t>应商进行电子签章、</w:t>
      </w:r>
      <w:r>
        <w:rPr>
          <w:rFonts w:ascii="宋体" w:hAnsi="宋体" w:eastAsia="宋体" w:cs="宋体"/>
          <w:color w:val="auto"/>
          <w:spacing w:val="-3"/>
          <w:sz w:val="24"/>
          <w:szCs w:val="24"/>
          <w:highlight w:val="none"/>
        </w:rPr>
        <w:t>由参加开标相关工作人员签字确认后随采购文件一并存档。供应</w:t>
      </w:r>
      <w:r>
        <w:rPr>
          <w:rFonts w:ascii="宋体" w:hAnsi="宋体" w:eastAsia="宋体" w:cs="宋体"/>
          <w:color w:val="auto"/>
          <w:spacing w:val="-4"/>
          <w:sz w:val="24"/>
          <w:szCs w:val="24"/>
          <w:highlight w:val="none"/>
        </w:rPr>
        <w:t>商未电子签章的，视同认</w:t>
      </w:r>
      <w:r>
        <w:rPr>
          <w:rFonts w:ascii="宋体" w:hAnsi="宋体" w:eastAsia="宋体" w:cs="宋体"/>
          <w:color w:val="auto"/>
          <w:spacing w:val="-2"/>
          <w:sz w:val="24"/>
          <w:szCs w:val="24"/>
          <w:highlight w:val="none"/>
        </w:rPr>
        <w:t>可开标结果。</w:t>
      </w:r>
    </w:p>
    <w:p w14:paraId="18E017F9">
      <w:pPr>
        <w:spacing w:before="4" w:line="359" w:lineRule="auto"/>
        <w:ind w:right="80" w:firstLine="48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23.6供应商对解密过程和记录有疑义，以及认为采购人、</w:t>
      </w:r>
      <w:r>
        <w:rPr>
          <w:rFonts w:ascii="宋体" w:hAnsi="宋体" w:eastAsia="宋体" w:cs="宋体"/>
          <w:color w:val="auto"/>
          <w:spacing w:val="-4"/>
          <w:sz w:val="24"/>
          <w:szCs w:val="24"/>
          <w:highlight w:val="none"/>
        </w:rPr>
        <w:t>代理机构相关工作人员有需</w:t>
      </w:r>
      <w:r>
        <w:rPr>
          <w:rFonts w:ascii="宋体" w:hAnsi="宋体" w:eastAsia="宋体" w:cs="宋体"/>
          <w:color w:val="auto"/>
          <w:spacing w:val="-3"/>
          <w:sz w:val="24"/>
          <w:szCs w:val="24"/>
          <w:highlight w:val="none"/>
        </w:rPr>
        <w:t>要回避的情形的，应当场提出询问或者回避申请。采购人、采购代理</w:t>
      </w:r>
      <w:r>
        <w:rPr>
          <w:rFonts w:ascii="宋体" w:hAnsi="宋体" w:eastAsia="宋体" w:cs="宋体"/>
          <w:color w:val="auto"/>
          <w:spacing w:val="-4"/>
          <w:sz w:val="24"/>
          <w:szCs w:val="24"/>
          <w:highlight w:val="none"/>
        </w:rPr>
        <w:t>机构对供应商提出的</w:t>
      </w:r>
      <w:r>
        <w:rPr>
          <w:rFonts w:ascii="宋体" w:hAnsi="宋体" w:eastAsia="宋体" w:cs="宋体"/>
          <w:color w:val="auto"/>
          <w:spacing w:val="-1"/>
          <w:sz w:val="24"/>
          <w:szCs w:val="24"/>
          <w:highlight w:val="none"/>
        </w:rPr>
        <w:t>询问或者回避申请应当及时处理。</w:t>
      </w:r>
    </w:p>
    <w:p w14:paraId="2F00D1BF">
      <w:pPr>
        <w:spacing w:line="360" w:lineRule="auto"/>
        <w:ind w:right="80" w:firstLine="48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23.7响应文件解密活动结束时，供应商应在《开标情况记</w:t>
      </w:r>
      <w:r>
        <w:rPr>
          <w:rFonts w:ascii="宋体" w:hAnsi="宋体" w:eastAsia="宋体" w:cs="宋体"/>
          <w:color w:val="auto"/>
          <w:spacing w:val="-4"/>
          <w:sz w:val="24"/>
          <w:szCs w:val="24"/>
          <w:highlight w:val="none"/>
        </w:rPr>
        <w:t>录表》上进行电子签章。供</w:t>
      </w:r>
      <w:r>
        <w:rPr>
          <w:rFonts w:ascii="宋体" w:hAnsi="宋体" w:eastAsia="宋体" w:cs="宋体"/>
          <w:color w:val="auto"/>
          <w:spacing w:val="-1"/>
          <w:sz w:val="24"/>
          <w:szCs w:val="24"/>
          <w:highlight w:val="none"/>
        </w:rPr>
        <w:t>应商未签章的，视同认可开标结果。</w:t>
      </w:r>
    </w:p>
    <w:p w14:paraId="4587058B">
      <w:pPr>
        <w:spacing w:before="1" w:line="219" w:lineRule="auto"/>
        <w:ind w:left="3"/>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24.资格审查</w:t>
      </w:r>
    </w:p>
    <w:p w14:paraId="07FC5616">
      <w:pPr>
        <w:spacing w:before="182" w:line="360" w:lineRule="auto"/>
        <w:ind w:left="4" w:right="623" w:firstLine="47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开标结束后，磋商小组依法对供应商的资格进行审查。合格供应商不足3家的，不得磋商。</w:t>
      </w:r>
      <w:r>
        <w:rPr>
          <w:rFonts w:ascii="宋体" w:hAnsi="宋体" w:eastAsia="宋体" w:cs="宋体"/>
          <w:b/>
          <w:bCs/>
          <w:color w:val="auto"/>
          <w:spacing w:val="-2"/>
          <w:sz w:val="24"/>
          <w:szCs w:val="24"/>
          <w:highlight w:val="none"/>
        </w:rPr>
        <w:t>本项目具体资格审查详见（第六章</w:t>
      </w:r>
      <w:r>
        <w:rPr>
          <w:rFonts w:ascii="宋体" w:hAnsi="宋体" w:eastAsia="宋体" w:cs="宋体"/>
          <w:color w:val="auto"/>
          <w:spacing w:val="-2"/>
          <w:sz w:val="24"/>
          <w:szCs w:val="24"/>
          <w:highlight w:val="none"/>
        </w:rPr>
        <w:t xml:space="preserve"> </w:t>
      </w:r>
      <w:r>
        <w:rPr>
          <w:rFonts w:ascii="宋体" w:hAnsi="宋体" w:eastAsia="宋体" w:cs="宋体"/>
          <w:b/>
          <w:bCs/>
          <w:color w:val="auto"/>
          <w:spacing w:val="-2"/>
          <w:sz w:val="24"/>
          <w:szCs w:val="24"/>
          <w:highlight w:val="none"/>
        </w:rPr>
        <w:t>对响应文件审查与评审）</w:t>
      </w:r>
      <w:r>
        <w:rPr>
          <w:rFonts w:ascii="宋体" w:hAnsi="宋体" w:eastAsia="宋体" w:cs="宋体"/>
          <w:color w:val="auto"/>
          <w:spacing w:val="-2"/>
          <w:sz w:val="24"/>
          <w:szCs w:val="24"/>
          <w:highlight w:val="none"/>
        </w:rPr>
        <w:t>。</w:t>
      </w:r>
    </w:p>
    <w:p w14:paraId="2DBC6408">
      <w:pPr>
        <w:spacing w:before="1" w:line="220" w:lineRule="auto"/>
        <w:ind w:left="3"/>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25.磋商小组的组成</w:t>
      </w:r>
    </w:p>
    <w:p w14:paraId="663C45FD">
      <w:pPr>
        <w:spacing w:before="181" w:line="219" w:lineRule="auto"/>
        <w:ind w:left="483"/>
        <w:rPr>
          <w:rFonts w:ascii="宋体" w:hAnsi="宋体" w:eastAsia="宋体" w:cs="宋体"/>
          <w:color w:val="auto"/>
          <w:sz w:val="24"/>
          <w:szCs w:val="24"/>
          <w:highlight w:val="none"/>
        </w:rPr>
      </w:pPr>
      <w:r>
        <w:rPr>
          <w:rFonts w:ascii="宋体" w:hAnsi="宋体" w:eastAsia="宋体" w:cs="宋体"/>
          <w:color w:val="auto"/>
          <w:sz w:val="24"/>
          <w:szCs w:val="24"/>
          <w:highlight w:val="none"/>
        </w:rPr>
        <w:t>25.1采购人将依法组建磋商小组，磋商小组由采购人</w:t>
      </w:r>
      <w:r>
        <w:rPr>
          <w:rFonts w:ascii="宋体" w:hAnsi="宋体" w:eastAsia="宋体" w:cs="宋体"/>
          <w:color w:val="auto"/>
          <w:spacing w:val="-1"/>
          <w:sz w:val="24"/>
          <w:szCs w:val="24"/>
          <w:highlight w:val="none"/>
        </w:rPr>
        <w:t>代表和评审专家共3人以上单数</w:t>
      </w:r>
    </w:p>
    <w:p w14:paraId="4B0C5F92">
      <w:pPr>
        <w:spacing w:line="219" w:lineRule="auto"/>
        <w:rPr>
          <w:rFonts w:ascii="宋体" w:hAnsi="宋体" w:eastAsia="宋体" w:cs="宋体"/>
          <w:color w:val="auto"/>
          <w:sz w:val="24"/>
          <w:szCs w:val="24"/>
          <w:highlight w:val="none"/>
        </w:rPr>
        <w:sectPr>
          <w:footerReference r:id="rId23" w:type="default"/>
          <w:pgSz w:w="11906" w:h="16839"/>
          <w:pgMar w:top="1431" w:right="994" w:bottom="1443" w:left="1594" w:header="0" w:footer="1202" w:gutter="0"/>
          <w:pgNumType w:fmt="decimal"/>
          <w:cols w:space="720" w:num="1"/>
        </w:sectPr>
      </w:pPr>
    </w:p>
    <w:p w14:paraId="4FB9413D">
      <w:pPr>
        <w:spacing w:before="122" w:line="360" w:lineRule="auto"/>
        <w:ind w:right="75" w:firstLine="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组成，其中评审专家人数不得少于竞争性磋商小组成员总数的</w:t>
      </w:r>
      <w:r>
        <w:rPr>
          <w:rFonts w:ascii="宋体" w:hAnsi="宋体" w:eastAsia="宋体" w:cs="宋体"/>
          <w:color w:val="auto"/>
          <w:spacing w:val="-4"/>
          <w:sz w:val="24"/>
          <w:szCs w:val="24"/>
          <w:highlight w:val="none"/>
        </w:rPr>
        <w:t>三分之二。评审专家依法从</w:t>
      </w:r>
      <w:r>
        <w:rPr>
          <w:rFonts w:ascii="宋体" w:hAnsi="宋体" w:eastAsia="宋体" w:cs="宋体"/>
          <w:color w:val="auto"/>
          <w:spacing w:val="-1"/>
          <w:sz w:val="24"/>
          <w:szCs w:val="24"/>
          <w:highlight w:val="none"/>
        </w:rPr>
        <w:t>政府采购评审专家库中随机抽取。</w:t>
      </w:r>
    </w:p>
    <w:p w14:paraId="4BEC3D22">
      <w:pPr>
        <w:spacing w:before="2" w:line="359" w:lineRule="auto"/>
        <w:ind w:left="29" w:right="80" w:firstLine="455"/>
        <w:rPr>
          <w:rFonts w:ascii="宋体" w:hAnsi="宋体" w:eastAsia="宋体" w:cs="宋体"/>
          <w:color w:val="auto"/>
          <w:sz w:val="24"/>
          <w:szCs w:val="24"/>
          <w:highlight w:val="none"/>
        </w:rPr>
      </w:pPr>
      <w:r>
        <w:rPr>
          <w:rFonts w:ascii="宋体" w:hAnsi="宋体" w:eastAsia="宋体" w:cs="宋体"/>
          <w:color w:val="auto"/>
          <w:sz w:val="24"/>
          <w:szCs w:val="24"/>
          <w:highlight w:val="none"/>
        </w:rPr>
        <w:t>25.1.1采购人将依法组建磋商小组，磋商小组由评审</w:t>
      </w:r>
      <w:r>
        <w:rPr>
          <w:rFonts w:ascii="宋体" w:hAnsi="宋体" w:eastAsia="宋体" w:cs="宋体"/>
          <w:color w:val="auto"/>
          <w:spacing w:val="-1"/>
          <w:sz w:val="24"/>
          <w:szCs w:val="24"/>
          <w:highlight w:val="none"/>
        </w:rPr>
        <w:t>专家组成，成员人数应当为3人以上单数组成。评审专家依法从政府采购评审</w:t>
      </w:r>
      <w:r>
        <w:rPr>
          <w:rFonts w:ascii="宋体" w:hAnsi="宋体" w:eastAsia="宋体" w:cs="宋体"/>
          <w:color w:val="auto"/>
          <w:spacing w:val="-2"/>
          <w:sz w:val="24"/>
          <w:szCs w:val="24"/>
          <w:highlight w:val="none"/>
        </w:rPr>
        <w:t>专家库中随机抽取。</w:t>
      </w:r>
    </w:p>
    <w:p w14:paraId="69ACF2A4">
      <w:pPr>
        <w:spacing w:before="2" w:line="359" w:lineRule="auto"/>
        <w:ind w:left="3" w:right="75" w:firstLine="48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25.2评审专家对本单位的采购项目只能作为采购人代表参</w:t>
      </w:r>
      <w:r>
        <w:rPr>
          <w:rFonts w:ascii="宋体" w:hAnsi="宋体" w:eastAsia="宋体" w:cs="宋体"/>
          <w:color w:val="auto"/>
          <w:spacing w:val="-4"/>
          <w:sz w:val="24"/>
          <w:szCs w:val="24"/>
          <w:highlight w:val="none"/>
        </w:rPr>
        <w:t>与评标。采购代理机构工作</w:t>
      </w:r>
      <w:r>
        <w:rPr>
          <w:rFonts w:ascii="宋体" w:hAnsi="宋体" w:eastAsia="宋体" w:cs="宋体"/>
          <w:color w:val="auto"/>
          <w:spacing w:val="-1"/>
          <w:sz w:val="24"/>
          <w:szCs w:val="24"/>
          <w:highlight w:val="none"/>
        </w:rPr>
        <w:t>人员不得参加由本机构代理的政府采购项目的评标。</w:t>
      </w:r>
    </w:p>
    <w:p w14:paraId="25946FAF">
      <w:pPr>
        <w:spacing w:line="218" w:lineRule="auto"/>
        <w:ind w:left="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25.3磋商小组成员与供应商存在下列利害关系之一的，应当回避：</w:t>
      </w:r>
    </w:p>
    <w:p w14:paraId="47FC072D">
      <w:pPr>
        <w:spacing w:before="184" w:line="360" w:lineRule="auto"/>
        <w:ind w:left="2" w:firstLine="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25.3.1参加采购活动前三年内，与供应商存在劳动关</w:t>
      </w:r>
      <w:r>
        <w:rPr>
          <w:rFonts w:ascii="宋体" w:hAnsi="宋体" w:eastAsia="宋体" w:cs="宋体"/>
          <w:color w:val="auto"/>
          <w:spacing w:val="-2"/>
          <w:sz w:val="24"/>
          <w:szCs w:val="24"/>
          <w:highlight w:val="none"/>
        </w:rPr>
        <w:t>系，或者担任过供应商的董事、</w:t>
      </w:r>
      <w:r>
        <w:rPr>
          <w:rFonts w:ascii="宋体" w:hAnsi="宋体" w:eastAsia="宋体" w:cs="宋体"/>
          <w:color w:val="auto"/>
          <w:spacing w:val="-1"/>
          <w:sz w:val="24"/>
          <w:szCs w:val="24"/>
          <w:highlight w:val="none"/>
        </w:rPr>
        <w:t>监事，或者是供应商的控股股东或实际控制人；</w:t>
      </w:r>
    </w:p>
    <w:p w14:paraId="589C40C9">
      <w:pPr>
        <w:spacing w:before="3" w:line="359" w:lineRule="auto"/>
        <w:ind w:right="75" w:firstLine="48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25.3.2与供应商的法定代表人或者负责人有夫妻、直系血亲、三</w:t>
      </w:r>
      <w:r>
        <w:rPr>
          <w:rFonts w:ascii="宋体" w:hAnsi="宋体" w:eastAsia="宋体" w:cs="宋体"/>
          <w:color w:val="auto"/>
          <w:spacing w:val="-4"/>
          <w:sz w:val="24"/>
          <w:szCs w:val="24"/>
          <w:highlight w:val="none"/>
        </w:rPr>
        <w:t>代以内旁系血亲或者</w:t>
      </w:r>
      <w:r>
        <w:rPr>
          <w:rFonts w:ascii="宋体" w:hAnsi="宋体" w:eastAsia="宋体" w:cs="宋体"/>
          <w:color w:val="auto"/>
          <w:spacing w:val="-2"/>
          <w:sz w:val="24"/>
          <w:szCs w:val="24"/>
          <w:highlight w:val="none"/>
        </w:rPr>
        <w:t>近姻亲关系；</w:t>
      </w:r>
    </w:p>
    <w:p w14:paraId="2121933E">
      <w:pPr>
        <w:spacing w:line="218" w:lineRule="auto"/>
        <w:ind w:left="484"/>
        <w:rPr>
          <w:rFonts w:ascii="宋体" w:hAnsi="宋体" w:eastAsia="宋体" w:cs="宋体"/>
          <w:color w:val="auto"/>
          <w:sz w:val="24"/>
          <w:szCs w:val="24"/>
          <w:highlight w:val="none"/>
        </w:rPr>
      </w:pPr>
      <w:r>
        <w:rPr>
          <w:rFonts w:ascii="宋体" w:hAnsi="宋体" w:eastAsia="宋体" w:cs="宋体"/>
          <w:color w:val="auto"/>
          <w:sz w:val="24"/>
          <w:szCs w:val="24"/>
          <w:highlight w:val="none"/>
        </w:rPr>
        <w:t>25.3.3与供应商有其他可能影响政府采</w:t>
      </w:r>
      <w:r>
        <w:rPr>
          <w:rFonts w:ascii="宋体" w:hAnsi="宋体" w:eastAsia="宋体" w:cs="宋体"/>
          <w:color w:val="auto"/>
          <w:spacing w:val="-1"/>
          <w:sz w:val="24"/>
          <w:szCs w:val="24"/>
          <w:highlight w:val="none"/>
        </w:rPr>
        <w:t>购活动公平、公正进行的关系。</w:t>
      </w:r>
    </w:p>
    <w:p w14:paraId="2AED33FB">
      <w:pPr>
        <w:spacing w:before="184" w:line="360" w:lineRule="auto"/>
        <w:ind w:firstLine="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25.4评审专家发现本人与参加采购活动的供应商有</w:t>
      </w:r>
      <w:r>
        <w:rPr>
          <w:rFonts w:ascii="宋体" w:hAnsi="宋体" w:eastAsia="宋体" w:cs="宋体"/>
          <w:color w:val="auto"/>
          <w:spacing w:val="-2"/>
          <w:sz w:val="24"/>
          <w:szCs w:val="24"/>
          <w:highlight w:val="none"/>
        </w:rPr>
        <w:t>利害关系的，应当主动提出回避。</w:t>
      </w:r>
      <w:r>
        <w:rPr>
          <w:rFonts w:ascii="宋体" w:hAnsi="宋体" w:eastAsia="宋体" w:cs="宋体"/>
          <w:color w:val="auto"/>
          <w:spacing w:val="-3"/>
          <w:sz w:val="24"/>
          <w:szCs w:val="24"/>
          <w:highlight w:val="none"/>
        </w:rPr>
        <w:t>采购人或者代理机构发现评审专家与参加采购活动的供应商有利害关系的</w:t>
      </w:r>
      <w:r>
        <w:rPr>
          <w:rFonts w:ascii="宋体" w:hAnsi="宋体" w:eastAsia="宋体" w:cs="宋体"/>
          <w:color w:val="auto"/>
          <w:spacing w:val="-4"/>
          <w:sz w:val="24"/>
          <w:szCs w:val="24"/>
          <w:highlight w:val="none"/>
        </w:rPr>
        <w:t>，应当要求其回避。</w:t>
      </w:r>
    </w:p>
    <w:p w14:paraId="20A13D6E">
      <w:pPr>
        <w:spacing w:before="1" w:line="218" w:lineRule="auto"/>
        <w:ind w:left="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25.5采购人不得担任磋商小组组长。</w:t>
      </w:r>
    </w:p>
    <w:p w14:paraId="1F001343">
      <w:pPr>
        <w:spacing w:before="184" w:line="218" w:lineRule="auto"/>
        <w:ind w:left="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25.6磋商小组成员名单在成交结果公告前应当保密。</w:t>
      </w:r>
    </w:p>
    <w:p w14:paraId="4B39A93F">
      <w:pPr>
        <w:spacing w:before="185" w:line="219" w:lineRule="auto"/>
        <w:ind w:left="4"/>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26.符合性审查</w:t>
      </w:r>
    </w:p>
    <w:p w14:paraId="268FF6FD">
      <w:pPr>
        <w:spacing w:before="183" w:line="360" w:lineRule="auto"/>
        <w:ind w:right="75" w:firstLine="48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26.1磋商小组依据有关法律法规和磋商文件的规定，对符</w:t>
      </w:r>
      <w:r>
        <w:rPr>
          <w:rFonts w:ascii="宋体" w:hAnsi="宋体" w:eastAsia="宋体" w:cs="宋体"/>
          <w:color w:val="auto"/>
          <w:spacing w:val="-4"/>
          <w:sz w:val="24"/>
          <w:szCs w:val="24"/>
          <w:highlight w:val="none"/>
        </w:rPr>
        <w:t>合资格的供应商的响应文件</w:t>
      </w:r>
      <w:r>
        <w:rPr>
          <w:rFonts w:ascii="宋体" w:hAnsi="宋体" w:eastAsia="宋体" w:cs="宋体"/>
          <w:color w:val="auto"/>
          <w:spacing w:val="-1"/>
          <w:sz w:val="24"/>
          <w:szCs w:val="24"/>
          <w:highlight w:val="none"/>
        </w:rPr>
        <w:t>进行符合性审查，以确定其是否满足磋商文件的实质性要求。</w:t>
      </w:r>
    </w:p>
    <w:p w14:paraId="79DB3746">
      <w:pPr>
        <w:spacing w:before="1" w:line="217" w:lineRule="auto"/>
        <w:ind w:left="484"/>
        <w:rPr>
          <w:rFonts w:ascii="宋体" w:hAnsi="宋体" w:eastAsia="宋体" w:cs="宋体"/>
          <w:color w:val="auto"/>
          <w:sz w:val="24"/>
          <w:szCs w:val="24"/>
          <w:highlight w:val="none"/>
        </w:rPr>
      </w:pPr>
      <w:r>
        <w:rPr>
          <w:rFonts w:ascii="宋体" w:hAnsi="宋体" w:eastAsia="宋体" w:cs="宋体"/>
          <w:color w:val="auto"/>
          <w:sz w:val="24"/>
          <w:szCs w:val="24"/>
          <w:highlight w:val="none"/>
        </w:rPr>
        <w:t>26.2审查、评价磋商文件是否符合磋商文</w:t>
      </w:r>
      <w:r>
        <w:rPr>
          <w:rFonts w:ascii="宋体" w:hAnsi="宋体" w:eastAsia="宋体" w:cs="宋体"/>
          <w:color w:val="auto"/>
          <w:spacing w:val="-1"/>
          <w:sz w:val="24"/>
          <w:szCs w:val="24"/>
          <w:highlight w:val="none"/>
        </w:rPr>
        <w:t>件的商务、技术等实质性要求。</w:t>
      </w:r>
    </w:p>
    <w:p w14:paraId="44C01CB2">
      <w:pPr>
        <w:spacing w:before="184" w:line="219" w:lineRule="auto"/>
        <w:ind w:left="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26.3可要求供应商对响应文件有关事项作出澄清或者说明。</w:t>
      </w:r>
    </w:p>
    <w:p w14:paraId="473E5009">
      <w:pPr>
        <w:spacing w:before="184" w:line="219" w:lineRule="auto"/>
        <w:ind w:left="4"/>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27.响应文件的澄清</w:t>
      </w:r>
    </w:p>
    <w:p w14:paraId="7AB84436">
      <w:pPr>
        <w:spacing w:before="183" w:line="360" w:lineRule="auto"/>
        <w:ind w:left="30" w:right="75" w:firstLine="45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27.1对于响应文件中含义不明确、同类问题表述不一致或</w:t>
      </w:r>
      <w:r>
        <w:rPr>
          <w:rFonts w:ascii="宋体" w:hAnsi="宋体" w:eastAsia="宋体" w:cs="宋体"/>
          <w:color w:val="auto"/>
          <w:spacing w:val="-4"/>
          <w:sz w:val="24"/>
          <w:szCs w:val="24"/>
          <w:highlight w:val="none"/>
        </w:rPr>
        <w:t>者有明显文字和计算错误的</w:t>
      </w:r>
      <w:r>
        <w:rPr>
          <w:rFonts w:ascii="宋体" w:hAnsi="宋体" w:eastAsia="宋体" w:cs="宋体"/>
          <w:color w:val="auto"/>
          <w:spacing w:val="-1"/>
          <w:sz w:val="24"/>
          <w:szCs w:val="24"/>
          <w:highlight w:val="none"/>
        </w:rPr>
        <w:t>内容，磋商小组应当以书面形式要求供应商作出必要的澄清、说</w:t>
      </w:r>
      <w:r>
        <w:rPr>
          <w:rFonts w:ascii="宋体" w:hAnsi="宋体" w:eastAsia="宋体" w:cs="宋体"/>
          <w:color w:val="auto"/>
          <w:spacing w:val="-2"/>
          <w:sz w:val="24"/>
          <w:szCs w:val="24"/>
          <w:highlight w:val="none"/>
        </w:rPr>
        <w:t>明或者补正。</w:t>
      </w:r>
    </w:p>
    <w:p w14:paraId="70655F5E">
      <w:pPr>
        <w:spacing w:line="360" w:lineRule="auto"/>
        <w:ind w:left="3" w:right="75" w:firstLine="48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27.2供应商的澄清、说明或者补正应当采用书面形式，并</w:t>
      </w:r>
      <w:r>
        <w:rPr>
          <w:rFonts w:ascii="宋体" w:hAnsi="宋体" w:eastAsia="宋体" w:cs="宋体"/>
          <w:color w:val="auto"/>
          <w:spacing w:val="-4"/>
          <w:sz w:val="24"/>
          <w:szCs w:val="24"/>
          <w:highlight w:val="none"/>
        </w:rPr>
        <w:t>加盖公章，或者由法定代表</w:t>
      </w:r>
      <w:r>
        <w:rPr>
          <w:rFonts w:ascii="宋体" w:hAnsi="宋体" w:eastAsia="宋体" w:cs="宋体"/>
          <w:color w:val="auto"/>
          <w:spacing w:val="-3"/>
          <w:sz w:val="24"/>
          <w:szCs w:val="24"/>
          <w:highlight w:val="none"/>
        </w:rPr>
        <w:t>人或其授权的代表签字。供应商的澄清、说明或者补正不得超出</w:t>
      </w:r>
      <w:r>
        <w:rPr>
          <w:rFonts w:ascii="宋体" w:hAnsi="宋体" w:eastAsia="宋体" w:cs="宋体"/>
          <w:color w:val="auto"/>
          <w:spacing w:val="-4"/>
          <w:sz w:val="24"/>
          <w:szCs w:val="24"/>
          <w:highlight w:val="none"/>
        </w:rPr>
        <w:t>响应文件的范围或者改变</w:t>
      </w:r>
      <w:r>
        <w:rPr>
          <w:rFonts w:ascii="宋体" w:hAnsi="宋体" w:eastAsia="宋体" w:cs="宋体"/>
          <w:color w:val="auto"/>
          <w:spacing w:val="-2"/>
          <w:sz w:val="24"/>
          <w:szCs w:val="24"/>
          <w:highlight w:val="none"/>
        </w:rPr>
        <w:t>响应文件的实质性内容。</w:t>
      </w:r>
    </w:p>
    <w:p w14:paraId="1BAB29E6">
      <w:pPr>
        <w:spacing w:before="1" w:line="218" w:lineRule="auto"/>
        <w:ind w:left="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27.3供应商的澄清文件是其响应文件的组成部分。</w:t>
      </w:r>
    </w:p>
    <w:p w14:paraId="17DF093D">
      <w:pPr>
        <w:spacing w:line="218" w:lineRule="auto"/>
        <w:rPr>
          <w:rFonts w:ascii="宋体" w:hAnsi="宋体" w:eastAsia="宋体" w:cs="宋体"/>
          <w:color w:val="auto"/>
          <w:sz w:val="24"/>
          <w:szCs w:val="24"/>
          <w:highlight w:val="none"/>
        </w:rPr>
        <w:sectPr>
          <w:footerReference r:id="rId24" w:type="default"/>
          <w:pgSz w:w="11906" w:h="16839"/>
          <w:pgMar w:top="1431" w:right="999" w:bottom="1443" w:left="1593" w:header="0" w:footer="1202" w:gutter="0"/>
          <w:pgNumType w:fmt="decimal"/>
          <w:cols w:space="720" w:num="1"/>
        </w:sectPr>
      </w:pPr>
    </w:p>
    <w:p w14:paraId="1D9FB2AC">
      <w:pPr>
        <w:spacing w:before="122" w:line="218" w:lineRule="auto"/>
        <w:ind w:left="3"/>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28.响应文件报价出现前后不一致的修正</w:t>
      </w:r>
    </w:p>
    <w:p w14:paraId="4D93E529">
      <w:pPr>
        <w:spacing w:before="184" w:line="360" w:lineRule="auto"/>
        <w:ind w:left="1" w:right="4" w:firstLine="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28.1磋商文件中开标一览表（报价表）内容与响应文件</w:t>
      </w:r>
      <w:r>
        <w:rPr>
          <w:rFonts w:ascii="宋体" w:hAnsi="宋体" w:eastAsia="宋体" w:cs="宋体"/>
          <w:color w:val="auto"/>
          <w:spacing w:val="-2"/>
          <w:sz w:val="24"/>
          <w:szCs w:val="24"/>
          <w:highlight w:val="none"/>
        </w:rPr>
        <w:t>中相应内容不一致的，</w:t>
      </w:r>
      <w:r>
        <w:rPr>
          <w:rFonts w:ascii="宋体" w:hAnsi="宋体" w:eastAsia="宋体" w:cs="宋体"/>
          <w:color w:val="auto"/>
          <w:spacing w:val="36"/>
          <w:sz w:val="24"/>
          <w:szCs w:val="24"/>
          <w:highlight w:val="none"/>
        </w:rPr>
        <w:t xml:space="preserve"> </w:t>
      </w:r>
      <w:r>
        <w:rPr>
          <w:rFonts w:ascii="宋体" w:hAnsi="宋体" w:eastAsia="宋体" w:cs="宋体"/>
          <w:color w:val="auto"/>
          <w:spacing w:val="-2"/>
          <w:sz w:val="24"/>
          <w:szCs w:val="24"/>
          <w:highlight w:val="none"/>
        </w:rPr>
        <w:t>以开</w:t>
      </w:r>
      <w:r>
        <w:rPr>
          <w:rFonts w:ascii="宋体" w:hAnsi="宋体" w:eastAsia="宋体" w:cs="宋体"/>
          <w:color w:val="auto"/>
          <w:spacing w:val="-1"/>
          <w:sz w:val="24"/>
          <w:szCs w:val="24"/>
          <w:highlight w:val="none"/>
        </w:rPr>
        <w:t>标一览表（报价表）为准；</w:t>
      </w:r>
    </w:p>
    <w:p w14:paraId="27C34C7B">
      <w:pPr>
        <w:spacing w:line="219" w:lineRule="auto"/>
        <w:ind w:left="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28.2大写金额和小写金额不一致的，以大写金额为准；</w:t>
      </w:r>
    </w:p>
    <w:p w14:paraId="62A2043B">
      <w:pPr>
        <w:spacing w:before="182" w:line="360" w:lineRule="auto"/>
        <w:ind w:left="1" w:firstLine="48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28.3单价金额小数点或者百分比有明显错位的，以开标一</w:t>
      </w:r>
      <w:r>
        <w:rPr>
          <w:rFonts w:ascii="宋体" w:hAnsi="宋体" w:eastAsia="宋体" w:cs="宋体"/>
          <w:color w:val="auto"/>
          <w:spacing w:val="-4"/>
          <w:sz w:val="24"/>
          <w:szCs w:val="24"/>
          <w:highlight w:val="none"/>
        </w:rPr>
        <w:t>览表的总价为准，并修改单</w:t>
      </w:r>
      <w:r>
        <w:rPr>
          <w:rFonts w:ascii="宋体" w:hAnsi="宋体" w:eastAsia="宋体" w:cs="宋体"/>
          <w:color w:val="auto"/>
          <w:spacing w:val="-6"/>
          <w:sz w:val="24"/>
          <w:szCs w:val="24"/>
          <w:highlight w:val="none"/>
        </w:rPr>
        <w:t>价；</w:t>
      </w:r>
    </w:p>
    <w:p w14:paraId="5719FD6B">
      <w:pPr>
        <w:spacing w:line="360" w:lineRule="auto"/>
        <w:ind w:firstLine="48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28.4总价金额与按单价汇总金额不一致的，以单价金额计</w:t>
      </w:r>
      <w:r>
        <w:rPr>
          <w:rFonts w:ascii="宋体" w:hAnsi="宋体" w:eastAsia="宋体" w:cs="宋体"/>
          <w:color w:val="auto"/>
          <w:spacing w:val="-4"/>
          <w:sz w:val="24"/>
          <w:szCs w:val="24"/>
          <w:highlight w:val="none"/>
        </w:rPr>
        <w:t>算结果为准。同时出现两种以上不一致的，按照前款规定的顺序修正。修正后的报价按照“供应商须知</w:t>
      </w:r>
      <w:r>
        <w:rPr>
          <w:rFonts w:ascii="宋体" w:hAnsi="宋体" w:eastAsia="宋体" w:cs="宋体"/>
          <w:color w:val="auto"/>
          <w:spacing w:val="-82"/>
          <w:sz w:val="24"/>
          <w:szCs w:val="24"/>
          <w:highlight w:val="none"/>
        </w:rPr>
        <w:t xml:space="preserve"> </w:t>
      </w:r>
      <w:r>
        <w:rPr>
          <w:rFonts w:ascii="宋体" w:hAnsi="宋体" w:eastAsia="宋体" w:cs="宋体"/>
          <w:color w:val="auto"/>
          <w:spacing w:val="-4"/>
          <w:sz w:val="24"/>
          <w:szCs w:val="24"/>
          <w:highlight w:val="none"/>
        </w:rPr>
        <w:t>”27.2规定经</w:t>
      </w:r>
      <w:r>
        <w:rPr>
          <w:rFonts w:ascii="宋体" w:hAnsi="宋体" w:eastAsia="宋体" w:cs="宋体"/>
          <w:color w:val="auto"/>
          <w:spacing w:val="-1"/>
          <w:sz w:val="24"/>
          <w:szCs w:val="24"/>
          <w:highlight w:val="none"/>
        </w:rPr>
        <w:t>供应商确认后产生约束力，供应商不确认的，其投标无效。</w:t>
      </w:r>
    </w:p>
    <w:p w14:paraId="2942EACB">
      <w:pPr>
        <w:spacing w:line="220" w:lineRule="auto"/>
        <w:ind w:left="3"/>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29.投标无效情形</w:t>
      </w:r>
    </w:p>
    <w:p w14:paraId="20F72169">
      <w:pPr>
        <w:spacing w:before="183" w:line="219" w:lineRule="auto"/>
        <w:ind w:left="483"/>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29.1响应文件属下列情况之一的，按照无</w:t>
      </w:r>
      <w:r>
        <w:rPr>
          <w:rFonts w:ascii="宋体" w:hAnsi="宋体" w:eastAsia="宋体" w:cs="宋体"/>
          <w:b/>
          <w:bCs/>
          <w:color w:val="auto"/>
          <w:spacing w:val="-3"/>
          <w:sz w:val="24"/>
          <w:szCs w:val="24"/>
          <w:highlight w:val="none"/>
        </w:rPr>
        <w:t>效投标处理：</w:t>
      </w:r>
    </w:p>
    <w:p w14:paraId="2C7F83AF">
      <w:pPr>
        <w:spacing w:before="182" w:line="219" w:lineRule="auto"/>
        <w:ind w:left="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29.1.1</w:t>
      </w:r>
      <w:r>
        <w:rPr>
          <w:rFonts w:ascii="宋体" w:hAnsi="宋体" w:eastAsia="宋体" w:cs="宋体"/>
          <w:color w:val="auto"/>
          <w:spacing w:val="-37"/>
          <w:sz w:val="24"/>
          <w:szCs w:val="24"/>
          <w:highlight w:val="none"/>
        </w:rPr>
        <w:t xml:space="preserve"> </w:t>
      </w:r>
      <w:r>
        <w:rPr>
          <w:rFonts w:ascii="宋体" w:hAnsi="宋体" w:eastAsia="宋体" w:cs="宋体"/>
          <w:color w:val="auto"/>
          <w:spacing w:val="-1"/>
          <w:sz w:val="24"/>
          <w:szCs w:val="24"/>
          <w:highlight w:val="none"/>
        </w:rPr>
        <w:t>未按照磋商文件的规定提交《许昌市政府采购供应商信用承诺函》的；</w:t>
      </w:r>
    </w:p>
    <w:p w14:paraId="6DAFCA7E">
      <w:pPr>
        <w:spacing w:before="184" w:line="219" w:lineRule="auto"/>
        <w:ind w:left="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29.1.2</w:t>
      </w:r>
      <w:r>
        <w:rPr>
          <w:rFonts w:ascii="宋体" w:hAnsi="宋体" w:eastAsia="宋体" w:cs="宋体"/>
          <w:color w:val="auto"/>
          <w:spacing w:val="-47"/>
          <w:sz w:val="24"/>
          <w:szCs w:val="24"/>
          <w:highlight w:val="none"/>
        </w:rPr>
        <w:t xml:space="preserve"> </w:t>
      </w:r>
      <w:r>
        <w:rPr>
          <w:rFonts w:ascii="宋体" w:hAnsi="宋体" w:eastAsia="宋体" w:cs="宋体"/>
          <w:color w:val="auto"/>
          <w:spacing w:val="-1"/>
          <w:sz w:val="24"/>
          <w:szCs w:val="24"/>
          <w:highlight w:val="none"/>
        </w:rPr>
        <w:t>未按照磋商文件的规定提交磋商承诺函</w:t>
      </w:r>
      <w:r>
        <w:rPr>
          <w:rFonts w:ascii="宋体" w:hAnsi="宋体" w:eastAsia="宋体" w:cs="宋体"/>
          <w:color w:val="auto"/>
          <w:spacing w:val="-2"/>
          <w:sz w:val="24"/>
          <w:szCs w:val="24"/>
          <w:highlight w:val="none"/>
        </w:rPr>
        <w:t>的；</w:t>
      </w:r>
    </w:p>
    <w:p w14:paraId="2BB0B99C">
      <w:pPr>
        <w:spacing w:before="183" w:line="219" w:lineRule="auto"/>
        <w:ind w:left="48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29.1.3</w:t>
      </w:r>
      <w:r>
        <w:rPr>
          <w:rFonts w:ascii="宋体" w:hAnsi="宋体" w:eastAsia="宋体" w:cs="宋体"/>
          <w:color w:val="auto"/>
          <w:spacing w:val="-24"/>
          <w:sz w:val="24"/>
          <w:szCs w:val="24"/>
          <w:highlight w:val="none"/>
        </w:rPr>
        <w:t xml:space="preserve"> </w:t>
      </w:r>
      <w:r>
        <w:rPr>
          <w:rFonts w:ascii="宋体" w:hAnsi="宋体" w:eastAsia="宋体" w:cs="宋体"/>
          <w:color w:val="auto"/>
          <w:spacing w:val="-2"/>
          <w:sz w:val="24"/>
          <w:szCs w:val="24"/>
          <w:highlight w:val="none"/>
        </w:rPr>
        <w:t>响应文件未按磋商文件要求签署、盖章的；</w:t>
      </w:r>
    </w:p>
    <w:p w14:paraId="54DDEF49">
      <w:pPr>
        <w:spacing w:before="183" w:line="218" w:lineRule="auto"/>
        <w:ind w:left="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29.1.4</w:t>
      </w:r>
      <w:r>
        <w:rPr>
          <w:rFonts w:ascii="宋体" w:hAnsi="宋体" w:eastAsia="宋体" w:cs="宋体"/>
          <w:color w:val="auto"/>
          <w:spacing w:val="-50"/>
          <w:sz w:val="24"/>
          <w:szCs w:val="24"/>
          <w:highlight w:val="none"/>
        </w:rPr>
        <w:t xml:space="preserve"> </w:t>
      </w:r>
      <w:r>
        <w:rPr>
          <w:rFonts w:ascii="宋体" w:hAnsi="宋体" w:eastAsia="宋体" w:cs="宋体"/>
          <w:color w:val="auto"/>
          <w:spacing w:val="-1"/>
          <w:sz w:val="24"/>
          <w:szCs w:val="24"/>
          <w:highlight w:val="none"/>
        </w:rPr>
        <w:t>报价超过磋商文件中规定的预算金额的；</w:t>
      </w:r>
    </w:p>
    <w:p w14:paraId="1DB9DA10">
      <w:pPr>
        <w:spacing w:before="184" w:line="219" w:lineRule="auto"/>
        <w:ind w:left="48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29.1.5</w:t>
      </w:r>
      <w:r>
        <w:rPr>
          <w:rFonts w:ascii="宋体" w:hAnsi="宋体" w:eastAsia="宋体" w:cs="宋体"/>
          <w:color w:val="auto"/>
          <w:spacing w:val="-22"/>
          <w:sz w:val="24"/>
          <w:szCs w:val="24"/>
          <w:highlight w:val="none"/>
        </w:rPr>
        <w:t xml:space="preserve"> </w:t>
      </w:r>
      <w:r>
        <w:rPr>
          <w:rFonts w:ascii="宋体" w:hAnsi="宋体" w:eastAsia="宋体" w:cs="宋体"/>
          <w:color w:val="auto"/>
          <w:spacing w:val="-2"/>
          <w:sz w:val="24"/>
          <w:szCs w:val="24"/>
          <w:highlight w:val="none"/>
        </w:rPr>
        <w:t>响应文件含有采购人不能接受的附加条件的。</w:t>
      </w:r>
    </w:p>
    <w:p w14:paraId="2DE26305">
      <w:pPr>
        <w:spacing w:before="184" w:line="360" w:lineRule="auto"/>
        <w:ind w:left="1" w:firstLine="481"/>
        <w:jc w:val="both"/>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29.2根据《河南省财政厅关于防范供应商串通投标促进政府采购公</w:t>
      </w:r>
      <w:r>
        <w:rPr>
          <w:rFonts w:ascii="宋体" w:hAnsi="宋体" w:eastAsia="宋体" w:cs="宋体"/>
          <w:color w:val="auto"/>
          <w:spacing w:val="-10"/>
          <w:sz w:val="24"/>
          <w:szCs w:val="24"/>
          <w:highlight w:val="none"/>
        </w:rPr>
        <w:t>平竞争的通知》（豫</w:t>
      </w:r>
      <w:r>
        <w:rPr>
          <w:rFonts w:ascii="宋体" w:hAnsi="宋体" w:eastAsia="宋体" w:cs="宋体"/>
          <w:color w:val="auto"/>
          <w:sz w:val="24"/>
          <w:szCs w:val="24"/>
          <w:highlight w:val="none"/>
        </w:rPr>
        <w:t>财购﹝2021﹞6号）要求，参与同一个标段的供应商存在下列情形之</w:t>
      </w:r>
      <w:r>
        <w:rPr>
          <w:rFonts w:ascii="宋体" w:hAnsi="宋体" w:eastAsia="宋体" w:cs="宋体"/>
          <w:color w:val="auto"/>
          <w:spacing w:val="-1"/>
          <w:sz w:val="24"/>
          <w:szCs w:val="24"/>
          <w:highlight w:val="none"/>
        </w:rPr>
        <w:t>一的，其投标文件无</w:t>
      </w:r>
      <w:r>
        <w:rPr>
          <w:rFonts w:ascii="宋体" w:hAnsi="宋体" w:eastAsia="宋体" w:cs="宋体"/>
          <w:color w:val="auto"/>
          <w:spacing w:val="-6"/>
          <w:sz w:val="24"/>
          <w:szCs w:val="24"/>
          <w:highlight w:val="none"/>
        </w:rPr>
        <w:t>效：</w:t>
      </w:r>
    </w:p>
    <w:p w14:paraId="5DDB5734">
      <w:pPr>
        <w:spacing w:line="360" w:lineRule="auto"/>
        <w:ind w:left="5" w:right="2" w:firstLine="47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29.2.1</w:t>
      </w:r>
      <w:r>
        <w:rPr>
          <w:rFonts w:ascii="宋体" w:hAnsi="宋体" w:eastAsia="宋体" w:cs="宋体"/>
          <w:color w:val="auto"/>
          <w:spacing w:val="-47"/>
          <w:sz w:val="24"/>
          <w:szCs w:val="24"/>
          <w:highlight w:val="none"/>
        </w:rPr>
        <w:t xml:space="preserve"> </w:t>
      </w:r>
      <w:r>
        <w:rPr>
          <w:rFonts w:ascii="宋体" w:hAnsi="宋体" w:eastAsia="宋体" w:cs="宋体"/>
          <w:color w:val="auto"/>
          <w:spacing w:val="1"/>
          <w:sz w:val="24"/>
          <w:szCs w:val="24"/>
          <w:highlight w:val="none"/>
        </w:rPr>
        <w:t>不同供应商的电子响应文件上传计算机的网卡</w:t>
      </w:r>
      <w:r>
        <w:rPr>
          <w:rFonts w:ascii="宋体" w:hAnsi="宋体" w:eastAsia="宋体" w:cs="宋体"/>
          <w:color w:val="auto"/>
          <w:sz w:val="24"/>
          <w:szCs w:val="24"/>
          <w:highlight w:val="none"/>
        </w:rPr>
        <w:t>MAC</w:t>
      </w:r>
      <w:r>
        <w:rPr>
          <w:rFonts w:ascii="宋体" w:hAnsi="宋体" w:eastAsia="宋体" w:cs="宋体"/>
          <w:color w:val="auto"/>
          <w:spacing w:val="1"/>
          <w:sz w:val="24"/>
          <w:szCs w:val="24"/>
          <w:highlight w:val="none"/>
        </w:rPr>
        <w:t>地址、</w:t>
      </w:r>
      <w:r>
        <w:rPr>
          <w:rFonts w:ascii="宋体" w:hAnsi="宋体" w:eastAsia="宋体" w:cs="宋体"/>
          <w:color w:val="auto"/>
          <w:sz w:val="24"/>
          <w:szCs w:val="24"/>
          <w:highlight w:val="none"/>
        </w:rPr>
        <w:t>CPU</w:t>
      </w:r>
      <w:r>
        <w:rPr>
          <w:rFonts w:ascii="宋体" w:hAnsi="宋体" w:eastAsia="宋体" w:cs="宋体"/>
          <w:color w:val="auto"/>
          <w:spacing w:val="1"/>
          <w:sz w:val="24"/>
          <w:szCs w:val="24"/>
          <w:highlight w:val="none"/>
        </w:rPr>
        <w:t>序列号和硬盘序</w:t>
      </w:r>
      <w:r>
        <w:rPr>
          <w:rFonts w:ascii="宋体" w:hAnsi="宋体" w:eastAsia="宋体" w:cs="宋体"/>
          <w:color w:val="auto"/>
          <w:spacing w:val="-2"/>
          <w:sz w:val="24"/>
          <w:szCs w:val="24"/>
          <w:highlight w:val="none"/>
        </w:rPr>
        <w:t>列号等硬件信息相同的；</w:t>
      </w:r>
    </w:p>
    <w:p w14:paraId="5BE63DD6">
      <w:pPr>
        <w:spacing w:before="1" w:line="218" w:lineRule="auto"/>
        <w:ind w:left="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29.2.2</w:t>
      </w:r>
      <w:r>
        <w:rPr>
          <w:rFonts w:ascii="宋体" w:hAnsi="宋体" w:eastAsia="宋体" w:cs="宋体"/>
          <w:color w:val="auto"/>
          <w:spacing w:val="-39"/>
          <w:sz w:val="24"/>
          <w:szCs w:val="24"/>
          <w:highlight w:val="none"/>
        </w:rPr>
        <w:t xml:space="preserve"> </w:t>
      </w:r>
      <w:r>
        <w:rPr>
          <w:rFonts w:ascii="宋体" w:hAnsi="宋体" w:eastAsia="宋体" w:cs="宋体"/>
          <w:color w:val="auto"/>
          <w:spacing w:val="-1"/>
          <w:sz w:val="24"/>
          <w:szCs w:val="24"/>
          <w:highlight w:val="none"/>
        </w:rPr>
        <w:t>不同供应商的响应文件由同一电子设备编制、打印加密或者上传；</w:t>
      </w:r>
    </w:p>
    <w:p w14:paraId="0875D886">
      <w:pPr>
        <w:spacing w:before="183" w:line="219" w:lineRule="auto"/>
        <w:ind w:left="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29.2.3</w:t>
      </w:r>
      <w:r>
        <w:rPr>
          <w:rFonts w:ascii="宋体" w:hAnsi="宋体" w:eastAsia="宋体" w:cs="宋体"/>
          <w:color w:val="auto"/>
          <w:spacing w:val="-45"/>
          <w:sz w:val="24"/>
          <w:szCs w:val="24"/>
          <w:highlight w:val="none"/>
        </w:rPr>
        <w:t xml:space="preserve"> </w:t>
      </w:r>
      <w:r>
        <w:rPr>
          <w:rFonts w:ascii="宋体" w:hAnsi="宋体" w:eastAsia="宋体" w:cs="宋体"/>
          <w:color w:val="auto"/>
          <w:spacing w:val="-1"/>
          <w:sz w:val="24"/>
          <w:szCs w:val="24"/>
          <w:highlight w:val="none"/>
        </w:rPr>
        <w:t>不同供应商的响应文件由同一电子设备打印、复印；</w:t>
      </w:r>
    </w:p>
    <w:p w14:paraId="1CEA3BCE">
      <w:pPr>
        <w:spacing w:before="184" w:line="360" w:lineRule="auto"/>
        <w:ind w:left="4" w:firstLine="47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29.2.4</w:t>
      </w:r>
      <w:r>
        <w:rPr>
          <w:rFonts w:ascii="宋体" w:hAnsi="宋体" w:eastAsia="宋体" w:cs="宋体"/>
          <w:color w:val="auto"/>
          <w:spacing w:val="-47"/>
          <w:sz w:val="24"/>
          <w:szCs w:val="24"/>
          <w:highlight w:val="none"/>
        </w:rPr>
        <w:t xml:space="preserve"> </w:t>
      </w:r>
      <w:r>
        <w:rPr>
          <w:rFonts w:ascii="宋体" w:hAnsi="宋体" w:eastAsia="宋体" w:cs="宋体"/>
          <w:color w:val="auto"/>
          <w:spacing w:val="1"/>
          <w:sz w:val="24"/>
          <w:szCs w:val="24"/>
          <w:highlight w:val="none"/>
        </w:rPr>
        <w:t>不同供应商的响应文件由同一人送达或者分发，或者不同供应商联系人为同</w:t>
      </w:r>
      <w:r>
        <w:rPr>
          <w:rFonts w:ascii="宋体" w:hAnsi="宋体" w:eastAsia="宋体" w:cs="宋体"/>
          <w:color w:val="auto"/>
          <w:spacing w:val="-1"/>
          <w:sz w:val="24"/>
          <w:szCs w:val="24"/>
          <w:highlight w:val="none"/>
        </w:rPr>
        <w:t>一人或不同联系人的联系电话一致的；</w:t>
      </w:r>
    </w:p>
    <w:p w14:paraId="37B4E5B1">
      <w:pPr>
        <w:spacing w:before="1" w:line="218" w:lineRule="auto"/>
        <w:ind w:left="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29.2.5</w:t>
      </w:r>
      <w:r>
        <w:rPr>
          <w:rFonts w:ascii="宋体" w:hAnsi="宋体" w:eastAsia="宋体" w:cs="宋体"/>
          <w:color w:val="auto"/>
          <w:spacing w:val="-42"/>
          <w:sz w:val="24"/>
          <w:szCs w:val="24"/>
          <w:highlight w:val="none"/>
        </w:rPr>
        <w:t xml:space="preserve"> </w:t>
      </w:r>
      <w:r>
        <w:rPr>
          <w:rFonts w:ascii="宋体" w:hAnsi="宋体" w:eastAsia="宋体" w:cs="宋体"/>
          <w:color w:val="auto"/>
          <w:spacing w:val="-1"/>
          <w:sz w:val="24"/>
          <w:szCs w:val="24"/>
          <w:highlight w:val="none"/>
        </w:rPr>
        <w:t>不同供应商的响应文件的内容存在两处以上细节错误一致；</w:t>
      </w:r>
    </w:p>
    <w:p w14:paraId="2F5EA4F2">
      <w:pPr>
        <w:spacing w:before="184" w:line="360" w:lineRule="auto"/>
        <w:ind w:firstLine="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29.2.6</w:t>
      </w:r>
      <w:r>
        <w:rPr>
          <w:rFonts w:ascii="宋体" w:hAnsi="宋体" w:eastAsia="宋体" w:cs="宋体"/>
          <w:color w:val="auto"/>
          <w:spacing w:val="-47"/>
          <w:sz w:val="24"/>
          <w:szCs w:val="24"/>
          <w:highlight w:val="none"/>
        </w:rPr>
        <w:t xml:space="preserve"> </w:t>
      </w:r>
      <w:r>
        <w:rPr>
          <w:rFonts w:ascii="宋体" w:hAnsi="宋体" w:eastAsia="宋体" w:cs="宋体"/>
          <w:color w:val="auto"/>
          <w:spacing w:val="1"/>
          <w:sz w:val="24"/>
          <w:szCs w:val="24"/>
          <w:highlight w:val="none"/>
        </w:rPr>
        <w:t>不同供应商的法定代表人、委托代理人、项目负责人等由同一个单位缴纳社</w:t>
      </w:r>
      <w:r>
        <w:rPr>
          <w:rFonts w:ascii="宋体" w:hAnsi="宋体" w:eastAsia="宋体" w:cs="宋体"/>
          <w:color w:val="auto"/>
          <w:spacing w:val="-1"/>
          <w:sz w:val="24"/>
          <w:szCs w:val="24"/>
          <w:highlight w:val="none"/>
        </w:rPr>
        <w:t>会保险或者领取报酬的；</w:t>
      </w:r>
    </w:p>
    <w:p w14:paraId="341D8AD9">
      <w:pPr>
        <w:spacing w:before="1" w:line="218" w:lineRule="auto"/>
        <w:ind w:left="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29.2.7</w:t>
      </w:r>
      <w:r>
        <w:rPr>
          <w:rFonts w:ascii="宋体" w:hAnsi="宋体" w:eastAsia="宋体" w:cs="宋体"/>
          <w:color w:val="auto"/>
          <w:spacing w:val="-38"/>
          <w:sz w:val="24"/>
          <w:szCs w:val="24"/>
          <w:highlight w:val="none"/>
        </w:rPr>
        <w:t xml:space="preserve"> </w:t>
      </w:r>
      <w:r>
        <w:rPr>
          <w:rFonts w:ascii="宋体" w:hAnsi="宋体" w:eastAsia="宋体" w:cs="宋体"/>
          <w:color w:val="auto"/>
          <w:spacing w:val="-1"/>
          <w:sz w:val="24"/>
          <w:szCs w:val="24"/>
          <w:highlight w:val="none"/>
        </w:rPr>
        <w:t>不同供应商响应文件中法定代表人或者负责人签字出自同一人之手；</w:t>
      </w:r>
    </w:p>
    <w:p w14:paraId="3C4F956D">
      <w:pPr>
        <w:spacing w:line="218" w:lineRule="auto"/>
        <w:rPr>
          <w:rFonts w:ascii="宋体" w:hAnsi="宋体" w:eastAsia="宋体" w:cs="宋体"/>
          <w:color w:val="auto"/>
          <w:sz w:val="24"/>
          <w:szCs w:val="24"/>
          <w:highlight w:val="none"/>
        </w:rPr>
        <w:sectPr>
          <w:footerReference r:id="rId25" w:type="default"/>
          <w:pgSz w:w="11906" w:h="16839"/>
          <w:pgMar w:top="1431" w:right="1074" w:bottom="1443" w:left="1594" w:header="0" w:footer="1202" w:gutter="0"/>
          <w:pgNumType w:fmt="decimal"/>
          <w:cols w:space="720" w:num="1"/>
        </w:sectPr>
      </w:pPr>
    </w:p>
    <w:p w14:paraId="215F385A">
      <w:pPr>
        <w:spacing w:before="122" w:line="220" w:lineRule="auto"/>
        <w:ind w:left="48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29.2.8</w:t>
      </w:r>
      <w:r>
        <w:rPr>
          <w:rFonts w:ascii="宋体" w:hAnsi="宋体" w:eastAsia="宋体" w:cs="宋体"/>
          <w:color w:val="auto"/>
          <w:spacing w:val="-42"/>
          <w:sz w:val="24"/>
          <w:szCs w:val="24"/>
          <w:highlight w:val="none"/>
        </w:rPr>
        <w:t xml:space="preserve"> </w:t>
      </w:r>
      <w:r>
        <w:rPr>
          <w:rFonts w:ascii="宋体" w:hAnsi="宋体" w:eastAsia="宋体" w:cs="宋体"/>
          <w:color w:val="auto"/>
          <w:spacing w:val="-2"/>
          <w:sz w:val="24"/>
          <w:szCs w:val="24"/>
          <w:highlight w:val="none"/>
        </w:rPr>
        <w:t>其他涉嫌串通的情形。</w:t>
      </w:r>
    </w:p>
    <w:p w14:paraId="2B85C5BF">
      <w:pPr>
        <w:spacing w:before="181" w:line="219" w:lineRule="auto"/>
        <w:ind w:left="483"/>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29.3</w:t>
      </w:r>
      <w:r>
        <w:rPr>
          <w:rFonts w:ascii="宋体" w:hAnsi="宋体" w:eastAsia="宋体" w:cs="宋体"/>
          <w:color w:val="auto"/>
          <w:spacing w:val="-2"/>
          <w:sz w:val="24"/>
          <w:szCs w:val="24"/>
          <w:highlight w:val="none"/>
        </w:rPr>
        <w:t xml:space="preserve"> </w:t>
      </w:r>
      <w:r>
        <w:rPr>
          <w:rFonts w:ascii="宋体" w:hAnsi="宋体" w:eastAsia="宋体" w:cs="宋体"/>
          <w:b/>
          <w:bCs/>
          <w:color w:val="auto"/>
          <w:spacing w:val="-2"/>
          <w:sz w:val="24"/>
          <w:szCs w:val="24"/>
          <w:highlight w:val="none"/>
        </w:rPr>
        <w:t>有下列情形之一的，视为供应商串通投标，其响应无效：</w:t>
      </w:r>
    </w:p>
    <w:p w14:paraId="64BF0D57">
      <w:pPr>
        <w:spacing w:before="183" w:line="219" w:lineRule="auto"/>
        <w:ind w:left="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29.3.1不同供应商的响应文件由同一单位或者个人编制；</w:t>
      </w:r>
    </w:p>
    <w:p w14:paraId="19117C51">
      <w:pPr>
        <w:spacing w:before="183" w:line="219" w:lineRule="auto"/>
        <w:ind w:left="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29.3.2不同供应商委托同一单位或者个人办理响应事宜；</w:t>
      </w:r>
    </w:p>
    <w:p w14:paraId="6BD47D76">
      <w:pPr>
        <w:spacing w:before="183" w:line="219" w:lineRule="auto"/>
        <w:ind w:left="483"/>
        <w:rPr>
          <w:rFonts w:ascii="宋体" w:hAnsi="宋体" w:eastAsia="宋体" w:cs="宋体"/>
          <w:color w:val="auto"/>
          <w:sz w:val="24"/>
          <w:szCs w:val="24"/>
          <w:highlight w:val="none"/>
        </w:rPr>
      </w:pPr>
      <w:r>
        <w:rPr>
          <w:rFonts w:ascii="宋体" w:hAnsi="宋体" w:eastAsia="宋体" w:cs="宋体"/>
          <w:color w:val="auto"/>
          <w:sz w:val="24"/>
          <w:szCs w:val="24"/>
          <w:highlight w:val="none"/>
        </w:rPr>
        <w:t>29.3.3不同供应商的响应文件载明的项目管</w:t>
      </w:r>
      <w:r>
        <w:rPr>
          <w:rFonts w:ascii="宋体" w:hAnsi="宋体" w:eastAsia="宋体" w:cs="宋体"/>
          <w:color w:val="auto"/>
          <w:spacing w:val="-1"/>
          <w:sz w:val="24"/>
          <w:szCs w:val="24"/>
          <w:highlight w:val="none"/>
        </w:rPr>
        <w:t>理成员或者联系人员为同一人；</w:t>
      </w:r>
    </w:p>
    <w:p w14:paraId="54AD86A9">
      <w:pPr>
        <w:spacing w:before="183" w:line="218" w:lineRule="auto"/>
        <w:ind w:left="483"/>
        <w:rPr>
          <w:rFonts w:ascii="宋体" w:hAnsi="宋体" w:eastAsia="宋体" w:cs="宋体"/>
          <w:color w:val="auto"/>
          <w:sz w:val="24"/>
          <w:szCs w:val="24"/>
          <w:highlight w:val="none"/>
        </w:rPr>
      </w:pPr>
      <w:r>
        <w:rPr>
          <w:rFonts w:ascii="宋体" w:hAnsi="宋体" w:eastAsia="宋体" w:cs="宋体"/>
          <w:color w:val="auto"/>
          <w:sz w:val="24"/>
          <w:szCs w:val="24"/>
          <w:highlight w:val="none"/>
        </w:rPr>
        <w:t>29.3.4不同供应商的响应文件异常一</w:t>
      </w:r>
      <w:r>
        <w:rPr>
          <w:rFonts w:ascii="宋体" w:hAnsi="宋体" w:eastAsia="宋体" w:cs="宋体"/>
          <w:color w:val="auto"/>
          <w:spacing w:val="-1"/>
          <w:sz w:val="24"/>
          <w:szCs w:val="24"/>
          <w:highlight w:val="none"/>
        </w:rPr>
        <w:t>致或者投标报价呈规律性差异；</w:t>
      </w:r>
    </w:p>
    <w:p w14:paraId="00958554">
      <w:pPr>
        <w:spacing w:before="185" w:line="219" w:lineRule="auto"/>
        <w:ind w:left="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29.3.5不同供应商的响应文件相互混装。</w:t>
      </w:r>
    </w:p>
    <w:p w14:paraId="685DEB4D">
      <w:pPr>
        <w:spacing w:before="183" w:line="360" w:lineRule="auto"/>
        <w:ind w:right="18" w:firstLine="48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29.4供应商应当遵循公平竞争的原则，不得恶意串通，不</w:t>
      </w:r>
      <w:r>
        <w:rPr>
          <w:rFonts w:ascii="宋体" w:hAnsi="宋体" w:eastAsia="宋体" w:cs="宋体"/>
          <w:color w:val="auto"/>
          <w:spacing w:val="-4"/>
          <w:sz w:val="24"/>
          <w:szCs w:val="24"/>
          <w:highlight w:val="none"/>
        </w:rPr>
        <w:t>得妨碍其他供应商的竞争行</w:t>
      </w:r>
      <w:r>
        <w:rPr>
          <w:rFonts w:ascii="宋体" w:hAnsi="宋体" w:eastAsia="宋体" w:cs="宋体"/>
          <w:color w:val="auto"/>
          <w:spacing w:val="-8"/>
          <w:sz w:val="24"/>
          <w:szCs w:val="24"/>
          <w:highlight w:val="none"/>
        </w:rPr>
        <w:t>为，不得损害采购人或者其他供应商的合法权益。在评标过程中发现供应商有上述情形的，</w:t>
      </w:r>
      <w:r>
        <w:rPr>
          <w:rFonts w:ascii="宋体" w:hAnsi="宋体" w:eastAsia="宋体" w:cs="宋体"/>
          <w:color w:val="auto"/>
          <w:spacing w:val="-1"/>
          <w:sz w:val="24"/>
          <w:szCs w:val="24"/>
          <w:highlight w:val="none"/>
        </w:rPr>
        <w:t>磋商小组应当认定其投标无效，并书面报告本级财政部门。</w:t>
      </w:r>
    </w:p>
    <w:p w14:paraId="78D91D4E">
      <w:pPr>
        <w:spacing w:before="6" w:line="359" w:lineRule="auto"/>
        <w:ind w:right="23" w:firstLine="48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29.5磋商小组认为供应商的报价明显低于其他通过符合性</w:t>
      </w:r>
      <w:r>
        <w:rPr>
          <w:rFonts w:ascii="宋体" w:hAnsi="宋体" w:eastAsia="宋体" w:cs="宋体"/>
          <w:color w:val="auto"/>
          <w:spacing w:val="-4"/>
          <w:sz w:val="24"/>
          <w:szCs w:val="24"/>
          <w:highlight w:val="none"/>
        </w:rPr>
        <w:t>审查供应商的报价，有可能</w:t>
      </w:r>
      <w:r>
        <w:rPr>
          <w:rFonts w:ascii="宋体" w:hAnsi="宋体" w:eastAsia="宋体" w:cs="宋体"/>
          <w:color w:val="auto"/>
          <w:spacing w:val="-2"/>
          <w:sz w:val="24"/>
          <w:szCs w:val="24"/>
          <w:highlight w:val="none"/>
        </w:rPr>
        <w:t>影响产品质量或者不能诚信履约的，应当要求其在评标现场合理的时间内提供书面说明，</w:t>
      </w:r>
      <w:r>
        <w:rPr>
          <w:rFonts w:ascii="宋体" w:hAnsi="宋体" w:eastAsia="宋体" w:cs="宋体"/>
          <w:color w:val="auto"/>
          <w:spacing w:val="-3"/>
          <w:sz w:val="24"/>
          <w:szCs w:val="24"/>
          <w:highlight w:val="none"/>
        </w:rPr>
        <w:t>必要时提交相关证明材料；供应商不能证明其报价合理性的，磋商小</w:t>
      </w:r>
      <w:r>
        <w:rPr>
          <w:rFonts w:ascii="宋体" w:hAnsi="宋体" w:eastAsia="宋体" w:cs="宋体"/>
          <w:color w:val="auto"/>
          <w:spacing w:val="-4"/>
          <w:sz w:val="24"/>
          <w:szCs w:val="24"/>
          <w:highlight w:val="none"/>
        </w:rPr>
        <w:t>组应当将其作为无效</w:t>
      </w:r>
      <w:r>
        <w:rPr>
          <w:rFonts w:ascii="宋体" w:hAnsi="宋体" w:eastAsia="宋体" w:cs="宋体"/>
          <w:color w:val="auto"/>
          <w:spacing w:val="-2"/>
          <w:sz w:val="24"/>
          <w:szCs w:val="24"/>
          <w:highlight w:val="none"/>
        </w:rPr>
        <w:t>投标处理。</w:t>
      </w:r>
    </w:p>
    <w:p w14:paraId="78029319">
      <w:pPr>
        <w:spacing w:before="6" w:line="359" w:lineRule="auto"/>
        <w:ind w:left="2" w:firstLine="48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29.6按照《关于推进全流程电子化交易和在线监管工</w:t>
      </w:r>
      <w:r>
        <w:rPr>
          <w:rFonts w:ascii="宋体" w:hAnsi="宋体" w:eastAsia="宋体" w:cs="宋体"/>
          <w:color w:val="auto"/>
          <w:spacing w:val="-4"/>
          <w:sz w:val="24"/>
          <w:szCs w:val="24"/>
          <w:highlight w:val="none"/>
        </w:rPr>
        <w:t>作有关问题的通知》（许公管办</w:t>
      </w:r>
      <w:r>
        <w:rPr>
          <w:rFonts w:ascii="宋体" w:hAnsi="宋体" w:eastAsia="宋体" w:cs="宋体"/>
          <w:color w:val="auto"/>
          <w:spacing w:val="-3"/>
          <w:sz w:val="24"/>
          <w:szCs w:val="24"/>
          <w:highlight w:val="none"/>
        </w:rPr>
        <w:t>〔2019〕3号）规定：不同投标人电子投标文件的文件制作机器码（即许公管办〔2019〕3</w:t>
      </w:r>
      <w:r>
        <w:rPr>
          <w:rFonts w:ascii="宋体" w:hAnsi="宋体" w:eastAsia="宋体" w:cs="宋体"/>
          <w:color w:val="auto"/>
          <w:spacing w:val="-4"/>
          <w:sz w:val="24"/>
          <w:szCs w:val="24"/>
          <w:highlight w:val="none"/>
        </w:rPr>
        <w:t>号文中的投标文件制作“硬件特征码</w:t>
      </w:r>
      <w:r>
        <w:rPr>
          <w:rFonts w:ascii="宋体" w:hAnsi="宋体" w:eastAsia="宋体" w:cs="宋体"/>
          <w:color w:val="auto"/>
          <w:spacing w:val="-82"/>
          <w:sz w:val="24"/>
          <w:szCs w:val="24"/>
          <w:highlight w:val="none"/>
        </w:rPr>
        <w:t xml:space="preserve"> </w:t>
      </w:r>
      <w:r>
        <w:rPr>
          <w:rFonts w:ascii="宋体" w:hAnsi="宋体" w:eastAsia="宋体" w:cs="宋体"/>
          <w:color w:val="auto"/>
          <w:spacing w:val="-4"/>
          <w:sz w:val="24"/>
          <w:szCs w:val="24"/>
          <w:highlight w:val="none"/>
        </w:rPr>
        <w:t>”，其由网卡MAC地址、CPU序列号、硬盘序列号等组成，以下均称为“文件制作机器码</w:t>
      </w:r>
      <w:r>
        <w:rPr>
          <w:rFonts w:ascii="宋体" w:hAnsi="宋体" w:eastAsia="宋体" w:cs="宋体"/>
          <w:color w:val="auto"/>
          <w:spacing w:val="-88"/>
          <w:sz w:val="24"/>
          <w:szCs w:val="24"/>
          <w:highlight w:val="none"/>
        </w:rPr>
        <w:t xml:space="preserve"> </w:t>
      </w:r>
      <w:r>
        <w:rPr>
          <w:rFonts w:ascii="宋体" w:hAnsi="宋体" w:eastAsia="宋体" w:cs="宋体"/>
          <w:color w:val="auto"/>
          <w:spacing w:val="-4"/>
          <w:sz w:val="24"/>
          <w:szCs w:val="24"/>
          <w:highlight w:val="none"/>
        </w:rPr>
        <w:t>”）均一致时，视为‘不同投标人电子投</w:t>
      </w:r>
      <w:r>
        <w:rPr>
          <w:rFonts w:ascii="宋体" w:hAnsi="宋体" w:eastAsia="宋体" w:cs="宋体"/>
          <w:color w:val="auto"/>
          <w:spacing w:val="-5"/>
          <w:sz w:val="24"/>
          <w:szCs w:val="24"/>
          <w:highlight w:val="none"/>
        </w:rPr>
        <w:t>标文件由同一</w:t>
      </w:r>
      <w:r>
        <w:rPr>
          <w:rFonts w:ascii="宋体" w:hAnsi="宋体" w:eastAsia="宋体" w:cs="宋体"/>
          <w:color w:val="auto"/>
          <w:spacing w:val="-9"/>
          <w:sz w:val="24"/>
          <w:szCs w:val="24"/>
          <w:highlight w:val="none"/>
        </w:rPr>
        <w:t>单位或者个人编制</w:t>
      </w:r>
      <w:r>
        <w:rPr>
          <w:rFonts w:ascii="宋体" w:hAnsi="宋体" w:eastAsia="宋体" w:cs="宋体"/>
          <w:color w:val="auto"/>
          <w:spacing w:val="-81"/>
          <w:sz w:val="24"/>
          <w:szCs w:val="24"/>
          <w:highlight w:val="none"/>
        </w:rPr>
        <w:t xml:space="preserve"> </w:t>
      </w:r>
      <w:r>
        <w:rPr>
          <w:rFonts w:ascii="宋体" w:hAnsi="宋体" w:eastAsia="宋体" w:cs="宋体"/>
          <w:color w:val="auto"/>
          <w:spacing w:val="-9"/>
          <w:sz w:val="24"/>
          <w:szCs w:val="24"/>
          <w:highlight w:val="none"/>
        </w:rPr>
        <w:t>’或‘不同投标人委托同一单位或者个人办理响应事宜</w:t>
      </w:r>
      <w:r>
        <w:rPr>
          <w:rFonts w:ascii="宋体" w:hAnsi="宋体" w:eastAsia="宋体" w:cs="宋体"/>
          <w:color w:val="auto"/>
          <w:spacing w:val="-87"/>
          <w:sz w:val="24"/>
          <w:szCs w:val="24"/>
          <w:highlight w:val="none"/>
        </w:rPr>
        <w:t xml:space="preserve"> </w:t>
      </w:r>
      <w:r>
        <w:rPr>
          <w:rFonts w:ascii="宋体" w:hAnsi="宋体" w:eastAsia="宋体" w:cs="宋体"/>
          <w:color w:val="auto"/>
          <w:spacing w:val="-9"/>
          <w:sz w:val="24"/>
          <w:szCs w:val="24"/>
          <w:highlight w:val="none"/>
        </w:rPr>
        <w:t>’，其投标无效。</w:t>
      </w:r>
    </w:p>
    <w:p w14:paraId="2F8715CE">
      <w:pPr>
        <w:spacing w:line="360" w:lineRule="auto"/>
        <w:ind w:left="23" w:right="80" w:firstLine="456"/>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评审专家应严格按照要求查看“文件制作机器码</w:t>
      </w:r>
      <w:r>
        <w:rPr>
          <w:rFonts w:ascii="宋体" w:hAnsi="宋体" w:eastAsia="宋体" w:cs="宋体"/>
          <w:color w:val="auto"/>
          <w:spacing w:val="-88"/>
          <w:sz w:val="24"/>
          <w:szCs w:val="24"/>
          <w:highlight w:val="none"/>
        </w:rPr>
        <w:t xml:space="preserve"> </w:t>
      </w:r>
      <w:r>
        <w:rPr>
          <w:rFonts w:ascii="宋体" w:hAnsi="宋体" w:eastAsia="宋体" w:cs="宋体"/>
          <w:color w:val="auto"/>
          <w:spacing w:val="-4"/>
          <w:sz w:val="24"/>
          <w:szCs w:val="24"/>
          <w:highlight w:val="none"/>
        </w:rPr>
        <w:t>”相关信息并进</w:t>
      </w:r>
      <w:r>
        <w:rPr>
          <w:rFonts w:ascii="宋体" w:hAnsi="宋体" w:eastAsia="宋体" w:cs="宋体"/>
          <w:color w:val="auto"/>
          <w:spacing w:val="-5"/>
          <w:sz w:val="24"/>
          <w:szCs w:val="24"/>
          <w:highlight w:val="none"/>
        </w:rPr>
        <w:t>行评审，在评标报告</w:t>
      </w:r>
      <w:r>
        <w:rPr>
          <w:rFonts w:ascii="宋体" w:hAnsi="宋体" w:eastAsia="宋体" w:cs="宋体"/>
          <w:color w:val="auto"/>
          <w:spacing w:val="-2"/>
          <w:sz w:val="24"/>
          <w:szCs w:val="24"/>
          <w:highlight w:val="none"/>
        </w:rPr>
        <w:t>中显示“不同投标人电子投标文件的文件制作机器码</w:t>
      </w:r>
      <w:r>
        <w:rPr>
          <w:rFonts w:ascii="宋体" w:hAnsi="宋体" w:eastAsia="宋体" w:cs="宋体"/>
          <w:color w:val="auto"/>
          <w:spacing w:val="-79"/>
          <w:sz w:val="24"/>
          <w:szCs w:val="24"/>
          <w:highlight w:val="none"/>
        </w:rPr>
        <w:t xml:space="preserve"> </w:t>
      </w:r>
      <w:r>
        <w:rPr>
          <w:rFonts w:ascii="宋体" w:hAnsi="宋体" w:eastAsia="宋体" w:cs="宋体"/>
          <w:color w:val="auto"/>
          <w:spacing w:val="-2"/>
          <w:sz w:val="24"/>
          <w:szCs w:val="24"/>
          <w:highlight w:val="none"/>
        </w:rPr>
        <w:t>”是否雷同的分析及判定结果。</w:t>
      </w:r>
    </w:p>
    <w:p w14:paraId="23C680C3">
      <w:pPr>
        <w:spacing w:line="360" w:lineRule="auto"/>
        <w:ind w:left="22" w:right="80" w:firstLine="46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29.7对响应文件进行一致性分析，分析响应文件是否有雷</w:t>
      </w:r>
      <w:r>
        <w:rPr>
          <w:rFonts w:ascii="宋体" w:hAnsi="宋体" w:eastAsia="宋体" w:cs="宋体"/>
          <w:color w:val="auto"/>
          <w:spacing w:val="-4"/>
          <w:sz w:val="24"/>
          <w:szCs w:val="24"/>
          <w:highlight w:val="none"/>
        </w:rPr>
        <w:t>同现象，判定供应商是否有</w:t>
      </w:r>
      <w:r>
        <w:rPr>
          <w:rFonts w:ascii="宋体" w:hAnsi="宋体" w:eastAsia="宋体" w:cs="宋体"/>
          <w:color w:val="auto"/>
          <w:spacing w:val="-5"/>
          <w:sz w:val="24"/>
          <w:szCs w:val="24"/>
          <w:highlight w:val="none"/>
        </w:rPr>
        <w:t>串通投标行为。</w:t>
      </w:r>
    </w:p>
    <w:p w14:paraId="3197CCAA">
      <w:pPr>
        <w:spacing w:before="1" w:line="219" w:lineRule="auto"/>
        <w:ind w:left="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29.8法律法规和磋商文件规定的其他无效情形。</w:t>
      </w:r>
    </w:p>
    <w:p w14:paraId="10BE931A">
      <w:pPr>
        <w:spacing w:before="105" w:line="218" w:lineRule="auto"/>
        <w:ind w:left="5"/>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30.响应文件的比较与评价</w:t>
      </w:r>
    </w:p>
    <w:p w14:paraId="1E1013FA">
      <w:pPr>
        <w:spacing w:before="106" w:line="360" w:lineRule="auto"/>
        <w:ind w:left="5" w:right="80" w:firstLine="47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磋商小组按照磋商文件中规定的评标方法和标准，对</w:t>
      </w:r>
      <w:r>
        <w:rPr>
          <w:rFonts w:ascii="宋体" w:hAnsi="宋体" w:eastAsia="宋体" w:cs="宋体"/>
          <w:color w:val="auto"/>
          <w:spacing w:val="-4"/>
          <w:sz w:val="24"/>
          <w:szCs w:val="24"/>
          <w:highlight w:val="none"/>
        </w:rPr>
        <w:t>符合性审查合格的响应文件进行</w:t>
      </w:r>
      <w:r>
        <w:rPr>
          <w:rFonts w:ascii="宋体" w:hAnsi="宋体" w:eastAsia="宋体" w:cs="宋体"/>
          <w:color w:val="auto"/>
          <w:spacing w:val="-1"/>
          <w:sz w:val="24"/>
          <w:szCs w:val="24"/>
          <w:highlight w:val="none"/>
        </w:rPr>
        <w:t>商务和技术评估，综合比较与评价。</w:t>
      </w:r>
    </w:p>
    <w:p w14:paraId="3BAE8714">
      <w:pPr>
        <w:spacing w:line="220" w:lineRule="auto"/>
        <w:ind w:left="5"/>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31.评标方法、评标标准</w:t>
      </w:r>
    </w:p>
    <w:p w14:paraId="47E4B164">
      <w:pPr>
        <w:spacing w:before="182" w:line="220" w:lineRule="auto"/>
        <w:ind w:left="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31.1评标方法为综合评分法。</w:t>
      </w:r>
    </w:p>
    <w:p w14:paraId="2A666729">
      <w:pPr>
        <w:spacing w:before="182" w:line="219" w:lineRule="auto"/>
        <w:ind w:left="48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31.1.1综合评分法，是指响应文件满足磋商文件全部实质性</w:t>
      </w:r>
      <w:r>
        <w:rPr>
          <w:rFonts w:ascii="宋体" w:hAnsi="宋体" w:eastAsia="宋体" w:cs="宋体"/>
          <w:color w:val="auto"/>
          <w:spacing w:val="-4"/>
          <w:sz w:val="24"/>
          <w:szCs w:val="24"/>
          <w:highlight w:val="none"/>
        </w:rPr>
        <w:t>要求，且按照评审因素的</w:t>
      </w:r>
    </w:p>
    <w:p w14:paraId="611AF1C5">
      <w:pPr>
        <w:spacing w:line="219" w:lineRule="auto"/>
        <w:rPr>
          <w:rFonts w:ascii="宋体" w:hAnsi="宋体" w:eastAsia="宋体" w:cs="宋体"/>
          <w:color w:val="auto"/>
          <w:sz w:val="24"/>
          <w:szCs w:val="24"/>
          <w:highlight w:val="none"/>
        </w:rPr>
        <w:sectPr>
          <w:footerReference r:id="rId26" w:type="default"/>
          <w:pgSz w:w="11906" w:h="16839"/>
          <w:pgMar w:top="1431" w:right="994" w:bottom="1443" w:left="1594" w:header="0" w:footer="1202" w:gutter="0"/>
          <w:pgNumType w:fmt="decimal"/>
          <w:cols w:space="720" w:num="1"/>
        </w:sectPr>
      </w:pPr>
    </w:p>
    <w:p w14:paraId="0C2C3880">
      <w:pPr>
        <w:spacing w:before="122" w:line="219" w:lineRule="auto"/>
        <w:ind w:left="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量化指标评审得分最高的供应商为成交候选人的评标方法。</w:t>
      </w:r>
    </w:p>
    <w:p w14:paraId="6E7356FE">
      <w:pPr>
        <w:spacing w:before="183" w:line="218" w:lineRule="auto"/>
        <w:ind w:left="48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31.2价格分</w:t>
      </w:r>
    </w:p>
    <w:p w14:paraId="28504853">
      <w:pPr>
        <w:spacing w:before="184" w:line="360" w:lineRule="auto"/>
        <w:ind w:left="2" w:firstLine="48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31.2.1价格分采用低价优先法计算，即满足磋商文件要求且</w:t>
      </w:r>
      <w:r>
        <w:rPr>
          <w:rFonts w:ascii="宋体" w:hAnsi="宋体" w:eastAsia="宋体" w:cs="宋体"/>
          <w:color w:val="auto"/>
          <w:spacing w:val="-4"/>
          <w:sz w:val="24"/>
          <w:szCs w:val="24"/>
          <w:highlight w:val="none"/>
        </w:rPr>
        <w:t>最后报价最低的供应商的</w:t>
      </w:r>
      <w:r>
        <w:rPr>
          <w:rFonts w:ascii="宋体" w:hAnsi="宋体" w:eastAsia="宋体" w:cs="宋体"/>
          <w:color w:val="auto"/>
          <w:sz w:val="24"/>
          <w:szCs w:val="24"/>
          <w:highlight w:val="none"/>
        </w:rPr>
        <w:t>价格为磋商基准价，其价格分为满分。其他供应商的价格</w:t>
      </w:r>
      <w:r>
        <w:rPr>
          <w:rFonts w:ascii="宋体" w:hAnsi="宋体" w:eastAsia="宋体" w:cs="宋体"/>
          <w:color w:val="auto"/>
          <w:spacing w:val="-1"/>
          <w:sz w:val="24"/>
          <w:szCs w:val="24"/>
          <w:highlight w:val="none"/>
        </w:rPr>
        <w:t>分统一按照下列公式计算：</w:t>
      </w:r>
    </w:p>
    <w:p w14:paraId="08D8E372">
      <w:pPr>
        <w:spacing w:before="1" w:line="217" w:lineRule="auto"/>
        <w:ind w:left="48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磋商报价得分=（磋商基准价/最后磋商报价</w:t>
      </w:r>
      <w:r>
        <w:rPr>
          <w:rFonts w:ascii="宋体" w:hAnsi="宋体" w:eastAsia="宋体" w:cs="宋体"/>
          <w:color w:val="auto"/>
          <w:spacing w:val="-4"/>
          <w:sz w:val="24"/>
          <w:szCs w:val="24"/>
          <w:highlight w:val="none"/>
        </w:rPr>
        <w:t>）</w:t>
      </w:r>
      <w:r>
        <w:rPr>
          <w:rFonts w:ascii="宋体" w:hAnsi="宋体" w:eastAsia="宋体" w:cs="宋体"/>
          <w:color w:val="auto"/>
          <w:spacing w:val="-77"/>
          <w:sz w:val="24"/>
          <w:szCs w:val="24"/>
          <w:highlight w:val="none"/>
        </w:rPr>
        <w:t xml:space="preserve"> </w:t>
      </w:r>
      <w:r>
        <w:rPr>
          <w:rFonts w:ascii="宋体" w:hAnsi="宋体" w:eastAsia="宋体" w:cs="宋体"/>
          <w:color w:val="auto"/>
          <w:spacing w:val="-4"/>
          <w:sz w:val="24"/>
          <w:szCs w:val="24"/>
          <w:highlight w:val="none"/>
        </w:rPr>
        <w:t>×</w:t>
      </w:r>
      <w:r>
        <w:rPr>
          <w:rFonts w:ascii="宋体" w:hAnsi="宋体" w:eastAsia="宋体" w:cs="宋体"/>
          <w:color w:val="auto"/>
          <w:spacing w:val="-93"/>
          <w:sz w:val="24"/>
          <w:szCs w:val="24"/>
          <w:highlight w:val="none"/>
        </w:rPr>
        <w:t xml:space="preserve"> </w:t>
      </w:r>
      <w:r>
        <w:rPr>
          <w:rFonts w:ascii="宋体" w:hAnsi="宋体" w:eastAsia="宋体" w:cs="宋体"/>
          <w:color w:val="auto"/>
          <w:spacing w:val="-4"/>
          <w:sz w:val="24"/>
          <w:szCs w:val="24"/>
          <w:highlight w:val="none"/>
        </w:rPr>
        <w:t>100</w:t>
      </w:r>
    </w:p>
    <w:p w14:paraId="7828E52C">
      <w:pPr>
        <w:spacing w:before="184" w:line="218" w:lineRule="auto"/>
        <w:ind w:left="48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31.2.2评标过程中，不得去掉报价中的最高报价和最低报价。</w:t>
      </w:r>
    </w:p>
    <w:p w14:paraId="0A7B4E00">
      <w:pPr>
        <w:spacing w:before="185" w:line="360" w:lineRule="auto"/>
        <w:ind w:firstLine="48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31.2.3因落实政府采购政策进行价格调整的，以调整后的价</w:t>
      </w:r>
      <w:r>
        <w:rPr>
          <w:rFonts w:ascii="宋体" w:hAnsi="宋体" w:eastAsia="宋体" w:cs="宋体"/>
          <w:color w:val="auto"/>
          <w:spacing w:val="-4"/>
          <w:sz w:val="24"/>
          <w:szCs w:val="24"/>
          <w:highlight w:val="none"/>
        </w:rPr>
        <w:t>格计算磋商基准价和磋商</w:t>
      </w:r>
      <w:r>
        <w:rPr>
          <w:rFonts w:ascii="宋体" w:hAnsi="宋体" w:eastAsia="宋体" w:cs="宋体"/>
          <w:color w:val="auto"/>
          <w:spacing w:val="-3"/>
          <w:sz w:val="24"/>
          <w:szCs w:val="24"/>
          <w:highlight w:val="none"/>
        </w:rPr>
        <w:t>报价。</w:t>
      </w:r>
    </w:p>
    <w:p w14:paraId="36F0E60B">
      <w:pPr>
        <w:spacing w:line="218" w:lineRule="auto"/>
        <w:ind w:left="486"/>
        <w:rPr>
          <w:rFonts w:ascii="宋体" w:hAnsi="宋体" w:eastAsia="宋体" w:cs="宋体"/>
          <w:color w:val="auto"/>
          <w:sz w:val="24"/>
          <w:szCs w:val="24"/>
          <w:highlight w:val="none"/>
        </w:rPr>
      </w:pPr>
      <w:r>
        <w:rPr>
          <w:rFonts w:ascii="宋体" w:hAnsi="宋体" w:eastAsia="宋体" w:cs="宋体"/>
          <w:color w:val="auto"/>
          <w:sz w:val="24"/>
          <w:szCs w:val="24"/>
          <w:highlight w:val="none"/>
        </w:rPr>
        <w:t>31.3本次磋商具体磋商方法、磋商标准见（</w:t>
      </w:r>
      <w:r>
        <w:rPr>
          <w:rFonts w:ascii="宋体" w:hAnsi="宋体" w:eastAsia="宋体" w:cs="宋体"/>
          <w:color w:val="auto"/>
          <w:spacing w:val="-1"/>
          <w:sz w:val="24"/>
          <w:szCs w:val="24"/>
          <w:highlight w:val="none"/>
        </w:rPr>
        <w:t>第六章 对响应文件审查与评审）。</w:t>
      </w:r>
    </w:p>
    <w:p w14:paraId="7706FB9D">
      <w:pPr>
        <w:spacing w:before="184" w:line="220" w:lineRule="auto"/>
        <w:ind w:left="6"/>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32.磋商</w:t>
      </w:r>
    </w:p>
    <w:p w14:paraId="496B3A32">
      <w:pPr>
        <w:spacing w:before="182" w:line="360" w:lineRule="auto"/>
        <w:ind w:left="4" w:firstLine="48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32.1磋商小组与通过符合性审查合格的响应文件，即</w:t>
      </w:r>
      <w:r>
        <w:rPr>
          <w:rFonts w:ascii="宋体" w:hAnsi="宋体" w:eastAsia="宋体" w:cs="宋体"/>
          <w:color w:val="auto"/>
          <w:spacing w:val="-4"/>
          <w:sz w:val="24"/>
          <w:szCs w:val="24"/>
          <w:highlight w:val="none"/>
        </w:rPr>
        <w:t>实质性响应磋商文件的供应商分</w:t>
      </w:r>
      <w:r>
        <w:rPr>
          <w:rFonts w:ascii="宋体" w:hAnsi="宋体" w:eastAsia="宋体" w:cs="宋体"/>
          <w:color w:val="auto"/>
          <w:spacing w:val="-3"/>
          <w:sz w:val="24"/>
          <w:szCs w:val="24"/>
          <w:highlight w:val="none"/>
        </w:rPr>
        <w:t>别进行磋商。</w:t>
      </w:r>
    </w:p>
    <w:p w14:paraId="274ACB8F">
      <w:pPr>
        <w:spacing w:line="360" w:lineRule="auto"/>
        <w:ind w:left="1" w:firstLine="48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32.2磋商小组所有成员应当集中与单一供应商分别进</w:t>
      </w:r>
      <w:r>
        <w:rPr>
          <w:rFonts w:ascii="宋体" w:hAnsi="宋体" w:eastAsia="宋体" w:cs="宋体"/>
          <w:color w:val="auto"/>
          <w:spacing w:val="-4"/>
          <w:sz w:val="24"/>
          <w:szCs w:val="24"/>
          <w:highlight w:val="none"/>
        </w:rPr>
        <w:t>行磋商，并给予所有参加磋商的</w:t>
      </w:r>
      <w:r>
        <w:rPr>
          <w:rFonts w:ascii="宋体" w:hAnsi="宋体" w:eastAsia="宋体" w:cs="宋体"/>
          <w:color w:val="auto"/>
          <w:spacing w:val="-1"/>
          <w:sz w:val="24"/>
          <w:szCs w:val="24"/>
          <w:highlight w:val="none"/>
        </w:rPr>
        <w:t>供应商平等的磋商机会。</w:t>
      </w:r>
    </w:p>
    <w:p w14:paraId="3427607D">
      <w:pPr>
        <w:spacing w:before="3" w:line="359" w:lineRule="auto"/>
        <w:ind w:left="2" w:firstLine="48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32.3在磋商中，磋商的任何一方不得透露与磋商有关</w:t>
      </w:r>
      <w:r>
        <w:rPr>
          <w:rFonts w:ascii="宋体" w:hAnsi="宋体" w:eastAsia="宋体" w:cs="宋体"/>
          <w:color w:val="auto"/>
          <w:spacing w:val="-4"/>
          <w:sz w:val="24"/>
          <w:szCs w:val="24"/>
          <w:highlight w:val="none"/>
        </w:rPr>
        <w:t>的其他供应商的技术资料、价格</w:t>
      </w:r>
      <w:r>
        <w:rPr>
          <w:rFonts w:ascii="宋体" w:hAnsi="宋体" w:eastAsia="宋体" w:cs="宋体"/>
          <w:color w:val="auto"/>
          <w:spacing w:val="-2"/>
          <w:sz w:val="24"/>
          <w:szCs w:val="24"/>
          <w:highlight w:val="none"/>
        </w:rPr>
        <w:t>和其他信息。</w:t>
      </w:r>
    </w:p>
    <w:p w14:paraId="438D073C">
      <w:pPr>
        <w:spacing w:before="5" w:line="359" w:lineRule="auto"/>
        <w:ind w:left="2" w:firstLine="48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32.4在磋商过程中，磋商小组可以根据磋商文件和磋</w:t>
      </w:r>
      <w:r>
        <w:rPr>
          <w:rFonts w:ascii="宋体" w:hAnsi="宋体" w:eastAsia="宋体" w:cs="宋体"/>
          <w:color w:val="auto"/>
          <w:spacing w:val="-4"/>
          <w:sz w:val="24"/>
          <w:szCs w:val="24"/>
          <w:highlight w:val="none"/>
        </w:rPr>
        <w:t>商情况实质性变动采购需求中的</w:t>
      </w:r>
      <w:r>
        <w:rPr>
          <w:rFonts w:ascii="宋体" w:hAnsi="宋体" w:eastAsia="宋体" w:cs="宋体"/>
          <w:color w:val="auto"/>
          <w:spacing w:val="-3"/>
          <w:sz w:val="24"/>
          <w:szCs w:val="24"/>
          <w:highlight w:val="none"/>
        </w:rPr>
        <w:t>技术、服务要求以及合同草案条款，但不得变动磋商文件中的</w:t>
      </w:r>
      <w:r>
        <w:rPr>
          <w:rFonts w:ascii="宋体" w:hAnsi="宋体" w:eastAsia="宋体" w:cs="宋体"/>
          <w:color w:val="auto"/>
          <w:spacing w:val="-4"/>
          <w:sz w:val="24"/>
          <w:szCs w:val="24"/>
          <w:highlight w:val="none"/>
        </w:rPr>
        <w:t>其他内容。实质性变动的内</w:t>
      </w:r>
      <w:r>
        <w:rPr>
          <w:rFonts w:ascii="宋体" w:hAnsi="宋体" w:eastAsia="宋体" w:cs="宋体"/>
          <w:color w:val="auto"/>
          <w:spacing w:val="-3"/>
          <w:sz w:val="24"/>
          <w:szCs w:val="24"/>
          <w:highlight w:val="none"/>
        </w:rPr>
        <w:t>容，须经采购人代表确认。对磋商文件作出的实质性变动是磋商文</w:t>
      </w:r>
      <w:r>
        <w:rPr>
          <w:rFonts w:ascii="宋体" w:hAnsi="宋体" w:eastAsia="宋体" w:cs="宋体"/>
          <w:color w:val="auto"/>
          <w:spacing w:val="-4"/>
          <w:sz w:val="24"/>
          <w:szCs w:val="24"/>
          <w:highlight w:val="none"/>
        </w:rPr>
        <w:t>件的有效组成部分，磋</w:t>
      </w:r>
      <w:r>
        <w:rPr>
          <w:rFonts w:ascii="宋体" w:hAnsi="宋体" w:eastAsia="宋体" w:cs="宋体"/>
          <w:color w:val="auto"/>
          <w:spacing w:val="-1"/>
          <w:sz w:val="24"/>
          <w:szCs w:val="24"/>
          <w:highlight w:val="none"/>
        </w:rPr>
        <w:t>商小组将及时以书面形式同时通知所有参加磋商的供应商。</w:t>
      </w:r>
    </w:p>
    <w:p w14:paraId="464B1879">
      <w:pPr>
        <w:spacing w:line="360" w:lineRule="auto"/>
        <w:ind w:left="2" w:firstLine="48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32.5磋商文件能够详细列明采购标的的技术、服务要</w:t>
      </w:r>
      <w:r>
        <w:rPr>
          <w:rFonts w:ascii="宋体" w:hAnsi="宋体" w:eastAsia="宋体" w:cs="宋体"/>
          <w:color w:val="auto"/>
          <w:spacing w:val="-4"/>
          <w:sz w:val="24"/>
          <w:szCs w:val="24"/>
          <w:highlight w:val="none"/>
        </w:rPr>
        <w:t>求的，磋商结束后，磋商小组应</w:t>
      </w:r>
      <w:r>
        <w:rPr>
          <w:rFonts w:ascii="宋体" w:hAnsi="宋体" w:eastAsia="宋体" w:cs="宋体"/>
          <w:color w:val="auto"/>
          <w:spacing w:val="-3"/>
          <w:sz w:val="24"/>
          <w:szCs w:val="24"/>
          <w:highlight w:val="none"/>
        </w:rPr>
        <w:t>当要求所有实质性响应的供应商在规定时间内提交最后报价，提交</w:t>
      </w:r>
      <w:r>
        <w:rPr>
          <w:rFonts w:ascii="宋体" w:hAnsi="宋体" w:eastAsia="宋体" w:cs="宋体"/>
          <w:color w:val="auto"/>
          <w:spacing w:val="-4"/>
          <w:sz w:val="24"/>
          <w:szCs w:val="24"/>
          <w:highlight w:val="none"/>
        </w:rPr>
        <w:t>最后报价的供应商不得</w:t>
      </w:r>
      <w:r>
        <w:rPr>
          <w:rFonts w:ascii="宋体" w:hAnsi="宋体" w:eastAsia="宋体" w:cs="宋体"/>
          <w:color w:val="auto"/>
          <w:spacing w:val="-3"/>
          <w:sz w:val="24"/>
          <w:szCs w:val="24"/>
          <w:highlight w:val="none"/>
        </w:rPr>
        <w:t>少于3家。</w:t>
      </w:r>
    </w:p>
    <w:p w14:paraId="12853C7C">
      <w:pPr>
        <w:spacing w:line="360" w:lineRule="auto"/>
        <w:ind w:left="3" w:firstLine="48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32.6磋商文件不能详细列明采购标的的技术、服务要</w:t>
      </w:r>
      <w:r>
        <w:rPr>
          <w:rFonts w:ascii="宋体" w:hAnsi="宋体" w:eastAsia="宋体" w:cs="宋体"/>
          <w:color w:val="auto"/>
          <w:spacing w:val="-4"/>
          <w:sz w:val="24"/>
          <w:szCs w:val="24"/>
          <w:highlight w:val="none"/>
        </w:rPr>
        <w:t>求，需经磋商由供应商提供最终</w:t>
      </w:r>
      <w:r>
        <w:rPr>
          <w:rFonts w:ascii="宋体" w:hAnsi="宋体" w:eastAsia="宋体" w:cs="宋体"/>
          <w:color w:val="auto"/>
          <w:sz w:val="24"/>
          <w:szCs w:val="24"/>
          <w:highlight w:val="none"/>
        </w:rPr>
        <w:t>设计方案或解决方案的，磋商结束后，磋商小组应当按照少</w:t>
      </w:r>
      <w:r>
        <w:rPr>
          <w:rFonts w:ascii="宋体" w:hAnsi="宋体" w:eastAsia="宋体" w:cs="宋体"/>
          <w:color w:val="auto"/>
          <w:spacing w:val="-1"/>
          <w:sz w:val="24"/>
          <w:szCs w:val="24"/>
          <w:highlight w:val="none"/>
        </w:rPr>
        <w:t>数服从多数的原则投票推荐3</w:t>
      </w:r>
      <w:r>
        <w:rPr>
          <w:rFonts w:ascii="宋体" w:hAnsi="宋体" w:eastAsia="宋体" w:cs="宋体"/>
          <w:color w:val="auto"/>
          <w:sz w:val="24"/>
          <w:szCs w:val="24"/>
          <w:highlight w:val="none"/>
        </w:rPr>
        <w:t>家以上供应商的设计方案或者解决方案，并要求其</w:t>
      </w:r>
      <w:r>
        <w:rPr>
          <w:rFonts w:ascii="宋体" w:hAnsi="宋体" w:eastAsia="宋体" w:cs="宋体"/>
          <w:color w:val="auto"/>
          <w:spacing w:val="-1"/>
          <w:sz w:val="24"/>
          <w:szCs w:val="24"/>
          <w:highlight w:val="none"/>
        </w:rPr>
        <w:t>在规定时间内提交最后报价。</w:t>
      </w:r>
    </w:p>
    <w:p w14:paraId="1393F285">
      <w:pPr>
        <w:spacing w:before="3" w:line="359" w:lineRule="auto"/>
        <w:ind w:left="29" w:firstLine="45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32.7如磋商中出现符合《财政部关于政府采购竞争性</w:t>
      </w:r>
      <w:r>
        <w:rPr>
          <w:rFonts w:ascii="宋体" w:hAnsi="宋体" w:eastAsia="宋体" w:cs="宋体"/>
          <w:color w:val="auto"/>
          <w:spacing w:val="-4"/>
          <w:sz w:val="24"/>
          <w:szCs w:val="24"/>
          <w:highlight w:val="none"/>
        </w:rPr>
        <w:t>磋商采购方式管理暂行办法有关</w:t>
      </w:r>
      <w:r>
        <w:rPr>
          <w:rFonts w:ascii="宋体" w:hAnsi="宋体" w:eastAsia="宋体" w:cs="宋体"/>
          <w:color w:val="auto"/>
          <w:spacing w:val="-1"/>
          <w:sz w:val="24"/>
          <w:szCs w:val="24"/>
          <w:highlight w:val="none"/>
        </w:rPr>
        <w:t>问题的补充通知》（财库〔2015〕124号）中的情形，则按财政部通知要求执行。</w:t>
      </w:r>
    </w:p>
    <w:p w14:paraId="5FD9DBF1">
      <w:pPr>
        <w:spacing w:before="1" w:line="217" w:lineRule="auto"/>
        <w:jc w:val="right"/>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32.8最后报价是供应商响应文件的有效组成部分。符</w:t>
      </w:r>
      <w:r>
        <w:rPr>
          <w:rFonts w:ascii="宋体" w:hAnsi="宋体" w:eastAsia="宋体" w:cs="宋体"/>
          <w:color w:val="auto"/>
          <w:spacing w:val="-4"/>
          <w:sz w:val="24"/>
          <w:szCs w:val="24"/>
          <w:highlight w:val="none"/>
        </w:rPr>
        <w:t>合《政府采购竞争性磋商采购方</w:t>
      </w:r>
    </w:p>
    <w:p w14:paraId="3A4E1028">
      <w:pPr>
        <w:spacing w:line="217" w:lineRule="auto"/>
        <w:rPr>
          <w:rFonts w:ascii="宋体" w:hAnsi="宋体" w:eastAsia="宋体" w:cs="宋体"/>
          <w:color w:val="auto"/>
          <w:sz w:val="24"/>
          <w:szCs w:val="24"/>
          <w:highlight w:val="none"/>
        </w:rPr>
        <w:sectPr>
          <w:footerReference r:id="rId27" w:type="default"/>
          <w:pgSz w:w="11906" w:h="16839"/>
          <w:pgMar w:top="1431" w:right="1074" w:bottom="1443" w:left="1593" w:header="0" w:footer="1202" w:gutter="0"/>
          <w:pgNumType w:fmt="decimal"/>
          <w:cols w:space="720" w:num="1"/>
        </w:sectPr>
      </w:pPr>
    </w:p>
    <w:p w14:paraId="7506BC70">
      <w:pPr>
        <w:spacing w:before="122" w:line="360" w:lineRule="auto"/>
        <w:ind w:left="2" w:right="186" w:firstLine="2"/>
        <w:rPr>
          <w:rFonts w:ascii="宋体" w:hAnsi="宋体" w:eastAsia="宋体" w:cs="宋体"/>
          <w:color w:val="auto"/>
          <w:sz w:val="24"/>
          <w:szCs w:val="24"/>
          <w:highlight w:val="none"/>
        </w:rPr>
      </w:pPr>
      <w:r>
        <w:rPr>
          <w:rFonts w:ascii="宋体" w:hAnsi="宋体" w:eastAsia="宋体" w:cs="宋体"/>
          <w:color w:val="auto"/>
          <w:sz w:val="24"/>
          <w:szCs w:val="24"/>
          <w:highlight w:val="none"/>
        </w:rPr>
        <w:t>式管理暂行办法》【（财库2014）214号】第三条第</w:t>
      </w:r>
      <w:r>
        <w:rPr>
          <w:rFonts w:ascii="宋体" w:hAnsi="宋体" w:eastAsia="宋体" w:cs="宋体"/>
          <w:color w:val="auto"/>
          <w:spacing w:val="-1"/>
          <w:sz w:val="24"/>
          <w:szCs w:val="24"/>
          <w:highlight w:val="none"/>
        </w:rPr>
        <w:t>四项情形的，提交最后报价的供应商</w:t>
      </w:r>
      <w:r>
        <w:rPr>
          <w:rFonts w:ascii="宋体" w:hAnsi="宋体" w:eastAsia="宋体" w:cs="宋体"/>
          <w:color w:val="auto"/>
          <w:spacing w:val="-2"/>
          <w:sz w:val="24"/>
          <w:szCs w:val="24"/>
          <w:highlight w:val="none"/>
        </w:rPr>
        <w:t>可以为2家。</w:t>
      </w:r>
    </w:p>
    <w:p w14:paraId="611B3064">
      <w:pPr>
        <w:spacing w:before="1" w:line="217" w:lineRule="auto"/>
        <w:ind w:left="485"/>
        <w:rPr>
          <w:rFonts w:ascii="宋体" w:hAnsi="宋体" w:eastAsia="宋体" w:cs="宋体"/>
          <w:color w:val="auto"/>
          <w:sz w:val="24"/>
          <w:szCs w:val="24"/>
          <w:highlight w:val="none"/>
        </w:rPr>
      </w:pPr>
      <w:r>
        <w:rPr>
          <w:rFonts w:ascii="宋体" w:hAnsi="宋体" w:eastAsia="宋体" w:cs="宋体"/>
          <w:color w:val="auto"/>
          <w:sz w:val="24"/>
          <w:szCs w:val="24"/>
          <w:highlight w:val="none"/>
        </w:rPr>
        <w:t>32.9已提交响应文件的供应商，在提交最后报价</w:t>
      </w:r>
      <w:r>
        <w:rPr>
          <w:rFonts w:ascii="宋体" w:hAnsi="宋体" w:eastAsia="宋体" w:cs="宋体"/>
          <w:color w:val="auto"/>
          <w:spacing w:val="-1"/>
          <w:sz w:val="24"/>
          <w:szCs w:val="24"/>
          <w:highlight w:val="none"/>
        </w:rPr>
        <w:t>之前，可以根据磋商情况退出磋商。</w:t>
      </w:r>
    </w:p>
    <w:p w14:paraId="691CAA1C">
      <w:pPr>
        <w:spacing w:before="184" w:line="360" w:lineRule="auto"/>
        <w:ind w:left="4" w:right="186"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32.10按照《关于推进全流程电子化交易和在线</w:t>
      </w:r>
      <w:r>
        <w:rPr>
          <w:rFonts w:ascii="宋体" w:hAnsi="宋体" w:eastAsia="宋体" w:cs="宋体"/>
          <w:color w:val="auto"/>
          <w:spacing w:val="-1"/>
          <w:sz w:val="24"/>
          <w:szCs w:val="24"/>
          <w:highlight w:val="none"/>
        </w:rPr>
        <w:t>监管工作有关问题的通知》（许公管办〔2019〕3号）规定，评审专家应严格按照要求查看“文件制作机器码</w:t>
      </w:r>
      <w:r>
        <w:rPr>
          <w:rFonts w:ascii="宋体" w:hAnsi="宋体" w:eastAsia="宋体" w:cs="宋体"/>
          <w:color w:val="auto"/>
          <w:spacing w:val="-88"/>
          <w:sz w:val="24"/>
          <w:szCs w:val="24"/>
          <w:highlight w:val="none"/>
        </w:rPr>
        <w:t xml:space="preserve"> </w:t>
      </w:r>
      <w:r>
        <w:rPr>
          <w:rFonts w:ascii="宋体" w:hAnsi="宋体" w:eastAsia="宋体" w:cs="宋体"/>
          <w:color w:val="auto"/>
          <w:spacing w:val="-1"/>
          <w:sz w:val="24"/>
          <w:szCs w:val="24"/>
          <w:highlight w:val="none"/>
        </w:rPr>
        <w:t>”</w:t>
      </w:r>
      <w:r>
        <w:rPr>
          <w:rFonts w:ascii="宋体" w:hAnsi="宋体" w:eastAsia="宋体" w:cs="宋体"/>
          <w:color w:val="auto"/>
          <w:spacing w:val="-2"/>
          <w:sz w:val="24"/>
          <w:szCs w:val="24"/>
          <w:highlight w:val="none"/>
        </w:rPr>
        <w:t>相关信息并进</w:t>
      </w:r>
      <w:r>
        <w:rPr>
          <w:rFonts w:ascii="宋体" w:hAnsi="宋体" w:eastAsia="宋体" w:cs="宋体"/>
          <w:color w:val="auto"/>
          <w:spacing w:val="-4"/>
          <w:sz w:val="24"/>
          <w:szCs w:val="24"/>
          <w:highlight w:val="none"/>
        </w:rPr>
        <w:t>行评审。</w:t>
      </w:r>
    </w:p>
    <w:p w14:paraId="7F9EAD11">
      <w:pPr>
        <w:spacing w:line="218" w:lineRule="auto"/>
        <w:ind w:left="5"/>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33.推荐成交候选人</w:t>
      </w:r>
    </w:p>
    <w:p w14:paraId="45CB6662">
      <w:pPr>
        <w:spacing w:before="184" w:line="360" w:lineRule="auto"/>
        <w:ind w:left="1" w:right="181" w:firstLine="483"/>
        <w:rPr>
          <w:rFonts w:ascii="宋体" w:hAnsi="宋体" w:eastAsia="宋体" w:cs="宋体"/>
          <w:color w:val="auto"/>
          <w:sz w:val="24"/>
          <w:szCs w:val="24"/>
          <w:highlight w:val="none"/>
        </w:rPr>
      </w:pPr>
      <w:r>
        <w:rPr>
          <w:rFonts w:ascii="宋体" w:hAnsi="宋体" w:eastAsia="宋体" w:cs="宋体"/>
          <w:color w:val="auto"/>
          <w:sz w:val="24"/>
          <w:szCs w:val="24"/>
          <w:highlight w:val="none"/>
        </w:rPr>
        <w:t>33.1磋商小组应当根据综合评分情况，按照评审</w:t>
      </w:r>
      <w:r>
        <w:rPr>
          <w:rFonts w:ascii="宋体" w:hAnsi="宋体" w:eastAsia="宋体" w:cs="宋体"/>
          <w:color w:val="auto"/>
          <w:spacing w:val="-1"/>
          <w:sz w:val="24"/>
          <w:szCs w:val="24"/>
          <w:highlight w:val="none"/>
        </w:rPr>
        <w:t>得分由高到低顺序推荐3名以上成交</w:t>
      </w:r>
      <w:r>
        <w:rPr>
          <w:rFonts w:ascii="宋体" w:hAnsi="宋体" w:eastAsia="宋体" w:cs="宋体"/>
          <w:color w:val="auto"/>
          <w:spacing w:val="-9"/>
          <w:sz w:val="24"/>
          <w:szCs w:val="24"/>
          <w:highlight w:val="none"/>
        </w:rPr>
        <w:t>候选供应商，并编写评审报告。符合《政府采购竞争性磋商采购方式管理暂</w:t>
      </w:r>
      <w:r>
        <w:rPr>
          <w:rFonts w:ascii="宋体" w:hAnsi="宋体" w:eastAsia="宋体" w:cs="宋体"/>
          <w:color w:val="auto"/>
          <w:spacing w:val="-10"/>
          <w:sz w:val="24"/>
          <w:szCs w:val="24"/>
          <w:highlight w:val="none"/>
        </w:rPr>
        <w:t>行办法》【（财</w:t>
      </w:r>
      <w:r>
        <w:rPr>
          <w:rFonts w:ascii="宋体" w:hAnsi="宋体" w:eastAsia="宋体" w:cs="宋体"/>
          <w:color w:val="auto"/>
          <w:spacing w:val="-3"/>
          <w:sz w:val="24"/>
          <w:szCs w:val="24"/>
          <w:highlight w:val="none"/>
        </w:rPr>
        <w:t>库2014）214号】第二十一条第三款情形的，可以推荐2家成交候选供应商。评审得分相同的，按照最后报价由低到高的顺序推荐。评审得分且最后报价相同</w:t>
      </w:r>
      <w:r>
        <w:rPr>
          <w:rFonts w:ascii="宋体" w:hAnsi="宋体" w:eastAsia="宋体" w:cs="宋体"/>
          <w:color w:val="auto"/>
          <w:spacing w:val="-4"/>
          <w:sz w:val="24"/>
          <w:szCs w:val="24"/>
          <w:highlight w:val="none"/>
        </w:rPr>
        <w:t>的，按照技术指标优劣</w:t>
      </w:r>
      <w:r>
        <w:rPr>
          <w:rFonts w:ascii="宋体" w:hAnsi="宋体" w:eastAsia="宋体" w:cs="宋体"/>
          <w:color w:val="auto"/>
          <w:spacing w:val="-3"/>
          <w:sz w:val="24"/>
          <w:szCs w:val="24"/>
          <w:highlight w:val="none"/>
        </w:rPr>
        <w:t>顺序推荐。</w:t>
      </w:r>
    </w:p>
    <w:p w14:paraId="79464429">
      <w:pPr>
        <w:spacing w:line="360" w:lineRule="auto"/>
        <w:ind w:firstLine="485"/>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33.2评审报告应当由磋商小组全体人员签字认可。磋商小组成员对评审报告有异议的，</w:t>
      </w:r>
      <w:r>
        <w:rPr>
          <w:rFonts w:ascii="宋体" w:hAnsi="宋体" w:eastAsia="宋体" w:cs="宋体"/>
          <w:color w:val="auto"/>
          <w:spacing w:val="-3"/>
          <w:sz w:val="24"/>
          <w:szCs w:val="24"/>
          <w:highlight w:val="none"/>
        </w:rPr>
        <w:t>磋商小组按照少数服从多数的原则推荐成交候选供应商，采购程序继续</w:t>
      </w:r>
      <w:r>
        <w:rPr>
          <w:rFonts w:ascii="宋体" w:hAnsi="宋体" w:eastAsia="宋体" w:cs="宋体"/>
          <w:color w:val="auto"/>
          <w:spacing w:val="-4"/>
          <w:sz w:val="24"/>
          <w:szCs w:val="24"/>
          <w:highlight w:val="none"/>
        </w:rPr>
        <w:t>进行。对评审报告</w:t>
      </w:r>
      <w:r>
        <w:rPr>
          <w:rFonts w:ascii="宋体" w:hAnsi="宋体" w:eastAsia="宋体" w:cs="宋体"/>
          <w:color w:val="auto"/>
          <w:spacing w:val="-3"/>
          <w:sz w:val="24"/>
          <w:szCs w:val="24"/>
          <w:highlight w:val="none"/>
        </w:rPr>
        <w:t>有异议的磋商小组成员，应当在报告上签署不同意见并说明理由，由磋</w:t>
      </w:r>
      <w:r>
        <w:rPr>
          <w:rFonts w:ascii="宋体" w:hAnsi="宋体" w:eastAsia="宋体" w:cs="宋体"/>
          <w:color w:val="auto"/>
          <w:spacing w:val="-4"/>
          <w:sz w:val="24"/>
          <w:szCs w:val="24"/>
          <w:highlight w:val="none"/>
        </w:rPr>
        <w:t>商小组书面记录相</w:t>
      </w:r>
      <w:r>
        <w:rPr>
          <w:rFonts w:ascii="宋体" w:hAnsi="宋体" w:eastAsia="宋体" w:cs="宋体"/>
          <w:color w:val="auto"/>
          <w:spacing w:val="-3"/>
          <w:sz w:val="24"/>
          <w:szCs w:val="24"/>
          <w:highlight w:val="none"/>
        </w:rPr>
        <w:t>关情况。磋商小组成员拒绝在报告上签字又不书面说明其不同意见和理</w:t>
      </w:r>
      <w:r>
        <w:rPr>
          <w:rFonts w:ascii="宋体" w:hAnsi="宋体" w:eastAsia="宋体" w:cs="宋体"/>
          <w:color w:val="auto"/>
          <w:spacing w:val="-4"/>
          <w:sz w:val="24"/>
          <w:szCs w:val="24"/>
          <w:highlight w:val="none"/>
        </w:rPr>
        <w:t>由的，视为同意评</w:t>
      </w:r>
      <w:r>
        <w:rPr>
          <w:rFonts w:ascii="宋体" w:hAnsi="宋体" w:eastAsia="宋体" w:cs="宋体"/>
          <w:color w:val="auto"/>
          <w:spacing w:val="-3"/>
          <w:sz w:val="24"/>
          <w:szCs w:val="24"/>
          <w:highlight w:val="none"/>
        </w:rPr>
        <w:t>审报告。</w:t>
      </w:r>
    </w:p>
    <w:p w14:paraId="183A82C8">
      <w:pPr>
        <w:spacing w:line="219" w:lineRule="auto"/>
        <w:ind w:left="5"/>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34.评审意见无效情形</w:t>
      </w:r>
    </w:p>
    <w:p w14:paraId="0CD2D5ED">
      <w:pPr>
        <w:spacing w:before="184" w:line="219" w:lineRule="auto"/>
        <w:ind w:left="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磋商小组及其成员有下列行为之一的，其评审意见无效：</w:t>
      </w:r>
    </w:p>
    <w:p w14:paraId="5E84CF6D">
      <w:pPr>
        <w:spacing w:before="182"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（1）确定参与评标至评标结束前私自接触供应商；</w:t>
      </w:r>
    </w:p>
    <w:p w14:paraId="3A64DD49">
      <w:pPr>
        <w:spacing w:before="183"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（2）接受供应商提出的与响应文件不一致的澄清或者说明；</w:t>
      </w:r>
    </w:p>
    <w:p w14:paraId="7767F3E4">
      <w:pPr>
        <w:spacing w:before="183"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（3）违反评标纪律发表倾向性意见或者征询采购人的倾向性意见；</w:t>
      </w:r>
    </w:p>
    <w:p w14:paraId="4829C337">
      <w:pPr>
        <w:spacing w:before="185"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（4）对需要专业判断的主观评审因素协商评分；</w:t>
      </w:r>
    </w:p>
    <w:p w14:paraId="3987DAF6">
      <w:pPr>
        <w:spacing w:before="183" w:line="220"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（5）在评标过程中擅离职守，影响评标程序正常进行的；</w:t>
      </w:r>
    </w:p>
    <w:p w14:paraId="46825DB7">
      <w:pPr>
        <w:spacing w:before="182"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（6）记录、复制或者带走任何评标资料；</w:t>
      </w:r>
    </w:p>
    <w:p w14:paraId="29F2132D">
      <w:pPr>
        <w:spacing w:before="183"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（7）其他不遵守评标纪律的行为。</w:t>
      </w:r>
    </w:p>
    <w:p w14:paraId="1BFA7E71">
      <w:pPr>
        <w:spacing w:before="183" w:line="220" w:lineRule="auto"/>
        <w:ind w:left="5"/>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35.保密</w:t>
      </w:r>
    </w:p>
    <w:p w14:paraId="4331B080">
      <w:pPr>
        <w:spacing w:before="182" w:line="362" w:lineRule="auto"/>
        <w:ind w:left="5" w:right="181" w:firstLine="48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35.1评审专家应当遵守评审工作纪律，不得泄露评审</w:t>
      </w:r>
      <w:r>
        <w:rPr>
          <w:rFonts w:ascii="宋体" w:hAnsi="宋体" w:eastAsia="宋体" w:cs="宋体"/>
          <w:color w:val="auto"/>
          <w:spacing w:val="-4"/>
          <w:sz w:val="24"/>
          <w:szCs w:val="24"/>
          <w:highlight w:val="none"/>
        </w:rPr>
        <w:t>文件、评审情况和评审中获悉的</w:t>
      </w:r>
      <w:r>
        <w:rPr>
          <w:rFonts w:ascii="宋体" w:hAnsi="宋体" w:eastAsia="宋体" w:cs="宋体"/>
          <w:color w:val="auto"/>
          <w:spacing w:val="-3"/>
          <w:sz w:val="24"/>
          <w:szCs w:val="24"/>
          <w:highlight w:val="none"/>
        </w:rPr>
        <w:t>商业秘密。</w:t>
      </w:r>
    </w:p>
    <w:p w14:paraId="320F66C1">
      <w:pPr>
        <w:spacing w:line="362" w:lineRule="auto"/>
        <w:rPr>
          <w:rFonts w:ascii="宋体" w:hAnsi="宋体" w:eastAsia="宋体" w:cs="宋体"/>
          <w:color w:val="auto"/>
          <w:sz w:val="24"/>
          <w:szCs w:val="24"/>
          <w:highlight w:val="none"/>
        </w:rPr>
        <w:sectPr>
          <w:footerReference r:id="rId28" w:type="default"/>
          <w:pgSz w:w="11906" w:h="16839"/>
          <w:pgMar w:top="1431" w:right="893" w:bottom="1443" w:left="1594" w:header="0" w:footer="1202" w:gutter="0"/>
          <w:pgNumType w:fmt="decimal"/>
          <w:cols w:space="720" w:num="1"/>
        </w:sectPr>
      </w:pPr>
    </w:p>
    <w:p w14:paraId="448283BF">
      <w:pPr>
        <w:spacing w:before="123" w:line="362" w:lineRule="auto"/>
        <w:ind w:left="2" w:firstLine="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35.2采购人、采购代理机构应当采取必要措施，</w:t>
      </w:r>
      <w:r>
        <w:rPr>
          <w:rFonts w:ascii="宋体" w:hAnsi="宋体" w:eastAsia="宋体" w:cs="宋体"/>
          <w:color w:val="auto"/>
          <w:spacing w:val="-2"/>
          <w:sz w:val="24"/>
          <w:szCs w:val="24"/>
          <w:highlight w:val="none"/>
        </w:rPr>
        <w:t>保证评标在严格保密的情况下进行。</w:t>
      </w:r>
      <w:r>
        <w:rPr>
          <w:rFonts w:ascii="宋体" w:hAnsi="宋体" w:eastAsia="宋体" w:cs="宋体"/>
          <w:color w:val="auto"/>
          <w:sz w:val="24"/>
          <w:szCs w:val="24"/>
          <w:highlight w:val="none"/>
        </w:rPr>
        <w:t>有关人员对评标情况以及在评标过程中获悉的国家秘密</w:t>
      </w:r>
      <w:r>
        <w:rPr>
          <w:rFonts w:ascii="宋体" w:hAnsi="宋体" w:eastAsia="宋体" w:cs="宋体"/>
          <w:color w:val="auto"/>
          <w:spacing w:val="-1"/>
          <w:sz w:val="24"/>
          <w:szCs w:val="24"/>
          <w:highlight w:val="none"/>
        </w:rPr>
        <w:t>、商业秘密负有保密责任。</w:t>
      </w:r>
    </w:p>
    <w:p w14:paraId="029D42BF">
      <w:pPr>
        <w:spacing w:before="38" w:line="226" w:lineRule="auto"/>
        <w:ind w:left="2973"/>
        <w:rPr>
          <w:rFonts w:ascii="宋体" w:hAnsi="宋体" w:eastAsia="宋体" w:cs="宋体"/>
          <w:color w:val="auto"/>
          <w:sz w:val="30"/>
          <w:szCs w:val="30"/>
          <w:highlight w:val="none"/>
        </w:rPr>
      </w:pPr>
      <w:r>
        <w:rPr>
          <w:rFonts w:ascii="宋体" w:hAnsi="宋体" w:eastAsia="宋体" w:cs="宋体"/>
          <w:b/>
          <w:bCs/>
          <w:color w:val="auto"/>
          <w:spacing w:val="6"/>
          <w:sz w:val="30"/>
          <w:szCs w:val="30"/>
          <w:highlight w:val="none"/>
        </w:rPr>
        <w:t>六、定标和授予合同</w:t>
      </w:r>
    </w:p>
    <w:p w14:paraId="638262CC">
      <w:pPr>
        <w:spacing w:before="213" w:line="220" w:lineRule="auto"/>
        <w:ind w:left="6"/>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36.确定中标人</w:t>
      </w:r>
    </w:p>
    <w:p w14:paraId="24CACEC4">
      <w:pPr>
        <w:spacing w:before="181" w:line="360" w:lineRule="auto"/>
        <w:ind w:left="4" w:right="80" w:firstLine="481"/>
        <w:rPr>
          <w:rFonts w:ascii="宋体" w:hAnsi="宋体" w:eastAsia="宋体" w:cs="宋体"/>
          <w:color w:val="auto"/>
          <w:sz w:val="24"/>
          <w:szCs w:val="24"/>
          <w:highlight w:val="none"/>
        </w:rPr>
      </w:pPr>
      <w:r>
        <w:rPr>
          <w:rFonts w:ascii="宋体" w:hAnsi="宋体" w:eastAsia="宋体" w:cs="宋体"/>
          <w:color w:val="auto"/>
          <w:sz w:val="24"/>
          <w:szCs w:val="24"/>
          <w:highlight w:val="none"/>
        </w:rPr>
        <w:t>36.1采购人应当自收到评标报告之日起1个工作</w:t>
      </w:r>
      <w:r>
        <w:rPr>
          <w:rFonts w:ascii="宋体" w:hAnsi="宋体" w:eastAsia="宋体" w:cs="宋体"/>
          <w:color w:val="auto"/>
          <w:spacing w:val="-1"/>
          <w:sz w:val="24"/>
          <w:szCs w:val="24"/>
          <w:highlight w:val="none"/>
        </w:rPr>
        <w:t>日内，在评标报告确定的成交候选人</w:t>
      </w:r>
      <w:r>
        <w:rPr>
          <w:rFonts w:ascii="宋体" w:hAnsi="宋体" w:eastAsia="宋体" w:cs="宋体"/>
          <w:color w:val="auto"/>
          <w:sz w:val="24"/>
          <w:szCs w:val="24"/>
          <w:highlight w:val="none"/>
        </w:rPr>
        <w:t>名单中按顺序确定成交人。成交候选人并列的，由采</w:t>
      </w:r>
      <w:r>
        <w:rPr>
          <w:rFonts w:ascii="宋体" w:hAnsi="宋体" w:eastAsia="宋体" w:cs="宋体"/>
          <w:color w:val="auto"/>
          <w:spacing w:val="-1"/>
          <w:sz w:val="24"/>
          <w:szCs w:val="24"/>
          <w:highlight w:val="none"/>
        </w:rPr>
        <w:t>购人采取随机抽取的方式确定。</w:t>
      </w:r>
    </w:p>
    <w:p w14:paraId="32A16287">
      <w:pPr>
        <w:spacing w:line="360" w:lineRule="auto"/>
        <w:ind w:left="3" w:right="75" w:firstLine="482"/>
        <w:rPr>
          <w:rFonts w:ascii="宋体" w:hAnsi="宋体" w:eastAsia="宋体" w:cs="宋体"/>
          <w:color w:val="auto"/>
          <w:sz w:val="24"/>
          <w:szCs w:val="24"/>
          <w:highlight w:val="none"/>
        </w:rPr>
      </w:pPr>
      <w:r>
        <w:rPr>
          <w:rFonts w:ascii="宋体" w:hAnsi="宋体" w:eastAsia="宋体" w:cs="宋体"/>
          <w:color w:val="auto"/>
          <w:sz w:val="24"/>
          <w:szCs w:val="24"/>
          <w:highlight w:val="none"/>
        </w:rPr>
        <w:t>36.2采购人在收到评标报告1个工作日内未按评</w:t>
      </w:r>
      <w:r>
        <w:rPr>
          <w:rFonts w:ascii="宋体" w:hAnsi="宋体" w:eastAsia="宋体" w:cs="宋体"/>
          <w:color w:val="auto"/>
          <w:spacing w:val="-1"/>
          <w:sz w:val="24"/>
          <w:szCs w:val="24"/>
          <w:highlight w:val="none"/>
        </w:rPr>
        <w:t>标报告推荐的成交候选人顺序确定成</w:t>
      </w:r>
      <w:r>
        <w:rPr>
          <w:rFonts w:ascii="宋体" w:hAnsi="宋体" w:eastAsia="宋体" w:cs="宋体"/>
          <w:color w:val="auto"/>
          <w:spacing w:val="-3"/>
          <w:sz w:val="24"/>
          <w:szCs w:val="24"/>
          <w:highlight w:val="none"/>
        </w:rPr>
        <w:t>交人，又不能说明合法理由的，视同按评标报告推荐的顺序确定</w:t>
      </w:r>
      <w:r>
        <w:rPr>
          <w:rFonts w:ascii="宋体" w:hAnsi="宋体" w:eastAsia="宋体" w:cs="宋体"/>
          <w:color w:val="auto"/>
          <w:spacing w:val="-4"/>
          <w:sz w:val="24"/>
          <w:szCs w:val="24"/>
          <w:highlight w:val="none"/>
        </w:rPr>
        <w:t>排名第一的成交候选人为</w:t>
      </w:r>
      <w:r>
        <w:rPr>
          <w:rFonts w:ascii="宋体" w:hAnsi="宋体" w:eastAsia="宋体" w:cs="宋体"/>
          <w:color w:val="auto"/>
          <w:spacing w:val="-3"/>
          <w:sz w:val="24"/>
          <w:szCs w:val="24"/>
          <w:highlight w:val="none"/>
        </w:rPr>
        <w:t>成交人。</w:t>
      </w:r>
    </w:p>
    <w:p w14:paraId="086B1CD6">
      <w:pPr>
        <w:spacing w:before="1" w:line="217" w:lineRule="auto"/>
        <w:ind w:left="6"/>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37.成交公告、发出成交通知书</w:t>
      </w:r>
    </w:p>
    <w:p w14:paraId="26E20836">
      <w:pPr>
        <w:spacing w:before="184" w:line="360" w:lineRule="auto"/>
        <w:ind w:left="13" w:right="75" w:firstLine="47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37.1采购人确认成交人后，采购人在发布公告成交结</w:t>
      </w:r>
      <w:r>
        <w:rPr>
          <w:rFonts w:ascii="宋体" w:hAnsi="宋体" w:eastAsia="宋体" w:cs="宋体"/>
          <w:color w:val="auto"/>
          <w:spacing w:val="-4"/>
          <w:sz w:val="24"/>
          <w:szCs w:val="24"/>
          <w:highlight w:val="none"/>
        </w:rPr>
        <w:t>果的同时，通知成交人核验投标</w:t>
      </w:r>
      <w:r>
        <w:rPr>
          <w:rFonts w:ascii="宋体" w:hAnsi="宋体" w:eastAsia="宋体" w:cs="宋体"/>
          <w:color w:val="auto"/>
          <w:spacing w:val="-1"/>
          <w:sz w:val="24"/>
          <w:szCs w:val="24"/>
          <w:highlight w:val="none"/>
        </w:rPr>
        <w:t>时由信用承诺函替代的证明材料。经核验无误后，发出成交通知书。</w:t>
      </w:r>
    </w:p>
    <w:p w14:paraId="766238F2">
      <w:pPr>
        <w:spacing w:before="2" w:line="359" w:lineRule="auto"/>
        <w:ind w:left="3" w:right="75" w:firstLine="48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37.2成交通知书发出后，采购人不得违法改变成交结</w:t>
      </w:r>
      <w:r>
        <w:rPr>
          <w:rFonts w:ascii="宋体" w:hAnsi="宋体" w:eastAsia="宋体" w:cs="宋体"/>
          <w:color w:val="auto"/>
          <w:spacing w:val="-4"/>
          <w:sz w:val="24"/>
          <w:szCs w:val="24"/>
          <w:highlight w:val="none"/>
        </w:rPr>
        <w:t>果，成交人无正当理由不得放弃成交。</w:t>
      </w:r>
    </w:p>
    <w:p w14:paraId="47E47765">
      <w:pPr>
        <w:spacing w:line="220" w:lineRule="auto"/>
        <w:ind w:left="6"/>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38.质疑提出与答复</w:t>
      </w:r>
    </w:p>
    <w:p w14:paraId="11955BBC">
      <w:pPr>
        <w:spacing w:before="182" w:line="360" w:lineRule="auto"/>
        <w:ind w:left="6" w:right="75" w:firstLine="48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38.1供应商认为磋商文件、采购过程和成交结果使自</w:t>
      </w:r>
      <w:r>
        <w:rPr>
          <w:rFonts w:ascii="宋体" w:hAnsi="宋体" w:eastAsia="宋体" w:cs="宋体"/>
          <w:color w:val="auto"/>
          <w:spacing w:val="-4"/>
          <w:sz w:val="24"/>
          <w:szCs w:val="24"/>
          <w:highlight w:val="none"/>
        </w:rPr>
        <w:t>己的权益受到损害的，可以按照</w:t>
      </w:r>
      <w:r>
        <w:rPr>
          <w:rFonts w:ascii="宋体" w:hAnsi="宋体" w:eastAsia="宋体" w:cs="宋体"/>
          <w:color w:val="auto"/>
          <w:spacing w:val="-3"/>
          <w:sz w:val="24"/>
          <w:szCs w:val="24"/>
          <w:highlight w:val="none"/>
        </w:rPr>
        <w:t>《政府采购质疑和投诉办法》（财政部令第94号）提出质疑。提</w:t>
      </w:r>
      <w:r>
        <w:rPr>
          <w:rFonts w:ascii="宋体" w:hAnsi="宋体" w:eastAsia="宋体" w:cs="宋体"/>
          <w:color w:val="auto"/>
          <w:spacing w:val="-4"/>
          <w:sz w:val="24"/>
          <w:szCs w:val="24"/>
          <w:highlight w:val="none"/>
        </w:rPr>
        <w:t>出质疑的供应商应当是参</w:t>
      </w:r>
      <w:r>
        <w:rPr>
          <w:rFonts w:ascii="宋体" w:hAnsi="宋体" w:eastAsia="宋体" w:cs="宋体"/>
          <w:color w:val="auto"/>
          <w:spacing w:val="-3"/>
          <w:sz w:val="24"/>
          <w:szCs w:val="24"/>
          <w:highlight w:val="none"/>
        </w:rPr>
        <w:t>与本项目采购活动的供应商。提出时应按照《政府采购质疑和投诉</w:t>
      </w:r>
      <w:r>
        <w:rPr>
          <w:rFonts w:ascii="宋体" w:hAnsi="宋体" w:eastAsia="宋体" w:cs="宋体"/>
          <w:color w:val="auto"/>
          <w:spacing w:val="-4"/>
          <w:sz w:val="24"/>
          <w:szCs w:val="24"/>
          <w:highlight w:val="none"/>
        </w:rPr>
        <w:t>办法》（财政部令第94</w:t>
      </w:r>
      <w:r>
        <w:rPr>
          <w:rFonts w:ascii="宋体" w:hAnsi="宋体" w:eastAsia="宋体" w:cs="宋体"/>
          <w:color w:val="auto"/>
          <w:spacing w:val="-1"/>
          <w:sz w:val="24"/>
          <w:szCs w:val="24"/>
          <w:highlight w:val="none"/>
        </w:rPr>
        <w:t>号）第十二条规定提交质疑函和必要的证明材料，如未提出视为全面接受。</w:t>
      </w:r>
    </w:p>
    <w:p w14:paraId="25016B8A">
      <w:pPr>
        <w:spacing w:line="360" w:lineRule="auto"/>
        <w:ind w:right="75" w:firstLine="48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38.1.1对采购文件提出质疑的，潜在供应商应已依法获取采</w:t>
      </w:r>
      <w:r>
        <w:rPr>
          <w:rFonts w:ascii="宋体" w:hAnsi="宋体" w:eastAsia="宋体" w:cs="宋体"/>
          <w:color w:val="auto"/>
          <w:spacing w:val="-4"/>
          <w:sz w:val="24"/>
          <w:szCs w:val="24"/>
          <w:highlight w:val="none"/>
        </w:rPr>
        <w:t>购文件，且应当在获取采</w:t>
      </w:r>
      <w:r>
        <w:rPr>
          <w:rFonts w:ascii="宋体" w:hAnsi="宋体" w:eastAsia="宋体" w:cs="宋体"/>
          <w:color w:val="auto"/>
          <w:sz w:val="24"/>
          <w:szCs w:val="24"/>
          <w:highlight w:val="none"/>
        </w:rPr>
        <w:t>购文件或者采购文件公告期限届满之日起7个工作日内使用CA数字证</w:t>
      </w:r>
      <w:r>
        <w:rPr>
          <w:rFonts w:ascii="宋体" w:hAnsi="宋体" w:eastAsia="宋体" w:cs="宋体"/>
          <w:color w:val="auto"/>
          <w:spacing w:val="-1"/>
          <w:sz w:val="24"/>
          <w:szCs w:val="24"/>
          <w:highlight w:val="none"/>
        </w:rPr>
        <w:t>书登录《全国公共资</w:t>
      </w:r>
      <w:r>
        <w:rPr>
          <w:rFonts w:ascii="宋体" w:hAnsi="宋体" w:eastAsia="宋体" w:cs="宋体"/>
          <w:color w:val="auto"/>
          <w:sz w:val="24"/>
          <w:szCs w:val="24"/>
          <w:highlight w:val="none"/>
        </w:rPr>
        <w:t>源交易平台（河南省·许昌市）》（</w:t>
      </w:r>
      <w:r>
        <w:rPr>
          <w:color w:val="auto"/>
          <w:highlight w:val="none"/>
        </w:rPr>
        <w:fldChar w:fldCharType="begin"/>
      </w:r>
      <w:r>
        <w:rPr>
          <w:color w:val="auto"/>
          <w:highlight w:val="none"/>
        </w:rPr>
        <w:instrText xml:space="preserve"> HYPERLINK "https://ggzy.xuchang.gov.cn" </w:instrText>
      </w:r>
      <w:r>
        <w:rPr>
          <w:color w:val="auto"/>
          <w:highlight w:val="none"/>
        </w:rPr>
        <w:fldChar w:fldCharType="separate"/>
      </w:r>
      <w:r>
        <w:rPr>
          <w:rFonts w:ascii="宋体" w:hAnsi="宋体" w:eastAsia="宋体" w:cs="宋体"/>
          <w:color w:val="auto"/>
          <w:sz w:val="24"/>
          <w:szCs w:val="24"/>
          <w:highlight w:val="none"/>
        </w:rPr>
        <w:t>https://ggzy.xuc</w:t>
      </w:r>
      <w:r>
        <w:rPr>
          <w:rFonts w:ascii="宋体" w:hAnsi="宋体" w:eastAsia="宋体" w:cs="宋体"/>
          <w:color w:val="auto"/>
          <w:spacing w:val="-1"/>
          <w:sz w:val="24"/>
          <w:szCs w:val="24"/>
          <w:highlight w:val="none"/>
        </w:rPr>
        <w:t>hang.gov.cn</w:t>
      </w:r>
      <w:r>
        <w:rPr>
          <w:rFonts w:ascii="宋体" w:hAnsi="宋体" w:eastAsia="宋体" w:cs="宋体"/>
          <w:color w:val="auto"/>
          <w:spacing w:val="-1"/>
          <w:sz w:val="24"/>
          <w:szCs w:val="24"/>
          <w:highlight w:val="none"/>
        </w:rPr>
        <w:fldChar w:fldCharType="end"/>
      </w:r>
      <w:r>
        <w:rPr>
          <w:rFonts w:ascii="宋体" w:hAnsi="宋体" w:eastAsia="宋体" w:cs="宋体"/>
          <w:color w:val="auto"/>
          <w:spacing w:val="4"/>
          <w:sz w:val="24"/>
          <w:szCs w:val="24"/>
          <w:highlight w:val="none"/>
        </w:rPr>
        <w:t>），</w:t>
      </w:r>
      <w:r>
        <w:rPr>
          <w:rFonts w:ascii="宋体" w:hAnsi="宋体" w:eastAsia="宋体" w:cs="宋体"/>
          <w:color w:val="auto"/>
          <w:spacing w:val="-1"/>
          <w:sz w:val="24"/>
          <w:szCs w:val="24"/>
          <w:highlight w:val="none"/>
        </w:rPr>
        <w:t>通过许昌市公共</w:t>
      </w:r>
      <w:r>
        <w:rPr>
          <w:rFonts w:ascii="宋体" w:hAnsi="宋体" w:eastAsia="宋体" w:cs="宋体"/>
          <w:color w:val="auto"/>
          <w:spacing w:val="-3"/>
          <w:sz w:val="24"/>
          <w:szCs w:val="24"/>
          <w:highlight w:val="none"/>
        </w:rPr>
        <w:t>资源电子交易系统一次性提出，逾期提交或未按照要求提交的质疑函将不</w:t>
      </w:r>
      <w:r>
        <w:rPr>
          <w:rFonts w:ascii="宋体" w:hAnsi="宋体" w:eastAsia="宋体" w:cs="宋体"/>
          <w:color w:val="auto"/>
          <w:spacing w:val="-4"/>
          <w:sz w:val="24"/>
          <w:szCs w:val="24"/>
          <w:highlight w:val="none"/>
        </w:rPr>
        <w:t>予受理。质疑提</w:t>
      </w:r>
      <w:r>
        <w:rPr>
          <w:rFonts w:ascii="宋体" w:hAnsi="宋体" w:eastAsia="宋体" w:cs="宋体"/>
          <w:color w:val="auto"/>
          <w:sz w:val="24"/>
          <w:szCs w:val="24"/>
          <w:highlight w:val="none"/>
        </w:rPr>
        <w:t>出后潜在投标人应及时联系招标公告中采购代</w:t>
      </w:r>
      <w:r>
        <w:rPr>
          <w:rFonts w:ascii="宋体" w:hAnsi="宋体" w:eastAsia="宋体" w:cs="宋体"/>
          <w:color w:val="auto"/>
          <w:spacing w:val="-1"/>
          <w:sz w:val="24"/>
          <w:szCs w:val="24"/>
          <w:highlight w:val="none"/>
        </w:rPr>
        <w:t>理机构联系人查看。</w:t>
      </w:r>
    </w:p>
    <w:p w14:paraId="48C098FB">
      <w:pPr>
        <w:spacing w:before="3" w:line="359" w:lineRule="auto"/>
        <w:ind w:left="2" w:right="75" w:firstLine="48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38.1.2对采购过程提出质疑的，为各采购程序环节结束之日</w:t>
      </w:r>
      <w:r>
        <w:rPr>
          <w:rFonts w:ascii="宋体" w:hAnsi="宋体" w:eastAsia="宋体" w:cs="宋体"/>
          <w:color w:val="auto"/>
          <w:spacing w:val="-4"/>
          <w:sz w:val="24"/>
          <w:szCs w:val="24"/>
          <w:highlight w:val="none"/>
        </w:rPr>
        <w:t>起七个工作日内，投标人</w:t>
      </w:r>
      <w:r>
        <w:rPr>
          <w:rFonts w:ascii="宋体" w:hAnsi="宋体" w:eastAsia="宋体" w:cs="宋体"/>
          <w:color w:val="auto"/>
          <w:spacing w:val="-3"/>
          <w:sz w:val="24"/>
          <w:szCs w:val="24"/>
          <w:highlight w:val="none"/>
        </w:rPr>
        <w:t>使用CA数字证书登录《全国公共资源交易平台（河南省</w:t>
      </w:r>
      <w:r>
        <w:rPr>
          <w:rFonts w:ascii="宋体" w:hAnsi="宋体" w:eastAsia="宋体" w:cs="宋体"/>
          <w:color w:val="auto"/>
          <w:spacing w:val="-16"/>
          <w:sz w:val="24"/>
          <w:szCs w:val="24"/>
          <w:highlight w:val="none"/>
        </w:rPr>
        <w:t xml:space="preserve"> </w:t>
      </w:r>
      <w:r>
        <w:rPr>
          <w:rFonts w:ascii="宋体" w:hAnsi="宋体" w:eastAsia="宋体" w:cs="宋体"/>
          <w:color w:val="auto"/>
          <w:spacing w:val="-3"/>
          <w:sz w:val="24"/>
          <w:szCs w:val="24"/>
          <w:highlight w:val="none"/>
        </w:rPr>
        <w:t>·许昌市）》</w:t>
      </w:r>
    </w:p>
    <w:p w14:paraId="63C0278F">
      <w:pPr>
        <w:spacing w:before="1" w:line="361" w:lineRule="auto"/>
        <w:ind w:right="75" w:firstLine="1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color w:val="auto"/>
          <w:highlight w:val="none"/>
        </w:rPr>
        <w:fldChar w:fldCharType="begin"/>
      </w:r>
      <w:r>
        <w:rPr>
          <w:color w:val="auto"/>
          <w:highlight w:val="none"/>
        </w:rPr>
        <w:instrText xml:space="preserve"> HYPERLINK "https://ggzy.xuchang.gov.cn" </w:instrText>
      </w:r>
      <w:r>
        <w:rPr>
          <w:color w:val="auto"/>
          <w:highlight w:val="none"/>
        </w:rPr>
        <w:fldChar w:fldCharType="separate"/>
      </w:r>
      <w:r>
        <w:rPr>
          <w:rFonts w:ascii="宋体" w:hAnsi="宋体" w:eastAsia="宋体" w:cs="宋体"/>
          <w:color w:val="auto"/>
          <w:spacing w:val="-1"/>
          <w:sz w:val="24"/>
          <w:szCs w:val="24"/>
          <w:highlight w:val="none"/>
        </w:rPr>
        <w:t>https://ggzy.xuchang.gov.cn</w:t>
      </w:r>
      <w:r>
        <w:rPr>
          <w:rFonts w:ascii="宋体" w:hAnsi="宋体" w:eastAsia="宋体" w:cs="宋体"/>
          <w:color w:val="auto"/>
          <w:spacing w:val="-1"/>
          <w:sz w:val="24"/>
          <w:szCs w:val="24"/>
          <w:highlight w:val="none"/>
        </w:rPr>
        <w:fldChar w:fldCharType="end"/>
      </w:r>
      <w:r>
        <w:rPr>
          <w:rFonts w:ascii="宋体" w:hAnsi="宋体" w:eastAsia="宋体" w:cs="宋体"/>
          <w:color w:val="auto"/>
          <w:spacing w:val="14"/>
          <w:sz w:val="24"/>
          <w:szCs w:val="24"/>
          <w:highlight w:val="none"/>
        </w:rPr>
        <w:t>），</w:t>
      </w:r>
      <w:r>
        <w:rPr>
          <w:rFonts w:ascii="宋体" w:hAnsi="宋体" w:eastAsia="宋体" w:cs="宋体"/>
          <w:color w:val="auto"/>
          <w:spacing w:val="-1"/>
          <w:sz w:val="24"/>
          <w:szCs w:val="24"/>
          <w:highlight w:val="none"/>
        </w:rPr>
        <w:t>通过许昌市公共资源电子交易系统一次性提出，逾</w:t>
      </w:r>
      <w:r>
        <w:rPr>
          <w:rFonts w:ascii="宋体" w:hAnsi="宋体" w:eastAsia="宋体" w:cs="宋体"/>
          <w:color w:val="auto"/>
          <w:spacing w:val="-3"/>
          <w:sz w:val="24"/>
          <w:szCs w:val="24"/>
          <w:highlight w:val="none"/>
        </w:rPr>
        <w:t>期提交或未按照要求提交的质疑函将不予受理。质疑提出后投标人应及</w:t>
      </w:r>
      <w:r>
        <w:rPr>
          <w:rFonts w:ascii="宋体" w:hAnsi="宋体" w:eastAsia="宋体" w:cs="宋体"/>
          <w:color w:val="auto"/>
          <w:spacing w:val="-4"/>
          <w:sz w:val="24"/>
          <w:szCs w:val="24"/>
          <w:highlight w:val="none"/>
        </w:rPr>
        <w:t>时联系招标公告中</w:t>
      </w:r>
      <w:r>
        <w:rPr>
          <w:rFonts w:ascii="宋体" w:hAnsi="宋体" w:eastAsia="宋体" w:cs="宋体"/>
          <w:color w:val="auto"/>
          <w:spacing w:val="-1"/>
          <w:sz w:val="24"/>
          <w:szCs w:val="24"/>
          <w:highlight w:val="none"/>
        </w:rPr>
        <w:t>采购代理机构联系人查看。</w:t>
      </w:r>
    </w:p>
    <w:p w14:paraId="14CC947E">
      <w:pPr>
        <w:spacing w:line="361" w:lineRule="auto"/>
        <w:rPr>
          <w:rFonts w:ascii="宋体" w:hAnsi="宋体" w:eastAsia="宋体" w:cs="宋体"/>
          <w:color w:val="auto"/>
          <w:sz w:val="24"/>
          <w:szCs w:val="24"/>
          <w:highlight w:val="none"/>
        </w:rPr>
        <w:sectPr>
          <w:footerReference r:id="rId29" w:type="default"/>
          <w:pgSz w:w="11906" w:h="16839"/>
          <w:pgMar w:top="1431" w:right="999" w:bottom="1443" w:left="1593" w:header="0" w:footer="1202" w:gutter="0"/>
          <w:pgNumType w:fmt="decimal"/>
          <w:cols w:space="720" w:num="1"/>
        </w:sectPr>
      </w:pPr>
    </w:p>
    <w:p w14:paraId="7A95D53A">
      <w:pPr>
        <w:spacing w:before="122" w:line="360" w:lineRule="auto"/>
        <w:ind w:left="3" w:right="219" w:firstLine="48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38.1.3对中标结果提出质疑的，为中标结果公告期限届满之</w:t>
      </w:r>
      <w:r>
        <w:rPr>
          <w:rFonts w:ascii="宋体" w:hAnsi="宋体" w:eastAsia="宋体" w:cs="宋体"/>
          <w:color w:val="auto"/>
          <w:spacing w:val="-4"/>
          <w:sz w:val="24"/>
          <w:szCs w:val="24"/>
          <w:highlight w:val="none"/>
        </w:rPr>
        <w:t>日起七个工作日内，投标</w:t>
      </w:r>
      <w:r>
        <w:rPr>
          <w:rFonts w:ascii="宋体" w:hAnsi="宋体" w:eastAsia="宋体" w:cs="宋体"/>
          <w:color w:val="auto"/>
          <w:spacing w:val="-3"/>
          <w:sz w:val="24"/>
          <w:szCs w:val="24"/>
          <w:highlight w:val="none"/>
        </w:rPr>
        <w:t>人使用CA数字证书登录《全国公共资源交易平台（河南省·许昌市）》</w:t>
      </w:r>
    </w:p>
    <w:p w14:paraId="566FD06C">
      <w:pPr>
        <w:spacing w:line="360" w:lineRule="auto"/>
        <w:ind w:right="219" w:firstLine="1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color w:val="auto"/>
          <w:highlight w:val="none"/>
        </w:rPr>
        <w:fldChar w:fldCharType="begin"/>
      </w:r>
      <w:r>
        <w:rPr>
          <w:color w:val="auto"/>
          <w:highlight w:val="none"/>
        </w:rPr>
        <w:instrText xml:space="preserve"> HYPERLINK "https://ggzy.xuchang.gov.cn" </w:instrText>
      </w:r>
      <w:r>
        <w:rPr>
          <w:color w:val="auto"/>
          <w:highlight w:val="none"/>
        </w:rPr>
        <w:fldChar w:fldCharType="separate"/>
      </w:r>
      <w:r>
        <w:rPr>
          <w:rFonts w:ascii="宋体" w:hAnsi="宋体" w:eastAsia="宋体" w:cs="宋体"/>
          <w:color w:val="auto"/>
          <w:spacing w:val="-1"/>
          <w:sz w:val="24"/>
          <w:szCs w:val="24"/>
          <w:highlight w:val="none"/>
        </w:rPr>
        <w:t>https://ggzy.xuchang.gov.cn</w:t>
      </w:r>
      <w:r>
        <w:rPr>
          <w:rFonts w:ascii="宋体" w:hAnsi="宋体" w:eastAsia="宋体" w:cs="宋体"/>
          <w:color w:val="auto"/>
          <w:spacing w:val="-1"/>
          <w:sz w:val="24"/>
          <w:szCs w:val="24"/>
          <w:highlight w:val="none"/>
        </w:rPr>
        <w:fldChar w:fldCharType="end"/>
      </w:r>
      <w:r>
        <w:rPr>
          <w:rFonts w:ascii="宋体" w:hAnsi="宋体" w:eastAsia="宋体" w:cs="宋体"/>
          <w:color w:val="auto"/>
          <w:spacing w:val="14"/>
          <w:sz w:val="24"/>
          <w:szCs w:val="24"/>
          <w:highlight w:val="none"/>
        </w:rPr>
        <w:t>），</w:t>
      </w:r>
      <w:r>
        <w:rPr>
          <w:rFonts w:ascii="宋体" w:hAnsi="宋体" w:eastAsia="宋体" w:cs="宋体"/>
          <w:color w:val="auto"/>
          <w:spacing w:val="-1"/>
          <w:sz w:val="24"/>
          <w:szCs w:val="24"/>
          <w:highlight w:val="none"/>
        </w:rPr>
        <w:t>通过许昌市公共资源电子交易系统一次性提出，逾</w:t>
      </w:r>
      <w:r>
        <w:rPr>
          <w:rFonts w:ascii="宋体" w:hAnsi="宋体" w:eastAsia="宋体" w:cs="宋体"/>
          <w:color w:val="auto"/>
          <w:spacing w:val="-3"/>
          <w:sz w:val="24"/>
          <w:szCs w:val="24"/>
          <w:highlight w:val="none"/>
        </w:rPr>
        <w:t>期提交或未按照要求提交的质疑函将不予受理。质疑提出后投标人应及</w:t>
      </w:r>
      <w:r>
        <w:rPr>
          <w:rFonts w:ascii="宋体" w:hAnsi="宋体" w:eastAsia="宋体" w:cs="宋体"/>
          <w:color w:val="auto"/>
          <w:spacing w:val="-4"/>
          <w:sz w:val="24"/>
          <w:szCs w:val="24"/>
          <w:highlight w:val="none"/>
        </w:rPr>
        <w:t>时联系招标公告中</w:t>
      </w:r>
      <w:r>
        <w:rPr>
          <w:rFonts w:ascii="宋体" w:hAnsi="宋体" w:eastAsia="宋体" w:cs="宋体"/>
          <w:color w:val="auto"/>
          <w:spacing w:val="-1"/>
          <w:sz w:val="24"/>
          <w:szCs w:val="24"/>
          <w:highlight w:val="none"/>
        </w:rPr>
        <w:t>采购代理机构联系人查看。</w:t>
      </w:r>
    </w:p>
    <w:p w14:paraId="3758B496">
      <w:pPr>
        <w:spacing w:before="2" w:line="359" w:lineRule="auto"/>
        <w:ind w:left="14" w:right="219" w:firstLine="47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38.2采购人、采购代理机构认为供应商质疑不成立，</w:t>
      </w:r>
      <w:r>
        <w:rPr>
          <w:rFonts w:ascii="宋体" w:hAnsi="宋体" w:eastAsia="宋体" w:cs="宋体"/>
          <w:color w:val="auto"/>
          <w:spacing w:val="-4"/>
          <w:sz w:val="24"/>
          <w:szCs w:val="24"/>
          <w:highlight w:val="none"/>
        </w:rPr>
        <w:t>或者成立但未对成交结果构成影</w:t>
      </w:r>
      <w:r>
        <w:rPr>
          <w:rFonts w:ascii="宋体" w:hAnsi="宋体" w:eastAsia="宋体" w:cs="宋体"/>
          <w:color w:val="auto"/>
          <w:spacing w:val="-2"/>
          <w:sz w:val="24"/>
          <w:szCs w:val="24"/>
          <w:highlight w:val="none"/>
        </w:rPr>
        <w:t>响的，在收到质疑函7个工作日内通过《全国公共</w:t>
      </w:r>
      <w:r>
        <w:rPr>
          <w:rFonts w:ascii="宋体" w:hAnsi="宋体" w:eastAsia="宋体" w:cs="宋体"/>
          <w:color w:val="auto"/>
          <w:spacing w:val="-3"/>
          <w:sz w:val="24"/>
          <w:szCs w:val="24"/>
          <w:highlight w:val="none"/>
        </w:rPr>
        <w:t>资源交易平台（河南省</w:t>
      </w:r>
      <w:r>
        <w:rPr>
          <w:rFonts w:ascii="宋体" w:hAnsi="宋体" w:eastAsia="宋体" w:cs="宋体"/>
          <w:color w:val="auto"/>
          <w:spacing w:val="-29"/>
          <w:sz w:val="24"/>
          <w:szCs w:val="24"/>
          <w:highlight w:val="none"/>
        </w:rPr>
        <w:t xml:space="preserve"> </w:t>
      </w:r>
      <w:r>
        <w:rPr>
          <w:rFonts w:ascii="宋体" w:hAnsi="宋体" w:eastAsia="宋体" w:cs="宋体"/>
          <w:color w:val="auto"/>
          <w:spacing w:val="-3"/>
          <w:sz w:val="24"/>
          <w:szCs w:val="24"/>
          <w:highlight w:val="none"/>
        </w:rPr>
        <w:t>·许昌市）》</w:t>
      </w:r>
    </w:p>
    <w:p w14:paraId="576EBB48">
      <w:pPr>
        <w:spacing w:before="5" w:line="359" w:lineRule="auto"/>
        <w:ind w:firstLine="13"/>
        <w:rPr>
          <w:rFonts w:ascii="宋体" w:hAnsi="宋体" w:eastAsia="宋体" w:cs="宋体"/>
          <w:color w:val="auto"/>
          <w:sz w:val="24"/>
          <w:szCs w:val="24"/>
          <w:highlight w:val="none"/>
        </w:rPr>
      </w:pPr>
      <w:r>
        <w:rPr>
          <w:rFonts w:ascii="宋体" w:hAnsi="宋体" w:eastAsia="宋体" w:cs="宋体"/>
          <w:color w:val="auto"/>
          <w:sz w:val="24"/>
          <w:szCs w:val="24"/>
          <w:highlight w:val="none"/>
        </w:rPr>
        <w:t>（</w:t>
      </w:r>
      <w:r>
        <w:rPr>
          <w:color w:val="auto"/>
          <w:highlight w:val="none"/>
        </w:rPr>
        <w:fldChar w:fldCharType="begin"/>
      </w:r>
      <w:r>
        <w:rPr>
          <w:color w:val="auto"/>
          <w:highlight w:val="none"/>
        </w:rPr>
        <w:instrText xml:space="preserve"> HYPERLINK "https://ggzy.xuchang.gov.cn" </w:instrText>
      </w:r>
      <w:r>
        <w:rPr>
          <w:color w:val="auto"/>
          <w:highlight w:val="none"/>
        </w:rPr>
        <w:fldChar w:fldCharType="separate"/>
      </w:r>
      <w:r>
        <w:rPr>
          <w:rFonts w:ascii="宋体" w:hAnsi="宋体" w:eastAsia="宋体" w:cs="宋体"/>
          <w:color w:val="auto"/>
          <w:sz w:val="24"/>
          <w:szCs w:val="24"/>
          <w:highlight w:val="none"/>
        </w:rPr>
        <w:t>https://ggzy.xuchang.gov.cn</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t>）—</w:t>
      </w:r>
      <w:r>
        <w:rPr>
          <w:rFonts w:ascii="宋体" w:hAnsi="宋体" w:eastAsia="宋体" w:cs="宋体"/>
          <w:color w:val="auto"/>
          <w:spacing w:val="-1"/>
          <w:sz w:val="24"/>
          <w:szCs w:val="24"/>
          <w:highlight w:val="none"/>
        </w:rPr>
        <w:t>—许昌市公共资源电子交易系统作出答复，并继续</w:t>
      </w:r>
      <w:r>
        <w:rPr>
          <w:rFonts w:ascii="宋体" w:hAnsi="宋体" w:eastAsia="宋体" w:cs="宋体"/>
          <w:color w:val="auto"/>
          <w:sz w:val="24"/>
          <w:szCs w:val="24"/>
          <w:highlight w:val="none"/>
        </w:rPr>
        <w:t>开展采购活动；认为供应商质疑成立且影响或者可能影响成交结果的</w:t>
      </w:r>
      <w:r>
        <w:rPr>
          <w:rFonts w:ascii="宋体" w:hAnsi="宋体" w:eastAsia="宋体" w:cs="宋体"/>
          <w:color w:val="auto"/>
          <w:spacing w:val="-1"/>
          <w:sz w:val="24"/>
          <w:szCs w:val="24"/>
          <w:highlight w:val="none"/>
        </w:rPr>
        <w:t>，在收到质疑函7个</w:t>
      </w:r>
      <w:r>
        <w:rPr>
          <w:rFonts w:ascii="宋体" w:hAnsi="宋体" w:eastAsia="宋体" w:cs="宋体"/>
          <w:color w:val="auto"/>
          <w:spacing w:val="-13"/>
          <w:sz w:val="24"/>
          <w:szCs w:val="24"/>
          <w:highlight w:val="none"/>
        </w:rPr>
        <w:t>工作日内通过《全国公共资源交易平台（河南省·许昌市）》（</w:t>
      </w:r>
      <w:r>
        <w:rPr>
          <w:color w:val="auto"/>
          <w:highlight w:val="none"/>
        </w:rPr>
        <w:fldChar w:fldCharType="begin"/>
      </w:r>
      <w:r>
        <w:rPr>
          <w:color w:val="auto"/>
          <w:highlight w:val="none"/>
        </w:rPr>
        <w:instrText xml:space="preserve"> HYPERLINK "https://ggzy.xuchang.gov.cn" </w:instrText>
      </w:r>
      <w:r>
        <w:rPr>
          <w:color w:val="auto"/>
          <w:highlight w:val="none"/>
        </w:rPr>
        <w:fldChar w:fldCharType="separate"/>
      </w:r>
      <w:r>
        <w:rPr>
          <w:rFonts w:ascii="宋体" w:hAnsi="宋体" w:eastAsia="宋体" w:cs="宋体"/>
          <w:color w:val="auto"/>
          <w:spacing w:val="-13"/>
          <w:sz w:val="24"/>
          <w:szCs w:val="24"/>
          <w:highlight w:val="none"/>
        </w:rPr>
        <w:t>https://ggz</w:t>
      </w:r>
      <w:r>
        <w:rPr>
          <w:rFonts w:ascii="宋体" w:hAnsi="宋体" w:eastAsia="宋体" w:cs="宋体"/>
          <w:color w:val="auto"/>
          <w:spacing w:val="-14"/>
          <w:sz w:val="24"/>
          <w:szCs w:val="24"/>
          <w:highlight w:val="none"/>
        </w:rPr>
        <w:t>y.xuchang.gov.cn</w:t>
      </w:r>
      <w:r>
        <w:rPr>
          <w:rFonts w:ascii="宋体" w:hAnsi="宋体" w:eastAsia="宋体" w:cs="宋体"/>
          <w:color w:val="auto"/>
          <w:spacing w:val="-14"/>
          <w:sz w:val="24"/>
          <w:szCs w:val="24"/>
          <w:highlight w:val="none"/>
        </w:rPr>
        <w:fldChar w:fldCharType="end"/>
      </w:r>
      <w:r>
        <w:rPr>
          <w:rFonts w:ascii="宋体" w:hAnsi="宋体" w:eastAsia="宋体" w:cs="宋体"/>
          <w:color w:val="auto"/>
          <w:spacing w:val="-14"/>
          <w:sz w:val="24"/>
          <w:szCs w:val="24"/>
          <w:highlight w:val="none"/>
        </w:rPr>
        <w:t>）</w:t>
      </w:r>
      <w:r>
        <w:rPr>
          <w:rFonts w:ascii="宋体" w:hAnsi="宋体" w:eastAsia="宋体" w:cs="宋体"/>
          <w:color w:val="auto"/>
          <w:sz w:val="24"/>
          <w:szCs w:val="24"/>
          <w:highlight w:val="none"/>
        </w:rPr>
        <w:t xml:space="preserve"> ——许昌市公共资源电子交易系统作出答复，并</w:t>
      </w:r>
      <w:r>
        <w:rPr>
          <w:rFonts w:ascii="宋体" w:hAnsi="宋体" w:eastAsia="宋体" w:cs="宋体"/>
          <w:color w:val="auto"/>
          <w:spacing w:val="-1"/>
          <w:sz w:val="24"/>
          <w:szCs w:val="24"/>
          <w:highlight w:val="none"/>
        </w:rPr>
        <w:t>按照下列情况处理：</w:t>
      </w:r>
    </w:p>
    <w:p w14:paraId="3B98FC27">
      <w:pPr>
        <w:spacing w:line="360" w:lineRule="auto"/>
        <w:ind w:left="1" w:right="143" w:firstLine="48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38.2.1对磋商文件提出的质疑，依法通过澄清或者修改可以</w:t>
      </w:r>
      <w:r>
        <w:rPr>
          <w:rFonts w:ascii="宋体" w:hAnsi="宋体" w:eastAsia="宋体" w:cs="宋体"/>
          <w:color w:val="auto"/>
          <w:spacing w:val="-4"/>
          <w:sz w:val="24"/>
          <w:szCs w:val="24"/>
          <w:highlight w:val="none"/>
        </w:rPr>
        <w:t>继续开展采购活动的，澄</w:t>
      </w:r>
      <w:r>
        <w:rPr>
          <w:rFonts w:ascii="宋体" w:hAnsi="宋体" w:eastAsia="宋体" w:cs="宋体"/>
          <w:color w:val="auto"/>
          <w:spacing w:val="-1"/>
          <w:sz w:val="24"/>
          <w:szCs w:val="24"/>
          <w:highlight w:val="none"/>
        </w:rPr>
        <w:t>清或者修改磋商文件后继续开展采购活动；否则应当修改磋商</w:t>
      </w:r>
      <w:r>
        <w:rPr>
          <w:rFonts w:ascii="宋体" w:hAnsi="宋体" w:eastAsia="宋体" w:cs="宋体"/>
          <w:color w:val="auto"/>
          <w:spacing w:val="-2"/>
          <w:sz w:val="24"/>
          <w:szCs w:val="24"/>
          <w:highlight w:val="none"/>
        </w:rPr>
        <w:t>文件后重新开展采购活动。</w:t>
      </w:r>
    </w:p>
    <w:p w14:paraId="03F318D0">
      <w:pPr>
        <w:spacing w:before="3" w:line="359" w:lineRule="auto"/>
        <w:ind w:left="3" w:right="219" w:firstLine="48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38.2.2对采购过程、成交结果提出的质疑，合格供应商符合</w:t>
      </w:r>
      <w:r>
        <w:rPr>
          <w:rFonts w:ascii="宋体" w:hAnsi="宋体" w:eastAsia="宋体" w:cs="宋体"/>
          <w:color w:val="auto"/>
          <w:spacing w:val="-4"/>
          <w:sz w:val="24"/>
          <w:szCs w:val="24"/>
          <w:highlight w:val="none"/>
        </w:rPr>
        <w:t>法定数量时，可以从合格</w:t>
      </w:r>
      <w:r>
        <w:rPr>
          <w:rFonts w:ascii="宋体" w:hAnsi="宋体" w:eastAsia="宋体" w:cs="宋体"/>
          <w:color w:val="auto"/>
          <w:spacing w:val="-3"/>
          <w:sz w:val="24"/>
          <w:szCs w:val="24"/>
          <w:highlight w:val="none"/>
        </w:rPr>
        <w:t>的成交候选人中另行确定成交供应商的，应当依法另行确定成交</w:t>
      </w:r>
      <w:r>
        <w:rPr>
          <w:rFonts w:ascii="宋体" w:hAnsi="宋体" w:eastAsia="宋体" w:cs="宋体"/>
          <w:color w:val="auto"/>
          <w:spacing w:val="-4"/>
          <w:sz w:val="24"/>
          <w:szCs w:val="24"/>
          <w:highlight w:val="none"/>
        </w:rPr>
        <w:t>供应商；否则应当重新开</w:t>
      </w:r>
      <w:r>
        <w:rPr>
          <w:rFonts w:ascii="宋体" w:hAnsi="宋体" w:eastAsia="宋体" w:cs="宋体"/>
          <w:color w:val="auto"/>
          <w:spacing w:val="-2"/>
          <w:sz w:val="24"/>
          <w:szCs w:val="24"/>
          <w:highlight w:val="none"/>
        </w:rPr>
        <w:t>展采购活动。</w:t>
      </w:r>
    </w:p>
    <w:p w14:paraId="3260FFE5">
      <w:pPr>
        <w:spacing w:line="220" w:lineRule="auto"/>
        <w:ind w:left="6"/>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39.投诉</w:t>
      </w:r>
    </w:p>
    <w:p w14:paraId="16DA591E">
      <w:pPr>
        <w:spacing w:before="182" w:line="360" w:lineRule="auto"/>
        <w:ind w:left="3" w:right="219" w:firstLine="48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39.1若对质疑答复不满意或质疑答复未在答复期限内</w:t>
      </w:r>
      <w:r>
        <w:rPr>
          <w:rFonts w:ascii="宋体" w:hAnsi="宋体" w:eastAsia="宋体" w:cs="宋体"/>
          <w:color w:val="auto"/>
          <w:spacing w:val="-4"/>
          <w:sz w:val="24"/>
          <w:szCs w:val="24"/>
          <w:highlight w:val="none"/>
        </w:rPr>
        <w:t>作出，质疑供应商可在答复期满</w:t>
      </w:r>
      <w:r>
        <w:rPr>
          <w:rFonts w:ascii="宋体" w:hAnsi="宋体" w:eastAsia="宋体" w:cs="宋体"/>
          <w:color w:val="auto"/>
          <w:spacing w:val="-3"/>
          <w:sz w:val="24"/>
          <w:szCs w:val="24"/>
          <w:highlight w:val="none"/>
        </w:rPr>
        <w:t>后15个工作日内按照《政府采购质疑和投诉办法》的有关规定向招标文</w:t>
      </w:r>
      <w:r>
        <w:rPr>
          <w:rFonts w:ascii="宋体" w:hAnsi="宋体" w:eastAsia="宋体" w:cs="宋体"/>
          <w:color w:val="auto"/>
          <w:spacing w:val="-4"/>
          <w:sz w:val="24"/>
          <w:szCs w:val="24"/>
          <w:highlight w:val="none"/>
        </w:rPr>
        <w:t>件第一章载明的本</w:t>
      </w:r>
      <w:r>
        <w:rPr>
          <w:rFonts w:ascii="宋体" w:hAnsi="宋体" w:eastAsia="宋体" w:cs="宋体"/>
          <w:color w:val="auto"/>
          <w:spacing w:val="-1"/>
          <w:sz w:val="24"/>
          <w:szCs w:val="24"/>
          <w:highlight w:val="none"/>
        </w:rPr>
        <w:t>项目监督管理部门提起投诉。</w:t>
      </w:r>
    </w:p>
    <w:p w14:paraId="6326A5AC">
      <w:pPr>
        <w:spacing w:before="1" w:line="218" w:lineRule="auto"/>
        <w:jc w:val="right"/>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39.2投诉应有明确的请求和必要的证明材料，投诉的事项不得</w:t>
      </w:r>
      <w:r>
        <w:rPr>
          <w:rFonts w:ascii="宋体" w:hAnsi="宋体" w:eastAsia="宋体" w:cs="宋体"/>
          <w:color w:val="auto"/>
          <w:spacing w:val="-5"/>
          <w:sz w:val="24"/>
          <w:szCs w:val="24"/>
          <w:highlight w:val="none"/>
        </w:rPr>
        <w:t>超出已质疑事项的范围。</w:t>
      </w:r>
    </w:p>
    <w:p w14:paraId="00C2E1A2">
      <w:pPr>
        <w:spacing w:before="184" w:line="221" w:lineRule="auto"/>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40.签订合同</w:t>
      </w:r>
    </w:p>
    <w:p w14:paraId="728B3191">
      <w:pPr>
        <w:spacing w:before="180" w:line="360" w:lineRule="auto"/>
        <w:ind w:left="2" w:right="157" w:firstLine="478"/>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采购人应当自成交通知书发出之日起2日内，按照磋商文件和成交人响应文件的规定，</w:t>
      </w:r>
      <w:r>
        <w:rPr>
          <w:rFonts w:ascii="宋体" w:hAnsi="宋体" w:eastAsia="宋体" w:cs="宋体"/>
          <w:color w:val="auto"/>
          <w:spacing w:val="-3"/>
          <w:sz w:val="24"/>
          <w:szCs w:val="24"/>
          <w:highlight w:val="none"/>
        </w:rPr>
        <w:t>与成交人签订书面合同。所签订的合同不得对磋商文件确定的事项</w:t>
      </w:r>
      <w:r>
        <w:rPr>
          <w:rFonts w:ascii="宋体" w:hAnsi="宋体" w:eastAsia="宋体" w:cs="宋体"/>
          <w:color w:val="auto"/>
          <w:spacing w:val="-4"/>
          <w:sz w:val="24"/>
          <w:szCs w:val="24"/>
          <w:highlight w:val="none"/>
        </w:rPr>
        <w:t>和成交人响应文件作实</w:t>
      </w:r>
      <w:r>
        <w:rPr>
          <w:rFonts w:ascii="宋体" w:hAnsi="宋体" w:eastAsia="宋体" w:cs="宋体"/>
          <w:color w:val="auto"/>
          <w:spacing w:val="-3"/>
          <w:sz w:val="24"/>
          <w:szCs w:val="24"/>
          <w:highlight w:val="none"/>
        </w:rPr>
        <w:t>质性修改。</w:t>
      </w:r>
    </w:p>
    <w:p w14:paraId="57B4ADC5">
      <w:pPr>
        <w:spacing w:before="3" w:line="359" w:lineRule="auto"/>
        <w:ind w:left="4" w:right="223" w:firstLine="476"/>
        <w:rPr>
          <w:rFonts w:ascii="宋体" w:hAnsi="宋体" w:eastAsia="宋体" w:cs="宋体"/>
          <w:color w:val="auto"/>
          <w:sz w:val="24"/>
          <w:szCs w:val="24"/>
          <w:highlight w:val="none"/>
        </w:rPr>
      </w:pPr>
      <w:r>
        <w:rPr>
          <w:rFonts w:ascii="宋体" w:hAnsi="宋体" w:eastAsia="宋体" w:cs="宋体"/>
          <w:color w:val="auto"/>
          <w:sz w:val="24"/>
          <w:szCs w:val="24"/>
          <w:highlight w:val="none"/>
        </w:rPr>
        <w:t>采购人自采购合同签订之日起，1个工作日内到许昌市建安区</w:t>
      </w:r>
      <w:r>
        <w:rPr>
          <w:rFonts w:ascii="宋体" w:hAnsi="宋体" w:eastAsia="宋体" w:cs="宋体"/>
          <w:color w:val="auto"/>
          <w:spacing w:val="-1"/>
          <w:sz w:val="24"/>
          <w:szCs w:val="24"/>
          <w:highlight w:val="none"/>
        </w:rPr>
        <w:t>财政局采购办进行合同</w:t>
      </w:r>
      <w:r>
        <w:rPr>
          <w:rFonts w:ascii="宋体" w:hAnsi="宋体" w:eastAsia="宋体" w:cs="宋体"/>
          <w:color w:val="auto"/>
          <w:spacing w:val="-2"/>
          <w:sz w:val="24"/>
          <w:szCs w:val="24"/>
          <w:highlight w:val="none"/>
        </w:rPr>
        <w:t>备案，并登录“河南省政府采购网</w:t>
      </w:r>
      <w:r>
        <w:rPr>
          <w:rFonts w:ascii="宋体" w:hAnsi="宋体" w:eastAsia="宋体" w:cs="宋体"/>
          <w:color w:val="auto"/>
          <w:spacing w:val="-88"/>
          <w:sz w:val="24"/>
          <w:szCs w:val="24"/>
          <w:highlight w:val="none"/>
        </w:rPr>
        <w:t xml:space="preserve"> </w:t>
      </w:r>
      <w:r>
        <w:rPr>
          <w:rFonts w:ascii="宋体" w:hAnsi="宋体" w:eastAsia="宋体" w:cs="宋体"/>
          <w:color w:val="auto"/>
          <w:spacing w:val="-2"/>
          <w:sz w:val="24"/>
          <w:szCs w:val="24"/>
          <w:highlight w:val="none"/>
        </w:rPr>
        <w:t>”进行网上备案。</w:t>
      </w:r>
    </w:p>
    <w:p w14:paraId="47AB8BB7">
      <w:pPr>
        <w:spacing w:line="220" w:lineRule="auto"/>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41.履约保证金</w:t>
      </w:r>
    </w:p>
    <w:p w14:paraId="3C65017E">
      <w:pPr>
        <w:spacing w:before="181" w:line="219" w:lineRule="auto"/>
        <w:ind w:left="481"/>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根据《许昌市建安区财政局关于加大政府采购支持中小企业力度有关事项的通知》（建</w:t>
      </w:r>
    </w:p>
    <w:p w14:paraId="652BC891">
      <w:pPr>
        <w:spacing w:line="219" w:lineRule="auto"/>
        <w:rPr>
          <w:rFonts w:ascii="宋体" w:hAnsi="宋体" w:eastAsia="宋体" w:cs="宋体"/>
          <w:color w:val="auto"/>
          <w:sz w:val="24"/>
          <w:szCs w:val="24"/>
          <w:highlight w:val="none"/>
        </w:rPr>
        <w:sectPr>
          <w:footerReference r:id="rId30" w:type="default"/>
          <w:pgSz w:w="11906" w:h="16839"/>
          <w:pgMar w:top="1431" w:right="855" w:bottom="1443" w:left="1593" w:header="0" w:footer="1202" w:gutter="0"/>
          <w:pgNumType w:fmt="decimal"/>
          <w:cols w:space="720" w:num="1"/>
        </w:sectPr>
      </w:pPr>
    </w:p>
    <w:p w14:paraId="2CC2A46D">
      <w:pPr>
        <w:spacing w:before="122" w:line="219" w:lineRule="auto"/>
        <w:ind w:left="6"/>
        <w:rPr>
          <w:rFonts w:ascii="宋体" w:hAnsi="宋体" w:eastAsia="宋体" w:cs="宋体"/>
          <w:color w:val="auto"/>
          <w:sz w:val="24"/>
          <w:szCs w:val="24"/>
          <w:highlight w:val="none"/>
        </w:rPr>
      </w:pPr>
      <w:r>
        <w:rPr>
          <w:rFonts w:ascii="宋体" w:hAnsi="宋体" w:eastAsia="宋体" w:cs="宋体"/>
          <w:color w:val="auto"/>
          <w:sz w:val="24"/>
          <w:szCs w:val="24"/>
          <w:highlight w:val="none"/>
        </w:rPr>
        <w:t>安财购〔2022〕1号）要求自2022年7月1日</w:t>
      </w:r>
      <w:r>
        <w:rPr>
          <w:rFonts w:ascii="宋体" w:hAnsi="宋体" w:eastAsia="宋体" w:cs="宋体"/>
          <w:color w:val="auto"/>
          <w:spacing w:val="-1"/>
          <w:sz w:val="24"/>
          <w:szCs w:val="24"/>
          <w:highlight w:val="none"/>
        </w:rPr>
        <w:t>起，全面取消政府采购履约保证金。</w:t>
      </w:r>
    </w:p>
    <w:p w14:paraId="774B3E3C">
      <w:pPr>
        <w:spacing w:before="183" w:line="219" w:lineRule="auto"/>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42.政府采购合同融资</w:t>
      </w:r>
    </w:p>
    <w:p w14:paraId="27515C71">
      <w:pPr>
        <w:spacing w:before="184" w:line="219" w:lineRule="auto"/>
        <w:ind w:left="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42.1缓解中小企业融资难题</w:t>
      </w:r>
    </w:p>
    <w:p w14:paraId="3B5C10EB">
      <w:pPr>
        <w:spacing w:before="182" w:line="360" w:lineRule="auto"/>
        <w:ind w:firstLine="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政府采购合同融资是支持中小微企业发展，针对参与政</w:t>
      </w:r>
      <w:r>
        <w:rPr>
          <w:rFonts w:ascii="宋体" w:hAnsi="宋体" w:eastAsia="宋体" w:cs="宋体"/>
          <w:color w:val="auto"/>
          <w:spacing w:val="-2"/>
          <w:sz w:val="24"/>
          <w:szCs w:val="24"/>
          <w:highlight w:val="none"/>
        </w:rPr>
        <w:t>府采购活动的供应商融资难、</w:t>
      </w:r>
      <w:r>
        <w:rPr>
          <w:rFonts w:ascii="宋体" w:hAnsi="宋体" w:eastAsia="宋体" w:cs="宋体"/>
          <w:color w:val="auto"/>
          <w:spacing w:val="-3"/>
          <w:sz w:val="24"/>
          <w:szCs w:val="24"/>
          <w:highlight w:val="none"/>
        </w:rPr>
        <w:t>融资贵问题推出的一项融资政策。根据河南省财政厅《关于印发深入推进</w:t>
      </w:r>
      <w:r>
        <w:rPr>
          <w:rFonts w:ascii="宋体" w:hAnsi="宋体" w:eastAsia="宋体" w:cs="宋体"/>
          <w:color w:val="auto"/>
          <w:spacing w:val="-4"/>
          <w:sz w:val="24"/>
          <w:szCs w:val="24"/>
          <w:highlight w:val="none"/>
        </w:rPr>
        <w:t>政府采购合同融</w:t>
      </w:r>
      <w:r>
        <w:rPr>
          <w:rFonts w:ascii="宋体" w:hAnsi="宋体" w:eastAsia="宋体" w:cs="宋体"/>
          <w:color w:val="auto"/>
          <w:spacing w:val="-3"/>
          <w:sz w:val="24"/>
          <w:szCs w:val="24"/>
          <w:highlight w:val="none"/>
        </w:rPr>
        <w:t>资工作实施方案的通知》精神，我市目前已与以下金融机构合作开展政府</w:t>
      </w:r>
      <w:r>
        <w:rPr>
          <w:rFonts w:ascii="宋体" w:hAnsi="宋体" w:eastAsia="宋体" w:cs="宋体"/>
          <w:color w:val="auto"/>
          <w:spacing w:val="-4"/>
          <w:sz w:val="24"/>
          <w:szCs w:val="24"/>
          <w:highlight w:val="none"/>
        </w:rPr>
        <w:t>采购信用融资业务，中标供应商可持政府采购合同，通过“许昌市政府采购网</w:t>
      </w:r>
      <w:r>
        <w:rPr>
          <w:rFonts w:ascii="宋体" w:hAnsi="宋体" w:eastAsia="宋体" w:cs="宋体"/>
          <w:color w:val="auto"/>
          <w:spacing w:val="-88"/>
          <w:sz w:val="24"/>
          <w:szCs w:val="24"/>
          <w:highlight w:val="none"/>
        </w:rPr>
        <w:t xml:space="preserve"> </w:t>
      </w:r>
      <w:r>
        <w:rPr>
          <w:rFonts w:ascii="宋体" w:hAnsi="宋体" w:eastAsia="宋体" w:cs="宋体"/>
          <w:color w:val="auto"/>
          <w:spacing w:val="-4"/>
          <w:sz w:val="24"/>
          <w:szCs w:val="24"/>
          <w:highlight w:val="none"/>
        </w:rPr>
        <w:t>”向所选的金融机构申请贷</w:t>
      </w:r>
      <w:r>
        <w:rPr>
          <w:rFonts w:ascii="宋体" w:hAnsi="宋体" w:eastAsia="宋体" w:cs="宋体"/>
          <w:color w:val="auto"/>
          <w:spacing w:val="-3"/>
          <w:sz w:val="24"/>
          <w:szCs w:val="24"/>
          <w:highlight w:val="none"/>
        </w:rPr>
        <w:t>款，无需抵押、担保，融资机构将根据《河南省政府采购合同融资工作实</w:t>
      </w:r>
      <w:r>
        <w:rPr>
          <w:rFonts w:ascii="宋体" w:hAnsi="宋体" w:eastAsia="宋体" w:cs="宋体"/>
          <w:color w:val="auto"/>
          <w:spacing w:val="-4"/>
          <w:sz w:val="24"/>
          <w:szCs w:val="24"/>
          <w:highlight w:val="none"/>
        </w:rPr>
        <w:t>施方案》（豫财</w:t>
      </w:r>
      <w:r>
        <w:rPr>
          <w:rFonts w:ascii="宋体" w:hAnsi="宋体" w:eastAsia="宋体" w:cs="宋体"/>
          <w:color w:val="auto"/>
          <w:spacing w:val="-1"/>
          <w:sz w:val="24"/>
          <w:szCs w:val="24"/>
          <w:highlight w:val="none"/>
        </w:rPr>
        <w:t>购〔2017〕10号</w:t>
      </w:r>
      <w:r>
        <w:rPr>
          <w:rFonts w:ascii="宋体" w:hAnsi="宋体" w:eastAsia="宋体" w:cs="宋体"/>
          <w:color w:val="auto"/>
          <w:spacing w:val="11"/>
          <w:sz w:val="24"/>
          <w:szCs w:val="24"/>
          <w:highlight w:val="none"/>
        </w:rPr>
        <w:t>），</w:t>
      </w:r>
      <w:r>
        <w:rPr>
          <w:rFonts w:ascii="宋体" w:hAnsi="宋体" w:eastAsia="宋体" w:cs="宋体"/>
          <w:color w:val="auto"/>
          <w:spacing w:val="-1"/>
          <w:sz w:val="24"/>
          <w:szCs w:val="24"/>
          <w:highlight w:val="none"/>
        </w:rPr>
        <w:t>按照双方自愿的原则提供便捷、优惠的贷款服务。</w:t>
      </w:r>
    </w:p>
    <w:p w14:paraId="586617D3">
      <w:pPr>
        <w:spacing w:line="218" w:lineRule="auto"/>
        <w:ind w:left="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42.2合作金融机构（排名不分先后）</w:t>
      </w:r>
    </w:p>
    <w:p w14:paraId="278DC6A2">
      <w:pPr>
        <w:spacing w:before="183" w:line="219" w:lineRule="auto"/>
        <w:ind w:left="49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1）合作金融机构名称：中原银行许昌分行（小微金</w:t>
      </w:r>
      <w:r>
        <w:rPr>
          <w:rFonts w:ascii="宋体" w:hAnsi="宋体" w:eastAsia="宋体" w:cs="宋体"/>
          <w:color w:val="auto"/>
          <w:spacing w:val="-2"/>
          <w:sz w:val="24"/>
          <w:szCs w:val="24"/>
          <w:highlight w:val="none"/>
        </w:rPr>
        <w:t>融部）</w:t>
      </w:r>
    </w:p>
    <w:p w14:paraId="32D8353A">
      <w:pPr>
        <w:spacing w:before="184" w:line="219" w:lineRule="auto"/>
        <w:ind w:left="48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联系人及电话：陈阳 13137407575 方金龙</w:t>
      </w:r>
      <w:r>
        <w:rPr>
          <w:rFonts w:ascii="宋体" w:hAnsi="宋体" w:eastAsia="宋体" w:cs="宋体"/>
          <w:color w:val="auto"/>
          <w:spacing w:val="27"/>
          <w:sz w:val="24"/>
          <w:szCs w:val="24"/>
          <w:highlight w:val="none"/>
        </w:rPr>
        <w:t xml:space="preserve"> </w:t>
      </w:r>
      <w:r>
        <w:rPr>
          <w:rFonts w:ascii="宋体" w:hAnsi="宋体" w:eastAsia="宋体" w:cs="宋体"/>
          <w:color w:val="auto"/>
          <w:spacing w:val="-1"/>
          <w:sz w:val="24"/>
          <w:szCs w:val="24"/>
          <w:highlight w:val="none"/>
        </w:rPr>
        <w:t>15836539</w:t>
      </w:r>
      <w:r>
        <w:rPr>
          <w:rFonts w:ascii="宋体" w:hAnsi="宋体" w:eastAsia="宋体" w:cs="宋体"/>
          <w:color w:val="auto"/>
          <w:spacing w:val="-2"/>
          <w:sz w:val="24"/>
          <w:szCs w:val="24"/>
          <w:highlight w:val="none"/>
        </w:rPr>
        <w:t>901</w:t>
      </w:r>
    </w:p>
    <w:p w14:paraId="706B0B8E">
      <w:pPr>
        <w:spacing w:before="184" w:line="219" w:lineRule="auto"/>
        <w:ind w:left="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地址：许昌市建安大道与紫云路交汇处中原银行</w:t>
      </w:r>
    </w:p>
    <w:p w14:paraId="7CD13903">
      <w:pPr>
        <w:spacing w:before="182" w:line="219" w:lineRule="auto"/>
        <w:ind w:left="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2）合作金融机构名称：浦发银行许昌分行</w:t>
      </w:r>
    </w:p>
    <w:p w14:paraId="6FF460EC">
      <w:pPr>
        <w:spacing w:before="185" w:line="221" w:lineRule="auto"/>
        <w:ind w:left="482"/>
        <w:rPr>
          <w:rFonts w:ascii="宋体" w:hAnsi="宋体" w:eastAsia="宋体" w:cs="宋体"/>
          <w:color w:val="auto"/>
          <w:sz w:val="24"/>
          <w:szCs w:val="24"/>
          <w:highlight w:val="none"/>
        </w:rPr>
      </w:pPr>
      <w:r>
        <w:rPr>
          <w:rFonts w:ascii="宋体" w:hAnsi="宋体" w:eastAsia="宋体" w:cs="宋体"/>
          <w:color w:val="auto"/>
          <w:sz w:val="24"/>
          <w:szCs w:val="24"/>
          <w:highlight w:val="none"/>
        </w:rPr>
        <w:t>联系人及电话：赵勇 0374-7313569、7313502</w:t>
      </w:r>
      <w:r>
        <w:rPr>
          <w:rFonts w:ascii="宋体" w:hAnsi="宋体" w:eastAsia="宋体" w:cs="宋体"/>
          <w:color w:val="auto"/>
          <w:spacing w:val="-1"/>
          <w:sz w:val="24"/>
          <w:szCs w:val="24"/>
          <w:highlight w:val="none"/>
        </w:rPr>
        <w:t xml:space="preserve"> 18937459920</w:t>
      </w:r>
    </w:p>
    <w:p w14:paraId="7DC01F36">
      <w:pPr>
        <w:spacing w:before="180" w:line="219" w:lineRule="auto"/>
        <w:ind w:left="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地址：许昌市许继大道1163号许继花园</w:t>
      </w:r>
    </w:p>
    <w:p w14:paraId="4C7C9DFA">
      <w:pPr>
        <w:spacing w:before="182" w:line="219" w:lineRule="auto"/>
        <w:ind w:left="48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3）合作金融机构名称：交通银行许昌分行</w:t>
      </w:r>
    </w:p>
    <w:p w14:paraId="1F7B4E7B">
      <w:pPr>
        <w:spacing w:before="184" w:line="221" w:lineRule="auto"/>
        <w:ind w:left="482"/>
        <w:rPr>
          <w:rFonts w:ascii="宋体" w:hAnsi="宋体" w:eastAsia="宋体" w:cs="宋体"/>
          <w:color w:val="auto"/>
          <w:sz w:val="24"/>
          <w:szCs w:val="24"/>
          <w:highlight w:val="none"/>
        </w:rPr>
      </w:pPr>
      <w:r>
        <w:rPr>
          <w:rFonts w:ascii="宋体" w:hAnsi="宋体" w:eastAsia="宋体" w:cs="宋体"/>
          <w:color w:val="auto"/>
          <w:sz w:val="24"/>
          <w:szCs w:val="24"/>
          <w:highlight w:val="none"/>
        </w:rPr>
        <w:t>联系人：宋纪刚 0374-2369912</w:t>
      </w:r>
      <w:r>
        <w:rPr>
          <w:rFonts w:ascii="宋体" w:hAnsi="宋体" w:eastAsia="宋体" w:cs="宋体"/>
          <w:color w:val="auto"/>
          <w:spacing w:val="-1"/>
          <w:sz w:val="24"/>
          <w:szCs w:val="24"/>
          <w:highlight w:val="none"/>
        </w:rPr>
        <w:t xml:space="preserve"> 13733951305</w:t>
      </w:r>
    </w:p>
    <w:p w14:paraId="06B61E18">
      <w:pPr>
        <w:spacing w:before="181" w:line="219" w:lineRule="auto"/>
        <w:ind w:left="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地址：许昌市莲城大道114号</w:t>
      </w:r>
    </w:p>
    <w:p w14:paraId="77D44F02">
      <w:pPr>
        <w:spacing w:before="183" w:line="219" w:lineRule="auto"/>
        <w:ind w:left="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4）合作金融机构名称：光大银行许昌分行</w:t>
      </w:r>
    </w:p>
    <w:p w14:paraId="5856AA47">
      <w:pPr>
        <w:spacing w:before="184" w:line="360" w:lineRule="auto"/>
        <w:ind w:left="38" w:right="80" w:firstLine="444"/>
        <w:rPr>
          <w:rFonts w:ascii="宋体" w:hAnsi="宋体" w:eastAsia="宋体" w:cs="宋体"/>
          <w:color w:val="auto"/>
          <w:sz w:val="24"/>
          <w:szCs w:val="24"/>
          <w:highlight w:val="none"/>
        </w:rPr>
      </w:pPr>
      <w:r>
        <w:rPr>
          <w:rFonts w:ascii="宋体" w:hAnsi="宋体" w:eastAsia="宋体" w:cs="宋体"/>
          <w:color w:val="auto"/>
          <w:sz w:val="24"/>
          <w:szCs w:val="24"/>
          <w:highlight w:val="none"/>
        </w:rPr>
        <w:t>联系人：李东磊 0374-2928168 18569936868地址：许昌</w:t>
      </w:r>
      <w:r>
        <w:rPr>
          <w:rFonts w:ascii="宋体" w:hAnsi="宋体" w:eastAsia="宋体" w:cs="宋体"/>
          <w:color w:val="auto"/>
          <w:spacing w:val="-1"/>
          <w:sz w:val="24"/>
          <w:szCs w:val="24"/>
          <w:highlight w:val="none"/>
        </w:rPr>
        <w:t>市魏都区八一路文峰路交叉</w:t>
      </w:r>
      <w:r>
        <w:rPr>
          <w:rFonts w:ascii="宋体" w:hAnsi="宋体" w:eastAsia="宋体" w:cs="宋体"/>
          <w:color w:val="auto"/>
          <w:spacing w:val="-12"/>
          <w:sz w:val="24"/>
          <w:szCs w:val="24"/>
          <w:highlight w:val="none"/>
        </w:rPr>
        <w:t>口西北角</w:t>
      </w:r>
    </w:p>
    <w:p w14:paraId="21A7607B">
      <w:pPr>
        <w:spacing w:line="218" w:lineRule="auto"/>
        <w:ind w:left="48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5）合作金融机构名称：招商银行许昌分行</w:t>
      </w:r>
    </w:p>
    <w:p w14:paraId="01D66A65">
      <w:pPr>
        <w:spacing w:before="185" w:line="219" w:lineRule="auto"/>
        <w:ind w:left="482"/>
        <w:rPr>
          <w:rFonts w:ascii="宋体" w:hAnsi="宋体" w:eastAsia="宋体" w:cs="宋体"/>
          <w:color w:val="auto"/>
          <w:sz w:val="24"/>
          <w:szCs w:val="24"/>
          <w:highlight w:val="none"/>
        </w:rPr>
      </w:pPr>
      <w:r>
        <w:rPr>
          <w:rFonts w:ascii="宋体" w:hAnsi="宋体" w:eastAsia="宋体" w:cs="宋体"/>
          <w:color w:val="auto"/>
          <w:sz w:val="24"/>
          <w:szCs w:val="24"/>
          <w:highlight w:val="none"/>
        </w:rPr>
        <w:t>联系人及电话：崔星迪 0374-5376058</w:t>
      </w:r>
      <w:r>
        <w:rPr>
          <w:rFonts w:ascii="宋体" w:hAnsi="宋体" w:eastAsia="宋体" w:cs="宋体"/>
          <w:color w:val="auto"/>
          <w:spacing w:val="-1"/>
          <w:sz w:val="24"/>
          <w:szCs w:val="24"/>
          <w:highlight w:val="none"/>
        </w:rPr>
        <w:t xml:space="preserve"> 18839983051</w:t>
      </w:r>
    </w:p>
    <w:p w14:paraId="027E9252">
      <w:pPr>
        <w:spacing w:before="183" w:line="219" w:lineRule="auto"/>
        <w:ind w:left="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地址：许昌市建安大道中段新天下AB座</w:t>
      </w:r>
    </w:p>
    <w:p w14:paraId="48D4F49E">
      <w:pPr>
        <w:spacing w:before="182" w:line="219" w:lineRule="auto"/>
        <w:ind w:left="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6）合作金融机构名称：邮储银行许昌市分行</w:t>
      </w:r>
    </w:p>
    <w:p w14:paraId="13583ECA">
      <w:pPr>
        <w:spacing w:before="184" w:line="219" w:lineRule="auto"/>
        <w:ind w:left="482"/>
        <w:rPr>
          <w:rFonts w:ascii="宋体" w:hAnsi="宋体" w:eastAsia="宋体" w:cs="宋体"/>
          <w:color w:val="auto"/>
          <w:sz w:val="24"/>
          <w:szCs w:val="24"/>
          <w:highlight w:val="none"/>
        </w:rPr>
      </w:pPr>
      <w:r>
        <w:rPr>
          <w:rFonts w:ascii="宋体" w:hAnsi="宋体" w:eastAsia="宋体" w:cs="宋体"/>
          <w:color w:val="auto"/>
          <w:sz w:val="24"/>
          <w:szCs w:val="24"/>
          <w:highlight w:val="none"/>
        </w:rPr>
        <w:t>联系人及电话：张彦峰13839001972 武松</w:t>
      </w:r>
      <w:r>
        <w:rPr>
          <w:rFonts w:ascii="宋体" w:hAnsi="宋体" w:eastAsia="宋体" w:cs="宋体"/>
          <w:color w:val="auto"/>
          <w:spacing w:val="-1"/>
          <w:sz w:val="24"/>
          <w:szCs w:val="24"/>
          <w:highlight w:val="none"/>
        </w:rPr>
        <w:t>涛18839902679</w:t>
      </w:r>
    </w:p>
    <w:p w14:paraId="4DCFC863">
      <w:pPr>
        <w:spacing w:before="183" w:line="220" w:lineRule="auto"/>
        <w:ind w:left="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徐亚爽15038297574</w:t>
      </w:r>
    </w:p>
    <w:p w14:paraId="2AF12D0B">
      <w:pPr>
        <w:spacing w:before="183" w:line="219" w:lineRule="auto"/>
        <w:ind w:left="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地址：许昌市莲城大道邮储银行莲城支行二楼</w:t>
      </w:r>
    </w:p>
    <w:p w14:paraId="076E8C66">
      <w:pPr>
        <w:spacing w:line="219" w:lineRule="auto"/>
        <w:rPr>
          <w:rFonts w:ascii="宋体" w:hAnsi="宋体" w:eastAsia="宋体" w:cs="宋体"/>
          <w:color w:val="auto"/>
          <w:sz w:val="24"/>
          <w:szCs w:val="24"/>
          <w:highlight w:val="none"/>
        </w:rPr>
        <w:sectPr>
          <w:footerReference r:id="rId31" w:type="default"/>
          <w:pgSz w:w="11906" w:h="16839"/>
          <w:pgMar w:top="1431" w:right="999" w:bottom="1443" w:left="1593" w:header="0" w:footer="1202" w:gutter="0"/>
          <w:pgNumType w:fmt="decimal"/>
          <w:cols w:space="720" w:num="1"/>
        </w:sectPr>
      </w:pPr>
    </w:p>
    <w:p w14:paraId="2921922A">
      <w:pPr>
        <w:spacing w:before="122" w:line="219" w:lineRule="auto"/>
        <w:ind w:left="48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7）合作金融机构名称：中国银行许昌分行</w:t>
      </w:r>
    </w:p>
    <w:p w14:paraId="0FCFC4D2">
      <w:pPr>
        <w:spacing w:before="183" w:line="220" w:lineRule="auto"/>
        <w:ind w:left="481"/>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联系人及电话：白炜 13938772680 刘晓飞 </w:t>
      </w:r>
      <w:r>
        <w:rPr>
          <w:rFonts w:ascii="宋体" w:hAnsi="宋体" w:eastAsia="宋体" w:cs="宋体"/>
          <w:color w:val="auto"/>
          <w:spacing w:val="-1"/>
          <w:sz w:val="24"/>
          <w:szCs w:val="24"/>
          <w:highlight w:val="none"/>
        </w:rPr>
        <w:t>0374-3338596</w:t>
      </w:r>
    </w:p>
    <w:p w14:paraId="496DBEB7">
      <w:pPr>
        <w:spacing w:before="182" w:line="219" w:lineRule="auto"/>
        <w:ind w:left="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地址：许昌市魏都区建设路1488号</w:t>
      </w:r>
    </w:p>
    <w:p w14:paraId="0719F621">
      <w:pPr>
        <w:spacing w:before="182" w:line="219" w:lineRule="auto"/>
        <w:ind w:left="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8）合作金融机构名称：中信银行郑州红专路支行</w:t>
      </w:r>
    </w:p>
    <w:p w14:paraId="38F254E9">
      <w:pPr>
        <w:spacing w:before="183" w:line="220" w:lineRule="auto"/>
        <w:ind w:left="48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联系人：韩晨</w:t>
      </w:r>
      <w:r>
        <w:rPr>
          <w:rFonts w:ascii="宋体" w:hAnsi="宋体" w:eastAsia="宋体" w:cs="宋体"/>
          <w:color w:val="auto"/>
          <w:spacing w:val="39"/>
          <w:sz w:val="24"/>
          <w:szCs w:val="24"/>
          <w:highlight w:val="none"/>
        </w:rPr>
        <w:t xml:space="preserve"> </w:t>
      </w:r>
      <w:r>
        <w:rPr>
          <w:rFonts w:ascii="宋体" w:hAnsi="宋体" w:eastAsia="宋体" w:cs="宋体"/>
          <w:color w:val="auto"/>
          <w:spacing w:val="-3"/>
          <w:sz w:val="24"/>
          <w:szCs w:val="24"/>
          <w:highlight w:val="none"/>
        </w:rPr>
        <w:t>13253490679</w:t>
      </w:r>
    </w:p>
    <w:p w14:paraId="0109DC4C">
      <w:pPr>
        <w:spacing w:before="182" w:line="219" w:lineRule="auto"/>
        <w:ind w:left="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地址：郑州市金水区经三路北26号中信银行郑州红专路支行</w:t>
      </w:r>
    </w:p>
    <w:p w14:paraId="682ED574">
      <w:pPr>
        <w:spacing w:before="183" w:line="219" w:lineRule="auto"/>
        <w:ind w:left="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9）合作金融机构名称：郑州银行许昌分行</w:t>
      </w:r>
    </w:p>
    <w:p w14:paraId="1F450890">
      <w:pPr>
        <w:spacing w:before="184" w:line="221" w:lineRule="auto"/>
        <w:ind w:left="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联系人：王晶 0374-2298011</w:t>
      </w:r>
      <w:r>
        <w:rPr>
          <w:rFonts w:ascii="宋体" w:hAnsi="宋体" w:eastAsia="宋体" w:cs="宋体"/>
          <w:color w:val="auto"/>
          <w:spacing w:val="27"/>
          <w:sz w:val="24"/>
          <w:szCs w:val="24"/>
          <w:highlight w:val="none"/>
        </w:rPr>
        <w:t xml:space="preserve"> </w:t>
      </w:r>
      <w:r>
        <w:rPr>
          <w:rFonts w:ascii="宋体" w:hAnsi="宋体" w:eastAsia="宋体" w:cs="宋体"/>
          <w:color w:val="auto"/>
          <w:spacing w:val="-1"/>
          <w:sz w:val="24"/>
          <w:szCs w:val="24"/>
          <w:highlight w:val="none"/>
        </w:rPr>
        <w:t>18</w:t>
      </w:r>
      <w:r>
        <w:rPr>
          <w:rFonts w:ascii="宋体" w:hAnsi="宋体" w:eastAsia="宋体" w:cs="宋体"/>
          <w:color w:val="auto"/>
          <w:spacing w:val="-2"/>
          <w:sz w:val="24"/>
          <w:szCs w:val="24"/>
          <w:highlight w:val="none"/>
        </w:rPr>
        <w:t>339062222</w:t>
      </w:r>
    </w:p>
    <w:p w14:paraId="3EE0014F">
      <w:pPr>
        <w:spacing w:before="180" w:line="219" w:lineRule="auto"/>
        <w:ind w:left="480"/>
        <w:rPr>
          <w:rFonts w:ascii="宋体" w:hAnsi="宋体" w:eastAsia="宋体" w:cs="宋体"/>
          <w:color w:val="auto"/>
          <w:sz w:val="24"/>
          <w:szCs w:val="24"/>
          <w:highlight w:val="none"/>
        </w:rPr>
      </w:pPr>
      <w:r>
        <w:rPr>
          <w:rFonts w:ascii="宋体" w:hAnsi="宋体" w:eastAsia="宋体" w:cs="宋体"/>
          <w:color w:val="auto"/>
          <w:sz w:val="24"/>
          <w:szCs w:val="24"/>
          <w:highlight w:val="none"/>
        </w:rPr>
        <w:t>地址：河南省许昌市魏都区莲城大道与魏文路交叉口</w:t>
      </w:r>
      <w:r>
        <w:rPr>
          <w:rFonts w:ascii="宋体" w:hAnsi="宋体" w:eastAsia="宋体" w:cs="宋体"/>
          <w:color w:val="auto"/>
          <w:spacing w:val="-1"/>
          <w:sz w:val="24"/>
          <w:szCs w:val="24"/>
          <w:highlight w:val="none"/>
        </w:rPr>
        <w:t>西南角亨通君成国际大厦</w:t>
      </w:r>
    </w:p>
    <w:p w14:paraId="0FACFBAC">
      <w:pPr>
        <w:spacing w:before="183" w:line="219" w:lineRule="auto"/>
        <w:ind w:left="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42.3“许昌市政府采购合同融资金融产品推介名录</w:t>
      </w:r>
      <w:r>
        <w:rPr>
          <w:rFonts w:ascii="宋体" w:hAnsi="宋体" w:eastAsia="宋体" w:cs="宋体"/>
          <w:color w:val="auto"/>
          <w:spacing w:val="-76"/>
          <w:sz w:val="24"/>
          <w:szCs w:val="24"/>
          <w:highlight w:val="none"/>
        </w:rPr>
        <w:t xml:space="preserve"> </w:t>
      </w:r>
      <w:r>
        <w:rPr>
          <w:rFonts w:ascii="宋体" w:hAnsi="宋体" w:eastAsia="宋体" w:cs="宋体"/>
          <w:color w:val="auto"/>
          <w:spacing w:val="-2"/>
          <w:sz w:val="24"/>
          <w:szCs w:val="24"/>
          <w:highlight w:val="none"/>
        </w:rPr>
        <w:t>”链接</w:t>
      </w:r>
    </w:p>
    <w:p w14:paraId="6A3DF23C">
      <w:pPr>
        <w:spacing w:before="184" w:line="360" w:lineRule="auto"/>
        <w:ind w:left="481" w:hanging="3"/>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"http://xuchang.hngp.gov.cn/xuchang/content?infoId=1606365368231095&amp;channelCode=H711001" </w:instrText>
      </w:r>
      <w:r>
        <w:rPr>
          <w:color w:val="auto"/>
          <w:highlight w:val="none"/>
        </w:rPr>
        <w:fldChar w:fldCharType="separate"/>
      </w:r>
      <w:r>
        <w:rPr>
          <w:rFonts w:ascii="宋体" w:hAnsi="宋体" w:eastAsia="宋体" w:cs="宋体"/>
          <w:color w:val="auto"/>
          <w:sz w:val="24"/>
          <w:szCs w:val="24"/>
          <w:highlight w:val="none"/>
        </w:rPr>
        <w:t>http://xuchang.hngp.gov.cn/xuchang/content?infoId=16063653682</w:t>
      </w:r>
      <w:r>
        <w:rPr>
          <w:rFonts w:ascii="宋体" w:hAnsi="宋体" w:eastAsia="宋体" w:cs="宋体"/>
          <w:color w:val="auto"/>
          <w:spacing w:val="-1"/>
          <w:sz w:val="24"/>
          <w:szCs w:val="24"/>
          <w:highlight w:val="none"/>
        </w:rPr>
        <w:t>31095&amp;ch</w:t>
      </w:r>
      <w:r>
        <w:rPr>
          <w:rFonts w:ascii="宋体" w:hAnsi="宋体" w:eastAsia="宋体" w:cs="宋体"/>
          <w:color w:val="auto"/>
          <w:spacing w:val="-1"/>
          <w:sz w:val="24"/>
          <w:szCs w:val="24"/>
          <w:highlight w:val="none"/>
        </w:rPr>
        <w:fldChar w:fldCharType="end"/>
      </w:r>
      <w:r>
        <w:rPr>
          <w:rFonts w:ascii="宋体" w:hAnsi="宋体" w:eastAsia="宋体" w:cs="宋体"/>
          <w:color w:val="auto"/>
          <w:sz w:val="24"/>
          <w:szCs w:val="24"/>
          <w:highlight w:val="none"/>
        </w:rPr>
        <w:t xml:space="preserve"> </w:t>
      </w:r>
      <w:r>
        <w:rPr>
          <w:color w:val="auto"/>
          <w:highlight w:val="none"/>
        </w:rPr>
        <w:fldChar w:fldCharType="begin"/>
      </w:r>
      <w:r>
        <w:rPr>
          <w:color w:val="auto"/>
          <w:highlight w:val="none"/>
        </w:rPr>
        <w:instrText xml:space="preserve"> HYPERLINK "http://xuchang.hngp.gov.cn/xuchang/content?infoId=1606365368231095&amp;channelCode=H711001" </w:instrText>
      </w:r>
      <w:r>
        <w:rPr>
          <w:color w:val="auto"/>
          <w:highlight w:val="none"/>
        </w:rPr>
        <w:fldChar w:fldCharType="separate"/>
      </w:r>
      <w:r>
        <w:rPr>
          <w:rFonts w:ascii="宋体" w:hAnsi="宋体" w:eastAsia="宋体" w:cs="宋体"/>
          <w:color w:val="auto"/>
          <w:spacing w:val="-1"/>
          <w:sz w:val="24"/>
          <w:szCs w:val="24"/>
          <w:highlight w:val="none"/>
        </w:rPr>
        <w:t>annelCode=H711001</w:t>
      </w:r>
      <w:r>
        <w:rPr>
          <w:rFonts w:ascii="宋体" w:hAnsi="宋体" w:eastAsia="宋体" w:cs="宋体"/>
          <w:color w:val="auto"/>
          <w:spacing w:val="-1"/>
          <w:sz w:val="24"/>
          <w:szCs w:val="24"/>
          <w:highlight w:val="none"/>
        </w:rPr>
        <w:fldChar w:fldCharType="end"/>
      </w:r>
    </w:p>
    <w:p w14:paraId="1C3228BB">
      <w:pPr>
        <w:spacing w:line="220" w:lineRule="auto"/>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43.</w:t>
      </w:r>
      <w:r>
        <w:rPr>
          <w:rFonts w:ascii="宋体" w:hAnsi="宋体" w:eastAsia="宋体" w:cs="宋体"/>
          <w:color w:val="auto"/>
          <w:spacing w:val="10"/>
          <w:sz w:val="24"/>
          <w:szCs w:val="24"/>
          <w:highlight w:val="none"/>
        </w:rPr>
        <w:t xml:space="preserve"> </w:t>
      </w:r>
      <w:r>
        <w:rPr>
          <w:rFonts w:ascii="宋体" w:hAnsi="宋体" w:eastAsia="宋体" w:cs="宋体"/>
          <w:b/>
          <w:bCs/>
          <w:color w:val="auto"/>
          <w:spacing w:val="-6"/>
          <w:sz w:val="24"/>
          <w:szCs w:val="24"/>
          <w:highlight w:val="none"/>
        </w:rPr>
        <w:t>其他</w:t>
      </w:r>
    </w:p>
    <w:p w14:paraId="27C48795">
      <w:pPr>
        <w:spacing w:before="182" w:line="219" w:lineRule="auto"/>
        <w:ind w:left="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本次磋商文件未尽事项，以法律法规规定的为准。</w:t>
      </w:r>
    </w:p>
    <w:p w14:paraId="61FF0992">
      <w:pPr>
        <w:spacing w:line="219" w:lineRule="auto"/>
        <w:rPr>
          <w:rFonts w:ascii="宋体" w:hAnsi="宋体" w:eastAsia="宋体" w:cs="宋体"/>
          <w:color w:val="auto"/>
          <w:sz w:val="24"/>
          <w:szCs w:val="24"/>
          <w:highlight w:val="none"/>
        </w:rPr>
        <w:sectPr>
          <w:footerReference r:id="rId32" w:type="default"/>
          <w:pgSz w:w="11906" w:h="16839"/>
          <w:pgMar w:top="1431" w:right="1559" w:bottom="1443" w:left="1594" w:header="0" w:footer="1202" w:gutter="0"/>
          <w:pgNumType w:fmt="decimal"/>
          <w:cols w:space="720" w:num="1"/>
        </w:sectPr>
      </w:pPr>
    </w:p>
    <w:p w14:paraId="2FB13B76">
      <w:pPr>
        <w:spacing w:before="139" w:line="224" w:lineRule="auto"/>
        <w:ind w:left="1805"/>
        <w:rPr>
          <w:rFonts w:ascii="宋体" w:hAnsi="宋体" w:eastAsia="宋体" w:cs="宋体"/>
          <w:color w:val="auto"/>
          <w:sz w:val="35"/>
          <w:szCs w:val="35"/>
          <w:highlight w:val="none"/>
        </w:rPr>
      </w:pPr>
      <w:r>
        <w:rPr>
          <w:rFonts w:ascii="宋体" w:hAnsi="宋体" w:eastAsia="宋体" w:cs="宋体"/>
          <w:b/>
          <w:bCs/>
          <w:color w:val="auto"/>
          <w:spacing w:val="6"/>
          <w:sz w:val="35"/>
          <w:szCs w:val="35"/>
          <w:highlight w:val="none"/>
        </w:rPr>
        <w:t>第五章</w:t>
      </w:r>
      <w:r>
        <w:rPr>
          <w:rFonts w:ascii="宋体" w:hAnsi="宋体" w:eastAsia="宋体" w:cs="宋体"/>
          <w:color w:val="auto"/>
          <w:spacing w:val="6"/>
          <w:sz w:val="35"/>
          <w:szCs w:val="35"/>
          <w:highlight w:val="none"/>
        </w:rPr>
        <w:t xml:space="preserve"> </w:t>
      </w:r>
      <w:r>
        <w:rPr>
          <w:rFonts w:ascii="宋体" w:hAnsi="宋体" w:eastAsia="宋体" w:cs="宋体"/>
          <w:b/>
          <w:bCs/>
          <w:color w:val="auto"/>
          <w:spacing w:val="6"/>
          <w:sz w:val="35"/>
          <w:szCs w:val="35"/>
          <w:highlight w:val="none"/>
        </w:rPr>
        <w:t>政府采购政策功能</w:t>
      </w:r>
    </w:p>
    <w:p w14:paraId="2C77C871">
      <w:pPr>
        <w:pStyle w:val="5"/>
        <w:spacing w:line="449" w:lineRule="auto"/>
        <w:rPr>
          <w:color w:val="auto"/>
          <w:highlight w:val="none"/>
        </w:rPr>
      </w:pPr>
    </w:p>
    <w:p w14:paraId="58B8E53F">
      <w:pPr>
        <w:spacing w:before="78" w:line="338" w:lineRule="auto"/>
        <w:ind w:right="75" w:firstLine="480"/>
        <w:jc w:val="both"/>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根据《中华人民共和国政府采购法》、《中华人民共和国政府采购法实施条例》、《政</w:t>
      </w:r>
      <w:r>
        <w:rPr>
          <w:rFonts w:ascii="宋体" w:hAnsi="宋体" w:eastAsia="宋体" w:cs="宋体"/>
          <w:color w:val="auto"/>
          <w:spacing w:val="-3"/>
          <w:sz w:val="24"/>
          <w:szCs w:val="24"/>
          <w:highlight w:val="none"/>
        </w:rPr>
        <w:t>府采购货物和服务招标投标管理办法》等规定，本项目落实节约能源、</w:t>
      </w:r>
      <w:r>
        <w:rPr>
          <w:rFonts w:ascii="宋体" w:hAnsi="宋体" w:eastAsia="宋体" w:cs="宋体"/>
          <w:color w:val="auto"/>
          <w:spacing w:val="-4"/>
          <w:sz w:val="24"/>
          <w:szCs w:val="24"/>
          <w:highlight w:val="none"/>
        </w:rPr>
        <w:t>保护环境、促进中</w:t>
      </w:r>
      <w:r>
        <w:rPr>
          <w:rFonts w:ascii="宋体" w:hAnsi="宋体" w:eastAsia="宋体" w:cs="宋体"/>
          <w:color w:val="auto"/>
          <w:sz w:val="24"/>
          <w:szCs w:val="24"/>
          <w:highlight w:val="none"/>
        </w:rPr>
        <w:t>小企业发展、支持监狱企业发展、促进残疾人</w:t>
      </w:r>
      <w:r>
        <w:rPr>
          <w:rFonts w:ascii="宋体" w:hAnsi="宋体" w:eastAsia="宋体" w:cs="宋体"/>
          <w:color w:val="auto"/>
          <w:spacing w:val="-1"/>
          <w:sz w:val="24"/>
          <w:szCs w:val="24"/>
          <w:highlight w:val="none"/>
        </w:rPr>
        <w:t>就业等政府采购政策。</w:t>
      </w:r>
    </w:p>
    <w:p w14:paraId="30F19ED6">
      <w:pPr>
        <w:spacing w:line="220" w:lineRule="auto"/>
        <w:ind w:left="484"/>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一、节约能源、保护环境</w:t>
      </w:r>
    </w:p>
    <w:p w14:paraId="70CCEB72">
      <w:pPr>
        <w:spacing w:before="156" w:line="338" w:lineRule="auto"/>
        <w:ind w:right="75" w:firstLine="482"/>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按照《财政部、发展改革委、生态环境部、市场监管总局关于调整优化节能产品、环</w:t>
      </w:r>
      <w:r>
        <w:rPr>
          <w:rFonts w:ascii="宋体" w:hAnsi="宋体" w:eastAsia="宋体" w:cs="宋体"/>
          <w:color w:val="auto"/>
          <w:spacing w:val="-2"/>
          <w:sz w:val="24"/>
          <w:szCs w:val="24"/>
          <w:highlight w:val="none"/>
        </w:rPr>
        <w:t>境标志产品政府采购执行机制的通知》（财库〔2019〕9</w:t>
      </w:r>
      <w:r>
        <w:rPr>
          <w:rFonts w:ascii="宋体" w:hAnsi="宋体" w:eastAsia="宋体" w:cs="宋体"/>
          <w:color w:val="auto"/>
          <w:spacing w:val="-43"/>
          <w:sz w:val="24"/>
          <w:szCs w:val="24"/>
          <w:highlight w:val="none"/>
        </w:rPr>
        <w:t xml:space="preserve"> </w:t>
      </w:r>
      <w:r>
        <w:rPr>
          <w:rFonts w:ascii="宋体" w:hAnsi="宋体" w:eastAsia="宋体" w:cs="宋体"/>
          <w:color w:val="auto"/>
          <w:spacing w:val="-2"/>
          <w:sz w:val="24"/>
          <w:szCs w:val="24"/>
          <w:highlight w:val="none"/>
        </w:rPr>
        <w:t>号）和财政部、生态环境部《关</w:t>
      </w:r>
      <w:r>
        <w:rPr>
          <w:rFonts w:ascii="宋体" w:hAnsi="宋体" w:eastAsia="宋体" w:cs="宋体"/>
          <w:color w:val="auto"/>
          <w:spacing w:val="1"/>
          <w:sz w:val="24"/>
          <w:szCs w:val="24"/>
          <w:highlight w:val="none"/>
        </w:rPr>
        <w:t>于印发环境标志产品政府采购品目清单的通知》（财库〔2019〕18</w:t>
      </w:r>
      <w:r>
        <w:rPr>
          <w:rFonts w:ascii="宋体" w:hAnsi="宋体" w:eastAsia="宋体" w:cs="宋体"/>
          <w:color w:val="auto"/>
          <w:spacing w:val="-42"/>
          <w:sz w:val="24"/>
          <w:szCs w:val="24"/>
          <w:highlight w:val="none"/>
        </w:rPr>
        <w:t xml:space="preserve"> </w:t>
      </w:r>
      <w:r>
        <w:rPr>
          <w:rFonts w:ascii="宋体" w:hAnsi="宋体" w:eastAsia="宋体" w:cs="宋体"/>
          <w:color w:val="auto"/>
          <w:spacing w:val="1"/>
          <w:sz w:val="24"/>
          <w:szCs w:val="24"/>
          <w:highlight w:val="none"/>
        </w:rPr>
        <w:t>号）以及财</w:t>
      </w:r>
      <w:r>
        <w:rPr>
          <w:rFonts w:ascii="宋体" w:hAnsi="宋体" w:eastAsia="宋体" w:cs="宋体"/>
          <w:color w:val="auto"/>
          <w:sz w:val="24"/>
          <w:szCs w:val="24"/>
          <w:highlight w:val="none"/>
        </w:rPr>
        <w:t>政部、发</w:t>
      </w:r>
      <w:r>
        <w:rPr>
          <w:rFonts w:ascii="宋体" w:hAnsi="宋体" w:eastAsia="宋体" w:cs="宋体"/>
          <w:color w:val="auto"/>
          <w:spacing w:val="1"/>
          <w:sz w:val="24"/>
          <w:szCs w:val="24"/>
          <w:highlight w:val="none"/>
        </w:rPr>
        <w:t>展改革委《关于印发节能产品政府采购品目清单的通知</w:t>
      </w:r>
      <w:r>
        <w:rPr>
          <w:rFonts w:ascii="宋体" w:hAnsi="宋体" w:eastAsia="宋体" w:cs="宋体"/>
          <w:color w:val="auto"/>
          <w:sz w:val="24"/>
          <w:szCs w:val="24"/>
          <w:highlight w:val="none"/>
        </w:rPr>
        <w:t>》（财库〔2019〕19</w:t>
      </w:r>
      <w:r>
        <w:rPr>
          <w:rFonts w:ascii="宋体" w:hAnsi="宋体" w:eastAsia="宋体" w:cs="宋体"/>
          <w:color w:val="auto"/>
          <w:spacing w:val="-41"/>
          <w:sz w:val="24"/>
          <w:szCs w:val="24"/>
          <w:highlight w:val="none"/>
        </w:rPr>
        <w:t xml:space="preserve"> </w:t>
      </w:r>
      <w:r>
        <w:rPr>
          <w:rFonts w:ascii="宋体" w:hAnsi="宋体" w:eastAsia="宋体" w:cs="宋体"/>
          <w:color w:val="auto"/>
          <w:sz w:val="24"/>
          <w:szCs w:val="24"/>
          <w:highlight w:val="none"/>
        </w:rPr>
        <w:t>号</w:t>
      </w:r>
      <w:r>
        <w:rPr>
          <w:rFonts w:ascii="宋体" w:hAnsi="宋体" w:eastAsia="宋体" w:cs="宋体"/>
          <w:color w:val="auto"/>
          <w:spacing w:val="6"/>
          <w:sz w:val="24"/>
          <w:szCs w:val="24"/>
          <w:highlight w:val="none"/>
        </w:rPr>
        <w:t>），</w:t>
      </w:r>
      <w:r>
        <w:rPr>
          <w:rFonts w:ascii="宋体" w:hAnsi="宋体" w:eastAsia="宋体" w:cs="宋体"/>
          <w:color w:val="auto"/>
          <w:sz w:val="24"/>
          <w:szCs w:val="24"/>
          <w:highlight w:val="none"/>
        </w:rPr>
        <w:t>采购</w:t>
      </w:r>
      <w:r>
        <w:rPr>
          <w:rFonts w:ascii="宋体" w:hAnsi="宋体" w:eastAsia="宋体" w:cs="宋体"/>
          <w:color w:val="auto"/>
          <w:spacing w:val="-3"/>
          <w:sz w:val="24"/>
          <w:szCs w:val="24"/>
          <w:highlight w:val="none"/>
        </w:rPr>
        <w:t>政府强制采购产品的，该产品必须具有国家确定的认证机构出具的、处</w:t>
      </w:r>
      <w:r>
        <w:rPr>
          <w:rFonts w:ascii="宋体" w:hAnsi="宋体" w:eastAsia="宋体" w:cs="宋体"/>
          <w:color w:val="auto"/>
          <w:spacing w:val="-4"/>
          <w:sz w:val="24"/>
          <w:szCs w:val="24"/>
          <w:highlight w:val="none"/>
        </w:rPr>
        <w:t>于有效期之内的节</w:t>
      </w:r>
      <w:r>
        <w:rPr>
          <w:rFonts w:ascii="宋体" w:hAnsi="宋体" w:eastAsia="宋体" w:cs="宋体"/>
          <w:color w:val="auto"/>
          <w:spacing w:val="-3"/>
          <w:sz w:val="24"/>
          <w:szCs w:val="24"/>
          <w:highlight w:val="none"/>
        </w:rPr>
        <w:t>能产品认证证书；采购政府优先采购产品的，该产品具有国家确定</w:t>
      </w:r>
      <w:r>
        <w:rPr>
          <w:rFonts w:ascii="宋体" w:hAnsi="宋体" w:eastAsia="宋体" w:cs="宋体"/>
          <w:color w:val="auto"/>
          <w:spacing w:val="-4"/>
          <w:sz w:val="24"/>
          <w:szCs w:val="24"/>
          <w:highlight w:val="none"/>
        </w:rPr>
        <w:t>的认证机构出具的、处</w:t>
      </w:r>
      <w:r>
        <w:rPr>
          <w:rFonts w:ascii="宋体" w:hAnsi="宋体" w:eastAsia="宋体" w:cs="宋体"/>
          <w:color w:val="auto"/>
          <w:sz w:val="24"/>
          <w:szCs w:val="24"/>
          <w:highlight w:val="none"/>
        </w:rPr>
        <w:t>于有效期之内的节能产品、环境标志产品认证</w:t>
      </w:r>
      <w:r>
        <w:rPr>
          <w:rFonts w:ascii="宋体" w:hAnsi="宋体" w:eastAsia="宋体" w:cs="宋体"/>
          <w:color w:val="auto"/>
          <w:spacing w:val="-1"/>
          <w:sz w:val="24"/>
          <w:szCs w:val="24"/>
          <w:highlight w:val="none"/>
        </w:rPr>
        <w:t>证书，应当优先采购。</w:t>
      </w:r>
    </w:p>
    <w:p w14:paraId="4B50B526">
      <w:pPr>
        <w:spacing w:line="218" w:lineRule="auto"/>
        <w:ind w:left="484"/>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二、促进中小企业发展（不含民办非企业）</w:t>
      </w:r>
    </w:p>
    <w:p w14:paraId="7449E400">
      <w:pPr>
        <w:spacing w:before="157"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（一）专门面向中小企业预留采购份额</w:t>
      </w:r>
    </w:p>
    <w:p w14:paraId="20E956A3">
      <w:pPr>
        <w:spacing w:before="154"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（二）非专门面向中小企业预留采购份额</w:t>
      </w:r>
    </w:p>
    <w:p w14:paraId="27632D7B">
      <w:pPr>
        <w:spacing w:before="154" w:line="339" w:lineRule="auto"/>
        <w:ind w:firstLine="498"/>
        <w:rPr>
          <w:rFonts w:ascii="宋体" w:hAnsi="宋体" w:eastAsia="宋体" w:cs="宋体"/>
          <w:color w:val="auto"/>
          <w:sz w:val="24"/>
          <w:szCs w:val="24"/>
          <w:highlight w:val="none"/>
        </w:rPr>
      </w:pPr>
      <w:r>
        <w:rPr>
          <w:rFonts w:ascii="宋体" w:hAnsi="宋体" w:eastAsia="宋体" w:cs="宋体"/>
          <w:color w:val="auto"/>
          <w:spacing w:val="-16"/>
          <w:sz w:val="24"/>
          <w:szCs w:val="24"/>
          <w:highlight w:val="none"/>
        </w:rPr>
        <w:t>1、根据财政部、工业和信息化部《政府采购促进中小企业发展管理办法》（财库〔2020〕</w:t>
      </w:r>
      <w:r>
        <w:rPr>
          <w:rFonts w:ascii="宋体" w:hAnsi="宋体" w:eastAsia="宋体" w:cs="宋体"/>
          <w:color w:val="auto"/>
          <w:spacing w:val="4"/>
          <w:sz w:val="24"/>
          <w:szCs w:val="24"/>
          <w:highlight w:val="none"/>
        </w:rPr>
        <w:t xml:space="preserve"> </w:t>
      </w:r>
      <w:r>
        <w:rPr>
          <w:rFonts w:ascii="宋体" w:hAnsi="宋体" w:eastAsia="宋体" w:cs="宋体"/>
          <w:color w:val="auto"/>
          <w:spacing w:val="-1"/>
          <w:sz w:val="24"/>
          <w:szCs w:val="24"/>
          <w:highlight w:val="none"/>
        </w:rPr>
        <w:t>46</w:t>
      </w:r>
      <w:r>
        <w:rPr>
          <w:rFonts w:ascii="宋体" w:hAnsi="宋体" w:eastAsia="宋体" w:cs="宋体"/>
          <w:color w:val="auto"/>
          <w:spacing w:val="-44"/>
          <w:sz w:val="24"/>
          <w:szCs w:val="24"/>
          <w:highlight w:val="none"/>
        </w:rPr>
        <w:t xml:space="preserve"> </w:t>
      </w:r>
      <w:r>
        <w:rPr>
          <w:rFonts w:ascii="宋体" w:hAnsi="宋体" w:eastAsia="宋体" w:cs="宋体"/>
          <w:color w:val="auto"/>
          <w:spacing w:val="-1"/>
          <w:sz w:val="24"/>
          <w:szCs w:val="24"/>
          <w:highlight w:val="none"/>
        </w:rPr>
        <w:t>号）、《关于进一步加大政府采购支持中小企业力度的通知》（</w:t>
      </w:r>
      <w:r>
        <w:rPr>
          <w:rFonts w:ascii="宋体" w:hAnsi="宋体" w:eastAsia="宋体" w:cs="宋体"/>
          <w:color w:val="auto"/>
          <w:spacing w:val="-2"/>
          <w:sz w:val="24"/>
          <w:szCs w:val="24"/>
          <w:highlight w:val="none"/>
        </w:rPr>
        <w:t>财库〔2022〕19</w:t>
      </w:r>
      <w:r>
        <w:rPr>
          <w:rFonts w:ascii="宋体" w:hAnsi="宋体" w:eastAsia="宋体" w:cs="宋体"/>
          <w:color w:val="auto"/>
          <w:spacing w:val="-45"/>
          <w:sz w:val="24"/>
          <w:szCs w:val="24"/>
          <w:highlight w:val="none"/>
        </w:rPr>
        <w:t xml:space="preserve"> </w:t>
      </w:r>
      <w:r>
        <w:rPr>
          <w:rFonts w:ascii="宋体" w:hAnsi="宋体" w:eastAsia="宋体" w:cs="宋体"/>
          <w:color w:val="auto"/>
          <w:spacing w:val="-2"/>
          <w:sz w:val="24"/>
          <w:szCs w:val="24"/>
          <w:highlight w:val="none"/>
        </w:rPr>
        <w:t>号）规定，对符合该办法规定的小型和微型企业报价给予</w:t>
      </w:r>
      <w:r>
        <w:rPr>
          <w:rFonts w:ascii="宋体" w:hAnsi="宋体" w:eastAsia="宋体" w:cs="宋体"/>
          <w:color w:val="auto"/>
          <w:spacing w:val="-33"/>
          <w:sz w:val="24"/>
          <w:szCs w:val="24"/>
          <w:highlight w:val="none"/>
        </w:rPr>
        <w:t xml:space="preserve"> </w:t>
      </w:r>
      <w:r>
        <w:rPr>
          <w:rFonts w:ascii="宋体" w:hAnsi="宋体" w:eastAsia="宋体" w:cs="宋体"/>
          <w:color w:val="auto"/>
          <w:spacing w:val="-2"/>
          <w:sz w:val="24"/>
          <w:szCs w:val="24"/>
          <w:highlight w:val="none"/>
        </w:rPr>
        <w:t>10%-20%的扣除，</w:t>
      </w:r>
      <w:r>
        <w:rPr>
          <w:rFonts w:ascii="宋体" w:hAnsi="宋体" w:eastAsia="宋体" w:cs="宋体"/>
          <w:color w:val="auto"/>
          <w:spacing w:val="-3"/>
          <w:sz w:val="24"/>
          <w:szCs w:val="24"/>
          <w:highlight w:val="none"/>
        </w:rPr>
        <w:t>用扣除后的价格参与评审。</w:t>
      </w:r>
    </w:p>
    <w:p w14:paraId="12965038">
      <w:pPr>
        <w:spacing w:before="2" w:line="338" w:lineRule="auto"/>
        <w:ind w:right="75" w:firstLine="483"/>
        <w:rPr>
          <w:rFonts w:ascii="宋体" w:hAnsi="宋体" w:eastAsia="宋体" w:cs="宋体"/>
          <w:color w:val="auto"/>
          <w:sz w:val="24"/>
          <w:szCs w:val="24"/>
          <w:highlight w:val="none"/>
        </w:rPr>
      </w:pPr>
      <w:r>
        <w:rPr>
          <w:rFonts w:ascii="宋体" w:hAnsi="宋体" w:eastAsia="宋体" w:cs="宋体"/>
          <w:color w:val="auto"/>
          <w:sz w:val="24"/>
          <w:szCs w:val="24"/>
          <w:highlight w:val="none"/>
        </w:rPr>
        <w:t>2、在货物采购项目中，供应商提供的货物既有中小企业制造货</w:t>
      </w:r>
      <w:r>
        <w:rPr>
          <w:rFonts w:ascii="宋体" w:hAnsi="宋体" w:eastAsia="宋体" w:cs="宋体"/>
          <w:color w:val="auto"/>
          <w:spacing w:val="-1"/>
          <w:sz w:val="24"/>
          <w:szCs w:val="24"/>
          <w:highlight w:val="none"/>
        </w:rPr>
        <w:t>物，也有大型企业制</w:t>
      </w:r>
      <w:r>
        <w:rPr>
          <w:rFonts w:ascii="宋体" w:hAnsi="宋体" w:eastAsia="宋体" w:cs="宋体"/>
          <w:color w:val="auto"/>
          <w:spacing w:val="1"/>
          <w:sz w:val="24"/>
          <w:szCs w:val="24"/>
          <w:highlight w:val="none"/>
        </w:rPr>
        <w:t>造货物的，不享受《政府采购促进中小企业发展管理办法》（财库〔2020〕46</w:t>
      </w:r>
      <w:r>
        <w:rPr>
          <w:rFonts w:ascii="宋体" w:hAnsi="宋体" w:eastAsia="宋体" w:cs="宋体"/>
          <w:color w:val="auto"/>
          <w:spacing w:val="-45"/>
          <w:sz w:val="24"/>
          <w:szCs w:val="24"/>
          <w:highlight w:val="none"/>
        </w:rPr>
        <w:t xml:space="preserve"> </w:t>
      </w:r>
      <w:r>
        <w:rPr>
          <w:rFonts w:ascii="宋体" w:hAnsi="宋体" w:eastAsia="宋体" w:cs="宋体"/>
          <w:color w:val="auto"/>
          <w:sz w:val="24"/>
          <w:szCs w:val="24"/>
          <w:highlight w:val="none"/>
        </w:rPr>
        <w:t>号）规定</w:t>
      </w:r>
      <w:r>
        <w:rPr>
          <w:rFonts w:ascii="宋体" w:hAnsi="宋体" w:eastAsia="宋体" w:cs="宋体"/>
          <w:color w:val="auto"/>
          <w:spacing w:val="-1"/>
          <w:sz w:val="24"/>
          <w:szCs w:val="24"/>
          <w:highlight w:val="none"/>
        </w:rPr>
        <w:t>的中小企业扶持政策。</w:t>
      </w:r>
    </w:p>
    <w:p w14:paraId="2264D813">
      <w:pPr>
        <w:spacing w:before="2" w:line="337" w:lineRule="auto"/>
        <w:ind w:left="4" w:right="75"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3、以联合体形式参加政府采购活动，联合体各方均为中小</w:t>
      </w:r>
      <w:r>
        <w:rPr>
          <w:rFonts w:ascii="宋体" w:hAnsi="宋体" w:eastAsia="宋体" w:cs="宋体"/>
          <w:color w:val="auto"/>
          <w:spacing w:val="-1"/>
          <w:sz w:val="24"/>
          <w:szCs w:val="24"/>
          <w:highlight w:val="none"/>
        </w:rPr>
        <w:t>企业的，联合体视同中小企业。其中，联合体各方均为小微企业的，联合体视同小微企业。</w:t>
      </w:r>
    </w:p>
    <w:p w14:paraId="4CFA7429">
      <w:pPr>
        <w:spacing w:before="4" w:line="338" w:lineRule="auto"/>
        <w:ind w:left="2" w:right="75" w:firstLine="477"/>
        <w:rPr>
          <w:rFonts w:ascii="宋体" w:hAnsi="宋体" w:eastAsia="宋体" w:cs="宋体"/>
          <w:color w:val="auto"/>
          <w:sz w:val="24"/>
          <w:szCs w:val="24"/>
          <w:highlight w:val="none"/>
        </w:rPr>
      </w:pPr>
      <w:r>
        <w:rPr>
          <w:rFonts w:ascii="宋体" w:hAnsi="宋体" w:eastAsia="宋体" w:cs="宋体"/>
          <w:color w:val="auto"/>
          <w:sz w:val="24"/>
          <w:szCs w:val="24"/>
          <w:highlight w:val="none"/>
        </w:rPr>
        <w:t>4、接受大中型企业与小微企业组成联合体或者允许大中型企业向一家或</w:t>
      </w:r>
      <w:r>
        <w:rPr>
          <w:rFonts w:ascii="宋体" w:hAnsi="宋体" w:eastAsia="宋体" w:cs="宋体"/>
          <w:color w:val="auto"/>
          <w:spacing w:val="-1"/>
          <w:sz w:val="24"/>
          <w:szCs w:val="24"/>
          <w:highlight w:val="none"/>
        </w:rPr>
        <w:t>者多家小微</w:t>
      </w:r>
      <w:r>
        <w:rPr>
          <w:rFonts w:ascii="宋体" w:hAnsi="宋体" w:eastAsia="宋体" w:cs="宋体"/>
          <w:color w:val="auto"/>
          <w:spacing w:val="-3"/>
          <w:sz w:val="24"/>
          <w:szCs w:val="24"/>
          <w:highlight w:val="none"/>
        </w:rPr>
        <w:t>企业分包的采购项目，对于联合协议或者分包意向协议约定小微</w:t>
      </w:r>
      <w:r>
        <w:rPr>
          <w:rFonts w:ascii="宋体" w:hAnsi="宋体" w:eastAsia="宋体" w:cs="宋体"/>
          <w:color w:val="auto"/>
          <w:spacing w:val="-4"/>
          <w:sz w:val="24"/>
          <w:szCs w:val="24"/>
          <w:highlight w:val="none"/>
        </w:rPr>
        <w:t>企业的合同份额占到合同总金额</w:t>
      </w:r>
      <w:r>
        <w:rPr>
          <w:rFonts w:ascii="宋体" w:hAnsi="宋体" w:eastAsia="宋体" w:cs="宋体"/>
          <w:color w:val="auto"/>
          <w:spacing w:val="-28"/>
          <w:sz w:val="24"/>
          <w:szCs w:val="24"/>
          <w:highlight w:val="none"/>
        </w:rPr>
        <w:t xml:space="preserve"> </w:t>
      </w:r>
      <w:r>
        <w:rPr>
          <w:rFonts w:ascii="宋体" w:hAnsi="宋体" w:eastAsia="宋体" w:cs="宋体"/>
          <w:color w:val="auto"/>
          <w:spacing w:val="-4"/>
          <w:sz w:val="24"/>
          <w:szCs w:val="24"/>
          <w:highlight w:val="none"/>
        </w:rPr>
        <w:t>30%以上的，对联合体或者大中型企业的报价给予</w:t>
      </w:r>
      <w:r>
        <w:rPr>
          <w:rFonts w:ascii="宋体" w:hAnsi="宋体" w:eastAsia="宋体" w:cs="宋体"/>
          <w:color w:val="auto"/>
          <w:spacing w:val="-52"/>
          <w:sz w:val="24"/>
          <w:szCs w:val="24"/>
          <w:highlight w:val="none"/>
        </w:rPr>
        <w:t xml:space="preserve"> </w:t>
      </w:r>
      <w:r>
        <w:rPr>
          <w:rFonts w:ascii="宋体" w:hAnsi="宋体" w:eastAsia="宋体" w:cs="宋体"/>
          <w:color w:val="auto"/>
          <w:spacing w:val="-4"/>
          <w:sz w:val="24"/>
          <w:szCs w:val="24"/>
          <w:highlight w:val="none"/>
        </w:rPr>
        <w:t>4%—6%的扣除，用扣除后的价格</w:t>
      </w:r>
      <w:r>
        <w:rPr>
          <w:rFonts w:ascii="宋体" w:hAnsi="宋体" w:eastAsia="宋体" w:cs="宋体"/>
          <w:color w:val="auto"/>
          <w:spacing w:val="-3"/>
          <w:sz w:val="24"/>
          <w:szCs w:val="24"/>
          <w:highlight w:val="none"/>
        </w:rPr>
        <w:t>参加评审。组成联合体或者接受分包的小微企业与联合体内其他</w:t>
      </w:r>
      <w:r>
        <w:rPr>
          <w:rFonts w:ascii="宋体" w:hAnsi="宋体" w:eastAsia="宋体" w:cs="宋体"/>
          <w:color w:val="auto"/>
          <w:spacing w:val="-4"/>
          <w:sz w:val="24"/>
          <w:szCs w:val="24"/>
          <w:highlight w:val="none"/>
        </w:rPr>
        <w:t>企业、分包企业之间存在</w:t>
      </w:r>
      <w:r>
        <w:rPr>
          <w:rFonts w:ascii="宋体" w:hAnsi="宋体" w:eastAsia="宋体" w:cs="宋体"/>
          <w:color w:val="auto"/>
          <w:spacing w:val="-1"/>
          <w:sz w:val="24"/>
          <w:szCs w:val="24"/>
          <w:highlight w:val="none"/>
        </w:rPr>
        <w:t>直接控股、管理关系的，不享受价格扣除优惠政策。</w:t>
      </w:r>
    </w:p>
    <w:p w14:paraId="515E45C2">
      <w:pPr>
        <w:spacing w:line="218" w:lineRule="auto"/>
        <w:ind w:left="485"/>
        <w:rPr>
          <w:rFonts w:ascii="宋体" w:hAnsi="宋体" w:eastAsia="宋体" w:cs="宋体"/>
          <w:color w:val="auto"/>
          <w:sz w:val="24"/>
          <w:szCs w:val="24"/>
          <w:highlight w:val="none"/>
        </w:rPr>
      </w:pPr>
      <w:r>
        <w:rPr>
          <w:rFonts w:ascii="宋体" w:hAnsi="宋体" w:eastAsia="宋体" w:cs="宋体"/>
          <w:color w:val="auto"/>
          <w:sz w:val="24"/>
          <w:szCs w:val="24"/>
          <w:highlight w:val="none"/>
        </w:rPr>
        <w:t>5、按照本次采购标的所属行业的划型标准，符合条件的中</w:t>
      </w:r>
      <w:r>
        <w:rPr>
          <w:rFonts w:ascii="宋体" w:hAnsi="宋体" w:eastAsia="宋体" w:cs="宋体"/>
          <w:color w:val="auto"/>
          <w:spacing w:val="-1"/>
          <w:sz w:val="24"/>
          <w:szCs w:val="24"/>
          <w:highlight w:val="none"/>
        </w:rPr>
        <w:t>小企业应按照招标文件格</w:t>
      </w:r>
    </w:p>
    <w:p w14:paraId="5960273B">
      <w:pPr>
        <w:spacing w:line="218" w:lineRule="auto"/>
        <w:rPr>
          <w:rFonts w:ascii="宋体" w:hAnsi="宋体" w:eastAsia="宋体" w:cs="宋体"/>
          <w:color w:val="auto"/>
          <w:sz w:val="24"/>
          <w:szCs w:val="24"/>
          <w:highlight w:val="none"/>
        </w:rPr>
        <w:sectPr>
          <w:footerReference r:id="rId33" w:type="default"/>
          <w:pgSz w:w="11906" w:h="16839"/>
          <w:pgMar w:top="1431" w:right="999" w:bottom="1443" w:left="1594" w:header="0" w:footer="1202" w:gutter="0"/>
          <w:pgNumType w:fmt="decimal"/>
          <w:cols w:space="720" w:num="1"/>
        </w:sectPr>
      </w:pPr>
    </w:p>
    <w:p w14:paraId="49B93AE6">
      <w:pPr>
        <w:spacing w:before="155" w:line="219" w:lineRule="auto"/>
        <w:ind w:left="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式要求提供《中小企业声明函》，否则不得享受相关中小企业扶持政策。</w:t>
      </w:r>
    </w:p>
    <w:p w14:paraId="5F2ABC48">
      <w:pPr>
        <w:spacing w:before="155" w:line="219" w:lineRule="auto"/>
        <w:ind w:left="480"/>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三、支持监狱企业发展</w:t>
      </w:r>
    </w:p>
    <w:p w14:paraId="5F853904">
      <w:pPr>
        <w:spacing w:before="152" w:line="339" w:lineRule="auto"/>
        <w:ind w:left="1" w:right="59" w:firstLine="48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按照财政部、司法部发布的《关于政府采购支</w:t>
      </w:r>
      <w:r>
        <w:rPr>
          <w:rFonts w:ascii="宋体" w:hAnsi="宋体" w:eastAsia="宋体" w:cs="宋体"/>
          <w:color w:val="auto"/>
          <w:spacing w:val="-4"/>
          <w:sz w:val="24"/>
          <w:szCs w:val="24"/>
          <w:highlight w:val="none"/>
        </w:rPr>
        <w:t>持监狱企业发展有关问题的通知》（财</w:t>
      </w:r>
      <w:r>
        <w:rPr>
          <w:rFonts w:ascii="宋体" w:hAnsi="宋体" w:eastAsia="宋体" w:cs="宋体"/>
          <w:color w:val="auto"/>
          <w:spacing w:val="1"/>
          <w:sz w:val="24"/>
          <w:szCs w:val="24"/>
          <w:highlight w:val="none"/>
        </w:rPr>
        <w:t>库〔2014〕68</w:t>
      </w:r>
      <w:r>
        <w:rPr>
          <w:rFonts w:ascii="宋体" w:hAnsi="宋体" w:eastAsia="宋体" w:cs="宋体"/>
          <w:color w:val="auto"/>
          <w:spacing w:val="-42"/>
          <w:sz w:val="24"/>
          <w:szCs w:val="24"/>
          <w:highlight w:val="none"/>
        </w:rPr>
        <w:t xml:space="preserve"> </w:t>
      </w:r>
      <w:r>
        <w:rPr>
          <w:rFonts w:ascii="宋体" w:hAnsi="宋体" w:eastAsia="宋体" w:cs="宋体"/>
          <w:color w:val="auto"/>
          <w:spacing w:val="1"/>
          <w:sz w:val="24"/>
          <w:szCs w:val="24"/>
          <w:highlight w:val="none"/>
        </w:rPr>
        <w:t>号）规定，在政府采购活动中，监狱企业视同小型、微型企</w:t>
      </w:r>
      <w:r>
        <w:rPr>
          <w:rFonts w:ascii="宋体" w:hAnsi="宋体" w:eastAsia="宋体" w:cs="宋体"/>
          <w:color w:val="auto"/>
          <w:sz w:val="24"/>
          <w:szCs w:val="24"/>
          <w:highlight w:val="none"/>
        </w:rPr>
        <w:t>业，享受评审</w:t>
      </w:r>
      <w:r>
        <w:rPr>
          <w:rFonts w:ascii="宋体" w:hAnsi="宋体" w:eastAsia="宋体" w:cs="宋体"/>
          <w:color w:val="auto"/>
          <w:spacing w:val="-3"/>
          <w:sz w:val="24"/>
          <w:szCs w:val="24"/>
          <w:highlight w:val="none"/>
        </w:rPr>
        <w:t>中价格扣除的政府采购政策，用扣除后的价格参与评审。监狱企业</w:t>
      </w:r>
      <w:r>
        <w:rPr>
          <w:rFonts w:ascii="宋体" w:hAnsi="宋体" w:eastAsia="宋体" w:cs="宋体"/>
          <w:color w:val="auto"/>
          <w:spacing w:val="-4"/>
          <w:sz w:val="24"/>
          <w:szCs w:val="24"/>
          <w:highlight w:val="none"/>
        </w:rPr>
        <w:t>应当提供由省级以上监</w:t>
      </w:r>
      <w:r>
        <w:rPr>
          <w:rFonts w:ascii="宋体" w:hAnsi="宋体" w:eastAsia="宋体" w:cs="宋体"/>
          <w:color w:val="auto"/>
          <w:sz w:val="24"/>
          <w:szCs w:val="24"/>
          <w:highlight w:val="none"/>
        </w:rPr>
        <w:t>狱管理局、戒毒管理局（含新疆生产建设兵团）出具的</w:t>
      </w:r>
      <w:r>
        <w:rPr>
          <w:rFonts w:ascii="宋体" w:hAnsi="宋体" w:eastAsia="宋体" w:cs="宋体"/>
          <w:color w:val="auto"/>
          <w:spacing w:val="-1"/>
          <w:sz w:val="24"/>
          <w:szCs w:val="24"/>
          <w:highlight w:val="none"/>
        </w:rPr>
        <w:t>属于监狱企业的证明文件。</w:t>
      </w:r>
    </w:p>
    <w:p w14:paraId="348CAC54">
      <w:pPr>
        <w:spacing w:before="1" w:line="218" w:lineRule="auto"/>
        <w:ind w:left="503"/>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四、促进残疾人就业</w:t>
      </w:r>
    </w:p>
    <w:p w14:paraId="639C2E69">
      <w:pPr>
        <w:spacing w:before="158" w:line="338" w:lineRule="auto"/>
        <w:ind w:firstLine="49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1、按照财政部、民政部、中国残疾人联合会和残疾人发布的《三部门联合发布关于</w:t>
      </w:r>
      <w:r>
        <w:rPr>
          <w:rFonts w:ascii="宋体" w:hAnsi="宋体" w:eastAsia="宋体" w:cs="宋体"/>
          <w:color w:val="auto"/>
          <w:spacing w:val="-6"/>
          <w:sz w:val="24"/>
          <w:szCs w:val="24"/>
          <w:highlight w:val="none"/>
        </w:rPr>
        <w:t>促进残疾人就业政府采购政策的通知》（财库〔2017〕141</w:t>
      </w:r>
      <w:r>
        <w:rPr>
          <w:rFonts w:ascii="宋体" w:hAnsi="宋体" w:eastAsia="宋体" w:cs="宋体"/>
          <w:color w:val="auto"/>
          <w:spacing w:val="-45"/>
          <w:sz w:val="24"/>
          <w:szCs w:val="24"/>
          <w:highlight w:val="none"/>
        </w:rPr>
        <w:t xml:space="preserve"> </w:t>
      </w:r>
      <w:r>
        <w:rPr>
          <w:rFonts w:ascii="宋体" w:hAnsi="宋体" w:eastAsia="宋体" w:cs="宋体"/>
          <w:color w:val="auto"/>
          <w:spacing w:val="-6"/>
          <w:sz w:val="24"/>
          <w:szCs w:val="24"/>
          <w:highlight w:val="none"/>
        </w:rPr>
        <w:t>号）规定，在政府采购活</w:t>
      </w:r>
      <w:r>
        <w:rPr>
          <w:rFonts w:ascii="宋体" w:hAnsi="宋体" w:eastAsia="宋体" w:cs="宋体"/>
          <w:color w:val="auto"/>
          <w:spacing w:val="-7"/>
          <w:sz w:val="24"/>
          <w:szCs w:val="24"/>
          <w:highlight w:val="none"/>
        </w:rPr>
        <w:t>动中，</w:t>
      </w:r>
      <w:r>
        <w:rPr>
          <w:rFonts w:ascii="宋体" w:hAnsi="宋体" w:eastAsia="宋体" w:cs="宋体"/>
          <w:color w:val="auto"/>
          <w:spacing w:val="-3"/>
          <w:sz w:val="24"/>
          <w:szCs w:val="24"/>
          <w:highlight w:val="none"/>
        </w:rPr>
        <w:t>残疾人福利性单位视同小型、微型企业，享受评审中价格扣除的政府采</w:t>
      </w:r>
      <w:r>
        <w:rPr>
          <w:rFonts w:ascii="宋体" w:hAnsi="宋体" w:eastAsia="宋体" w:cs="宋体"/>
          <w:color w:val="auto"/>
          <w:spacing w:val="-4"/>
          <w:sz w:val="24"/>
          <w:szCs w:val="24"/>
          <w:highlight w:val="none"/>
        </w:rPr>
        <w:t>购政策。对残疾人</w:t>
      </w:r>
      <w:r>
        <w:rPr>
          <w:rFonts w:ascii="宋体" w:hAnsi="宋体" w:eastAsia="宋体" w:cs="宋体"/>
          <w:color w:val="auto"/>
          <w:spacing w:val="-3"/>
          <w:sz w:val="24"/>
          <w:szCs w:val="24"/>
          <w:highlight w:val="none"/>
        </w:rPr>
        <w:t>福利性单位提供本单位制造的货物、承担的工程或者服务，或者提供其</w:t>
      </w:r>
      <w:r>
        <w:rPr>
          <w:rFonts w:ascii="宋体" w:hAnsi="宋体" w:eastAsia="宋体" w:cs="宋体"/>
          <w:color w:val="auto"/>
          <w:spacing w:val="-4"/>
          <w:sz w:val="24"/>
          <w:szCs w:val="24"/>
          <w:highlight w:val="none"/>
        </w:rPr>
        <w:t>他残疾人福利性单</w:t>
      </w:r>
      <w:r>
        <w:rPr>
          <w:rFonts w:ascii="宋体" w:hAnsi="宋体" w:eastAsia="宋体" w:cs="宋体"/>
          <w:color w:val="auto"/>
          <w:spacing w:val="-3"/>
          <w:sz w:val="24"/>
          <w:szCs w:val="24"/>
          <w:highlight w:val="none"/>
        </w:rPr>
        <w:t>位制造的货物（不包括使用非残疾人福利性单位注册商标的货物）用扣</w:t>
      </w:r>
      <w:r>
        <w:rPr>
          <w:rFonts w:ascii="宋体" w:hAnsi="宋体" w:eastAsia="宋体" w:cs="宋体"/>
          <w:color w:val="auto"/>
          <w:spacing w:val="-4"/>
          <w:sz w:val="24"/>
          <w:szCs w:val="24"/>
          <w:highlight w:val="none"/>
        </w:rPr>
        <w:t>除后的价格参与评</w:t>
      </w:r>
      <w:r>
        <w:rPr>
          <w:rFonts w:ascii="宋体" w:hAnsi="宋体" w:eastAsia="宋体" w:cs="宋体"/>
          <w:color w:val="auto"/>
          <w:sz w:val="24"/>
          <w:szCs w:val="24"/>
          <w:highlight w:val="none"/>
        </w:rPr>
        <w:t>审。残疾人福利性单位属于小型、微型企业</w:t>
      </w:r>
      <w:r>
        <w:rPr>
          <w:rFonts w:ascii="宋体" w:hAnsi="宋体" w:eastAsia="宋体" w:cs="宋体"/>
          <w:color w:val="auto"/>
          <w:spacing w:val="-1"/>
          <w:sz w:val="24"/>
          <w:szCs w:val="24"/>
          <w:highlight w:val="none"/>
        </w:rPr>
        <w:t>的，不重复享受政策。</w:t>
      </w:r>
    </w:p>
    <w:p w14:paraId="0AB1A7D5">
      <w:pPr>
        <w:spacing w:before="2" w:line="338" w:lineRule="auto"/>
        <w:ind w:right="59" w:firstLine="482"/>
        <w:rPr>
          <w:rFonts w:ascii="宋体" w:hAnsi="宋体" w:eastAsia="宋体" w:cs="宋体"/>
          <w:color w:val="auto"/>
          <w:sz w:val="24"/>
          <w:szCs w:val="24"/>
          <w:highlight w:val="none"/>
        </w:rPr>
      </w:pPr>
      <w:r>
        <w:rPr>
          <w:rFonts w:ascii="宋体" w:hAnsi="宋体" w:eastAsia="宋体" w:cs="宋体"/>
          <w:color w:val="auto"/>
          <w:sz w:val="24"/>
          <w:szCs w:val="24"/>
          <w:highlight w:val="none"/>
        </w:rPr>
        <w:t>2、符合条件的残疾人福利性单位在参加政府采购活动时，应当</w:t>
      </w:r>
      <w:r>
        <w:rPr>
          <w:rFonts w:ascii="宋体" w:hAnsi="宋体" w:eastAsia="宋体" w:cs="宋体"/>
          <w:color w:val="auto"/>
          <w:spacing w:val="-1"/>
          <w:sz w:val="24"/>
          <w:szCs w:val="24"/>
          <w:highlight w:val="none"/>
        </w:rPr>
        <w:t>提供《三部门联合发</w:t>
      </w:r>
      <w:r>
        <w:rPr>
          <w:rFonts w:ascii="宋体" w:hAnsi="宋体" w:eastAsia="宋体" w:cs="宋体"/>
          <w:color w:val="auto"/>
          <w:spacing w:val="-3"/>
          <w:sz w:val="24"/>
          <w:szCs w:val="24"/>
          <w:highlight w:val="none"/>
        </w:rPr>
        <w:t>布关于促进残疾人就业政府采购政策的通知》规定的《残疾人福利性</w:t>
      </w:r>
      <w:r>
        <w:rPr>
          <w:rFonts w:ascii="宋体" w:hAnsi="宋体" w:eastAsia="宋体" w:cs="宋体"/>
          <w:color w:val="auto"/>
          <w:spacing w:val="-4"/>
          <w:sz w:val="24"/>
          <w:szCs w:val="24"/>
          <w:highlight w:val="none"/>
        </w:rPr>
        <w:t>单位声明函》，并对</w:t>
      </w:r>
      <w:r>
        <w:rPr>
          <w:rFonts w:ascii="宋体" w:hAnsi="宋体" w:eastAsia="宋体" w:cs="宋体"/>
          <w:color w:val="auto"/>
          <w:spacing w:val="-3"/>
          <w:sz w:val="24"/>
          <w:szCs w:val="24"/>
          <w:highlight w:val="none"/>
        </w:rPr>
        <w:t>声明的真实性负责。任何单位或者个人在政府采购活动中均不得要求</w:t>
      </w:r>
      <w:r>
        <w:rPr>
          <w:rFonts w:ascii="宋体" w:hAnsi="宋体" w:eastAsia="宋体" w:cs="宋体"/>
          <w:color w:val="auto"/>
          <w:spacing w:val="-4"/>
          <w:sz w:val="24"/>
          <w:szCs w:val="24"/>
          <w:highlight w:val="none"/>
        </w:rPr>
        <w:t>残疾人福利性单位提</w:t>
      </w:r>
      <w:r>
        <w:rPr>
          <w:rFonts w:ascii="宋体" w:hAnsi="宋体" w:eastAsia="宋体" w:cs="宋体"/>
          <w:color w:val="auto"/>
          <w:spacing w:val="-1"/>
          <w:sz w:val="24"/>
          <w:szCs w:val="24"/>
          <w:highlight w:val="none"/>
        </w:rPr>
        <w:t>供其他证明声明函内容的材料。</w:t>
      </w:r>
    </w:p>
    <w:p w14:paraId="2FEFB4D5">
      <w:pPr>
        <w:spacing w:before="1" w:line="341" w:lineRule="auto"/>
        <w:ind w:left="3" w:right="59" w:firstLine="481"/>
        <w:rPr>
          <w:rFonts w:ascii="宋体" w:hAnsi="宋体" w:eastAsia="宋体" w:cs="宋体"/>
          <w:color w:val="auto"/>
          <w:sz w:val="24"/>
          <w:szCs w:val="24"/>
          <w:highlight w:val="none"/>
        </w:rPr>
      </w:pPr>
      <w:r>
        <w:rPr>
          <w:rFonts w:ascii="宋体" w:hAnsi="宋体" w:eastAsia="宋体" w:cs="宋体"/>
          <w:color w:val="auto"/>
          <w:sz w:val="24"/>
          <w:szCs w:val="24"/>
          <w:highlight w:val="none"/>
        </w:rPr>
        <w:t>3、中标人为残疾人福利性单位的，招标人应当随中标结果</w:t>
      </w:r>
      <w:r>
        <w:rPr>
          <w:rFonts w:ascii="宋体" w:hAnsi="宋体" w:eastAsia="宋体" w:cs="宋体"/>
          <w:color w:val="auto"/>
          <w:spacing w:val="-1"/>
          <w:sz w:val="24"/>
          <w:szCs w:val="24"/>
          <w:highlight w:val="none"/>
        </w:rPr>
        <w:t>同时公告其《残疾人福利性单位声明函》，接受社会监督。</w:t>
      </w:r>
    </w:p>
    <w:p w14:paraId="5AD9336A">
      <w:pPr>
        <w:spacing w:line="341" w:lineRule="auto"/>
        <w:rPr>
          <w:rFonts w:ascii="宋体" w:hAnsi="宋体" w:eastAsia="宋体" w:cs="宋体"/>
          <w:color w:val="auto"/>
          <w:sz w:val="24"/>
          <w:szCs w:val="24"/>
          <w:highlight w:val="none"/>
        </w:rPr>
        <w:sectPr>
          <w:footerReference r:id="rId34" w:type="default"/>
          <w:pgSz w:w="11906" w:h="16839"/>
          <w:pgMar w:top="1431" w:right="1015" w:bottom="1443" w:left="1594" w:header="0" w:footer="1202" w:gutter="0"/>
          <w:pgNumType w:fmt="decimal"/>
          <w:cols w:space="720" w:num="1"/>
        </w:sectPr>
      </w:pPr>
    </w:p>
    <w:p w14:paraId="4E82DDF2">
      <w:pPr>
        <w:spacing w:before="139" w:line="224" w:lineRule="auto"/>
        <w:ind w:left="2641"/>
        <w:rPr>
          <w:rFonts w:ascii="宋体" w:hAnsi="宋体" w:eastAsia="宋体" w:cs="宋体"/>
          <w:color w:val="auto"/>
          <w:sz w:val="35"/>
          <w:szCs w:val="35"/>
          <w:highlight w:val="none"/>
        </w:rPr>
      </w:pPr>
      <w:r>
        <w:rPr>
          <w:rFonts w:ascii="宋体" w:hAnsi="宋体" w:eastAsia="宋体" w:cs="宋体"/>
          <w:b/>
          <w:bCs/>
          <w:color w:val="auto"/>
          <w:spacing w:val="6"/>
          <w:sz w:val="35"/>
          <w:szCs w:val="35"/>
          <w:highlight w:val="none"/>
        </w:rPr>
        <w:t>第六章</w:t>
      </w:r>
      <w:r>
        <w:rPr>
          <w:rFonts w:ascii="宋体" w:hAnsi="宋体" w:eastAsia="宋体" w:cs="宋体"/>
          <w:color w:val="auto"/>
          <w:spacing w:val="6"/>
          <w:sz w:val="35"/>
          <w:szCs w:val="35"/>
          <w:highlight w:val="none"/>
        </w:rPr>
        <w:t xml:space="preserve"> </w:t>
      </w:r>
      <w:r>
        <w:rPr>
          <w:rFonts w:ascii="宋体" w:hAnsi="宋体" w:eastAsia="宋体" w:cs="宋体"/>
          <w:b/>
          <w:bCs/>
          <w:color w:val="auto"/>
          <w:spacing w:val="6"/>
          <w:sz w:val="35"/>
          <w:szCs w:val="35"/>
          <w:highlight w:val="none"/>
        </w:rPr>
        <w:t>资格审查与评标</w:t>
      </w:r>
    </w:p>
    <w:p w14:paraId="65E81FE7">
      <w:pPr>
        <w:spacing w:before="131" w:line="225" w:lineRule="auto"/>
        <w:ind w:left="386"/>
        <w:rPr>
          <w:rFonts w:ascii="宋体" w:hAnsi="宋体" w:eastAsia="宋体" w:cs="宋体"/>
          <w:color w:val="auto"/>
          <w:sz w:val="31"/>
          <w:szCs w:val="31"/>
          <w:highlight w:val="none"/>
        </w:rPr>
      </w:pPr>
      <w:r>
        <w:rPr>
          <w:rFonts w:ascii="宋体" w:hAnsi="宋体" w:eastAsia="宋体" w:cs="宋体"/>
          <w:b/>
          <w:bCs/>
          <w:color w:val="auto"/>
          <w:spacing w:val="4"/>
          <w:sz w:val="31"/>
          <w:szCs w:val="31"/>
          <w:highlight w:val="none"/>
        </w:rPr>
        <w:t>一、资格审查</w:t>
      </w:r>
    </w:p>
    <w:p w14:paraId="1EC38862">
      <w:pPr>
        <w:spacing w:before="110" w:line="323" w:lineRule="auto"/>
        <w:ind w:left="168" w:right="59" w:firstLine="49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（一）开标结束后，磋商小组依法对供应商资格进行审查。确定符合资格的供应商不</w:t>
      </w:r>
      <w:r>
        <w:rPr>
          <w:rFonts w:ascii="宋体" w:hAnsi="宋体" w:eastAsia="宋体" w:cs="宋体"/>
          <w:color w:val="auto"/>
          <w:spacing w:val="1"/>
          <w:sz w:val="24"/>
          <w:szCs w:val="24"/>
          <w:highlight w:val="none"/>
        </w:rPr>
        <w:t>少于</w:t>
      </w:r>
      <w:r>
        <w:rPr>
          <w:rFonts w:ascii="宋体" w:hAnsi="宋体" w:eastAsia="宋体" w:cs="宋体"/>
          <w:color w:val="auto"/>
          <w:spacing w:val="-46"/>
          <w:sz w:val="24"/>
          <w:szCs w:val="24"/>
          <w:highlight w:val="none"/>
        </w:rPr>
        <w:t xml:space="preserve"> </w:t>
      </w:r>
      <w:r>
        <w:rPr>
          <w:rFonts w:ascii="宋体" w:hAnsi="宋体" w:eastAsia="宋体" w:cs="宋体"/>
          <w:color w:val="auto"/>
          <w:spacing w:val="1"/>
          <w:sz w:val="24"/>
          <w:szCs w:val="24"/>
          <w:highlight w:val="none"/>
        </w:rPr>
        <w:t>3 家的，将对响应文件的有效性、完整性和响应程度进行审查并对响应文件进行评</w:t>
      </w:r>
      <w:r>
        <w:rPr>
          <w:rFonts w:ascii="宋体" w:hAnsi="宋体" w:eastAsia="宋体" w:cs="宋体"/>
          <w:color w:val="auto"/>
          <w:spacing w:val="-6"/>
          <w:sz w:val="24"/>
          <w:szCs w:val="24"/>
          <w:highlight w:val="none"/>
        </w:rPr>
        <w:t>审。</w:t>
      </w:r>
    </w:p>
    <w:p w14:paraId="0F49AEB6">
      <w:pPr>
        <w:spacing w:line="323" w:lineRule="auto"/>
        <w:ind w:left="172" w:firstLine="486"/>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（二）资格证明材料（本栏所列内容为本项目的资格审</w:t>
      </w:r>
      <w:r>
        <w:rPr>
          <w:rFonts w:ascii="宋体" w:hAnsi="宋体" w:eastAsia="宋体" w:cs="宋体"/>
          <w:color w:val="auto"/>
          <w:spacing w:val="-9"/>
          <w:sz w:val="24"/>
          <w:szCs w:val="24"/>
          <w:highlight w:val="none"/>
        </w:rPr>
        <w:t>查条件，如有一项不符合要求，</w:t>
      </w:r>
      <w:r>
        <w:rPr>
          <w:rFonts w:ascii="宋体" w:hAnsi="宋体" w:eastAsia="宋体" w:cs="宋体"/>
          <w:color w:val="auto"/>
          <w:spacing w:val="-2"/>
          <w:sz w:val="24"/>
          <w:szCs w:val="24"/>
          <w:highlight w:val="none"/>
        </w:rPr>
        <w:t>则不能进入下一步评审）。</w:t>
      </w:r>
    </w:p>
    <w:p w14:paraId="0F380EC8">
      <w:pPr>
        <w:spacing w:before="1" w:line="272" w:lineRule="auto"/>
        <w:ind w:left="191" w:right="61" w:firstLine="46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（三）资格审查中所涉及的证书及材料，均须在电子响应文件中提供原件扫描件（或</w:t>
      </w:r>
      <w:r>
        <w:rPr>
          <w:rFonts w:ascii="宋体" w:hAnsi="宋体" w:eastAsia="宋体" w:cs="宋体"/>
          <w:color w:val="auto"/>
          <w:spacing w:val="-9"/>
          <w:sz w:val="24"/>
          <w:szCs w:val="24"/>
          <w:highlight w:val="none"/>
        </w:rPr>
        <w:t>图片）。</w:t>
      </w:r>
    </w:p>
    <w:tbl>
      <w:tblPr>
        <w:tblStyle w:val="11"/>
        <w:tblW w:w="90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2409"/>
        <w:gridCol w:w="5955"/>
      </w:tblGrid>
      <w:tr w14:paraId="2D7E8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679" w:type="dxa"/>
            <w:textDirection w:val="tbRlV"/>
            <w:vAlign w:val="top"/>
          </w:tcPr>
          <w:p w14:paraId="5BE21709">
            <w:pPr>
              <w:pStyle w:val="12"/>
              <w:spacing w:before="218" w:line="210" w:lineRule="auto"/>
              <w:ind w:left="118"/>
              <w:rPr>
                <w:color w:val="auto"/>
                <w:highlight w:val="none"/>
              </w:rPr>
            </w:pPr>
            <w:r>
              <w:rPr>
                <w:b/>
                <w:bCs/>
                <w:color w:val="auto"/>
                <w:spacing w:val="-3"/>
                <w:highlight w:val="none"/>
              </w:rPr>
              <w:t>序</w:t>
            </w:r>
            <w:r>
              <w:rPr>
                <w:color w:val="auto"/>
                <w:spacing w:val="108"/>
                <w:highlight w:val="none"/>
              </w:rPr>
              <w:t xml:space="preserve"> </w:t>
            </w:r>
            <w:r>
              <w:rPr>
                <w:b/>
                <w:bCs/>
                <w:color w:val="auto"/>
                <w:spacing w:val="-3"/>
                <w:highlight w:val="none"/>
              </w:rPr>
              <w:t>号</w:t>
            </w:r>
          </w:p>
        </w:tc>
        <w:tc>
          <w:tcPr>
            <w:tcW w:w="2409" w:type="dxa"/>
            <w:vAlign w:val="top"/>
          </w:tcPr>
          <w:p w14:paraId="62AB7F30">
            <w:pPr>
              <w:spacing w:line="274" w:lineRule="auto"/>
              <w:rPr>
                <w:rFonts w:ascii="Arial"/>
                <w:color w:val="auto"/>
                <w:sz w:val="21"/>
                <w:highlight w:val="none"/>
              </w:rPr>
            </w:pPr>
          </w:p>
          <w:p w14:paraId="5D69992B">
            <w:pPr>
              <w:pStyle w:val="12"/>
              <w:spacing w:before="78" w:line="219" w:lineRule="auto"/>
              <w:ind w:left="497"/>
              <w:rPr>
                <w:color w:val="auto"/>
                <w:highlight w:val="none"/>
              </w:rPr>
            </w:pPr>
            <w:r>
              <w:rPr>
                <w:b/>
                <w:bCs/>
                <w:color w:val="auto"/>
                <w:spacing w:val="-6"/>
                <w:highlight w:val="none"/>
              </w:rPr>
              <w:t>资格审查因素</w:t>
            </w:r>
          </w:p>
        </w:tc>
        <w:tc>
          <w:tcPr>
            <w:tcW w:w="5955" w:type="dxa"/>
            <w:vAlign w:val="top"/>
          </w:tcPr>
          <w:p w14:paraId="0326443F">
            <w:pPr>
              <w:spacing w:line="274" w:lineRule="auto"/>
              <w:rPr>
                <w:rFonts w:ascii="Arial"/>
                <w:color w:val="auto"/>
                <w:sz w:val="21"/>
                <w:highlight w:val="none"/>
              </w:rPr>
            </w:pPr>
          </w:p>
          <w:p w14:paraId="2EE69322">
            <w:pPr>
              <w:pStyle w:val="12"/>
              <w:spacing w:before="78" w:line="219" w:lineRule="auto"/>
              <w:ind w:left="2383"/>
              <w:rPr>
                <w:color w:val="auto"/>
                <w:highlight w:val="none"/>
              </w:rPr>
            </w:pPr>
            <w:r>
              <w:rPr>
                <w:b/>
                <w:bCs/>
                <w:color w:val="auto"/>
                <w:spacing w:val="-5"/>
                <w:highlight w:val="none"/>
              </w:rPr>
              <w:t>说明与要求</w:t>
            </w:r>
          </w:p>
        </w:tc>
      </w:tr>
      <w:tr w14:paraId="1A142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679" w:type="dxa"/>
            <w:vAlign w:val="top"/>
          </w:tcPr>
          <w:p w14:paraId="5517C992">
            <w:pPr>
              <w:pStyle w:val="12"/>
              <w:spacing w:before="135" w:line="241" w:lineRule="auto"/>
              <w:ind w:left="302"/>
              <w:rPr>
                <w:color w:val="auto"/>
                <w:highlight w:val="none"/>
              </w:rPr>
            </w:pPr>
            <w:r>
              <w:rPr>
                <w:b/>
                <w:bCs/>
                <w:color w:val="auto"/>
                <w:spacing w:val="-3"/>
                <w:highlight w:val="none"/>
              </w:rPr>
              <w:t>1</w:t>
            </w:r>
          </w:p>
        </w:tc>
        <w:tc>
          <w:tcPr>
            <w:tcW w:w="2409" w:type="dxa"/>
            <w:vAlign w:val="top"/>
          </w:tcPr>
          <w:p w14:paraId="7B1102EC">
            <w:pPr>
              <w:pStyle w:val="12"/>
              <w:spacing w:before="169" w:line="220" w:lineRule="auto"/>
              <w:ind w:left="852"/>
              <w:rPr>
                <w:color w:val="auto"/>
                <w:highlight w:val="none"/>
              </w:rPr>
            </w:pPr>
            <w:r>
              <w:rPr>
                <w:b/>
                <w:bCs/>
                <w:color w:val="auto"/>
                <w:spacing w:val="-6"/>
                <w:highlight w:val="none"/>
              </w:rPr>
              <w:t>投标函</w:t>
            </w:r>
          </w:p>
        </w:tc>
        <w:tc>
          <w:tcPr>
            <w:tcW w:w="5955" w:type="dxa"/>
            <w:vAlign w:val="top"/>
          </w:tcPr>
          <w:p w14:paraId="2C14C470">
            <w:pPr>
              <w:pStyle w:val="12"/>
              <w:spacing w:before="168" w:line="219" w:lineRule="auto"/>
              <w:ind w:left="114"/>
              <w:rPr>
                <w:color w:val="auto"/>
                <w:highlight w:val="none"/>
              </w:rPr>
            </w:pPr>
            <w:r>
              <w:rPr>
                <w:color w:val="auto"/>
                <w:spacing w:val="-3"/>
                <w:highlight w:val="none"/>
              </w:rPr>
              <w:t>参考磋商文件第八章</w:t>
            </w:r>
            <w:r>
              <w:rPr>
                <w:color w:val="auto"/>
                <w:spacing w:val="-34"/>
                <w:highlight w:val="none"/>
              </w:rPr>
              <w:t xml:space="preserve"> </w:t>
            </w:r>
            <w:r>
              <w:rPr>
                <w:color w:val="auto"/>
                <w:spacing w:val="-3"/>
                <w:highlight w:val="none"/>
              </w:rPr>
              <w:t>3.1</w:t>
            </w:r>
            <w:r>
              <w:rPr>
                <w:color w:val="auto"/>
                <w:spacing w:val="-51"/>
                <w:highlight w:val="none"/>
              </w:rPr>
              <w:t xml:space="preserve"> </w:t>
            </w:r>
            <w:r>
              <w:rPr>
                <w:color w:val="auto"/>
                <w:spacing w:val="-3"/>
                <w:highlight w:val="none"/>
              </w:rPr>
              <w:t>格式填写</w:t>
            </w:r>
          </w:p>
        </w:tc>
      </w:tr>
      <w:tr w14:paraId="499E6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trPr>
        <w:tc>
          <w:tcPr>
            <w:tcW w:w="679" w:type="dxa"/>
            <w:vAlign w:val="top"/>
          </w:tcPr>
          <w:p w14:paraId="68EFB6BD">
            <w:pPr>
              <w:spacing w:line="279" w:lineRule="auto"/>
              <w:rPr>
                <w:rFonts w:ascii="Arial"/>
                <w:color w:val="auto"/>
                <w:sz w:val="21"/>
                <w:highlight w:val="none"/>
              </w:rPr>
            </w:pPr>
          </w:p>
          <w:p w14:paraId="7974F069">
            <w:pPr>
              <w:spacing w:line="279" w:lineRule="auto"/>
              <w:rPr>
                <w:rFonts w:ascii="Arial"/>
                <w:color w:val="auto"/>
                <w:sz w:val="21"/>
                <w:highlight w:val="none"/>
              </w:rPr>
            </w:pPr>
          </w:p>
          <w:p w14:paraId="144129FF">
            <w:pPr>
              <w:spacing w:line="280" w:lineRule="auto"/>
              <w:rPr>
                <w:rFonts w:ascii="Arial"/>
                <w:color w:val="auto"/>
                <w:sz w:val="21"/>
                <w:highlight w:val="none"/>
              </w:rPr>
            </w:pPr>
          </w:p>
          <w:p w14:paraId="2BBB114D">
            <w:pPr>
              <w:pStyle w:val="12"/>
              <w:spacing w:before="78" w:line="241" w:lineRule="auto"/>
              <w:ind w:left="287"/>
              <w:rPr>
                <w:color w:val="auto"/>
                <w:highlight w:val="none"/>
              </w:rPr>
            </w:pPr>
            <w:r>
              <w:rPr>
                <w:b/>
                <w:bCs/>
                <w:color w:val="auto"/>
                <w:spacing w:val="-3"/>
                <w:highlight w:val="none"/>
              </w:rPr>
              <w:t>2</w:t>
            </w:r>
          </w:p>
        </w:tc>
        <w:tc>
          <w:tcPr>
            <w:tcW w:w="2409" w:type="dxa"/>
            <w:vAlign w:val="top"/>
          </w:tcPr>
          <w:p w14:paraId="34A99BC9">
            <w:pPr>
              <w:spacing w:line="290" w:lineRule="auto"/>
              <w:rPr>
                <w:rFonts w:ascii="Arial"/>
                <w:color w:val="auto"/>
                <w:sz w:val="21"/>
                <w:highlight w:val="none"/>
              </w:rPr>
            </w:pPr>
          </w:p>
          <w:p w14:paraId="285F283B">
            <w:pPr>
              <w:spacing w:line="291" w:lineRule="auto"/>
              <w:rPr>
                <w:rFonts w:ascii="Arial"/>
                <w:color w:val="auto"/>
                <w:sz w:val="21"/>
                <w:highlight w:val="none"/>
              </w:rPr>
            </w:pPr>
          </w:p>
          <w:p w14:paraId="78D04A22">
            <w:pPr>
              <w:spacing w:line="291" w:lineRule="auto"/>
              <w:rPr>
                <w:rFonts w:ascii="Arial"/>
                <w:color w:val="auto"/>
                <w:sz w:val="21"/>
                <w:highlight w:val="none"/>
              </w:rPr>
            </w:pPr>
          </w:p>
          <w:p w14:paraId="614EF462">
            <w:pPr>
              <w:pStyle w:val="12"/>
              <w:spacing w:before="78" w:line="220" w:lineRule="auto"/>
              <w:ind w:left="751"/>
              <w:rPr>
                <w:color w:val="auto"/>
                <w:highlight w:val="none"/>
              </w:rPr>
            </w:pPr>
            <w:r>
              <w:rPr>
                <w:b/>
                <w:bCs/>
                <w:color w:val="auto"/>
                <w:spacing w:val="-10"/>
                <w:highlight w:val="none"/>
              </w:rPr>
              <w:t>中小企业</w:t>
            </w:r>
          </w:p>
        </w:tc>
        <w:tc>
          <w:tcPr>
            <w:tcW w:w="5955" w:type="dxa"/>
            <w:vAlign w:val="top"/>
          </w:tcPr>
          <w:p w14:paraId="29FAB722">
            <w:pPr>
              <w:pStyle w:val="12"/>
              <w:spacing w:before="147" w:line="219" w:lineRule="auto"/>
              <w:ind w:left="124"/>
              <w:rPr>
                <w:color w:val="auto"/>
                <w:highlight w:val="none"/>
              </w:rPr>
            </w:pPr>
            <w:r>
              <w:rPr>
                <w:color w:val="auto"/>
                <w:spacing w:val="-2"/>
                <w:highlight w:val="none"/>
              </w:rPr>
              <w:t>（1）中小企业出具《中小企业声明函》</w:t>
            </w:r>
          </w:p>
          <w:p w14:paraId="7A95B63B">
            <w:pPr>
              <w:pStyle w:val="12"/>
              <w:spacing w:before="156" w:line="219" w:lineRule="auto"/>
              <w:jc w:val="right"/>
              <w:rPr>
                <w:color w:val="auto"/>
                <w:highlight w:val="none"/>
              </w:rPr>
            </w:pPr>
            <w:r>
              <w:rPr>
                <w:color w:val="auto"/>
                <w:spacing w:val="-3"/>
                <w:highlight w:val="none"/>
              </w:rPr>
              <w:t>（2）残疾人福利性单位出具《残疾人福利企业声明函》</w:t>
            </w:r>
          </w:p>
          <w:p w14:paraId="21D8449D">
            <w:pPr>
              <w:pStyle w:val="12"/>
              <w:spacing w:before="124" w:line="276" w:lineRule="auto"/>
              <w:ind w:left="114" w:right="108" w:firstLine="9"/>
              <w:rPr>
                <w:color w:val="auto"/>
                <w:highlight w:val="none"/>
              </w:rPr>
            </w:pPr>
            <w:r>
              <w:rPr>
                <w:color w:val="auto"/>
                <w:spacing w:val="3"/>
                <w:highlight w:val="none"/>
              </w:rPr>
              <w:t>（3）监狱企业提供由省级以上监狱管理局、戒毒管理</w:t>
            </w:r>
            <w:r>
              <w:rPr>
                <w:color w:val="auto"/>
                <w:spacing w:val="-2"/>
                <w:highlight w:val="none"/>
              </w:rPr>
              <w:t>局（含新疆生产建设兵团）出具的属于监狱企业的证明</w:t>
            </w:r>
            <w:r>
              <w:rPr>
                <w:color w:val="auto"/>
                <w:spacing w:val="-6"/>
                <w:highlight w:val="none"/>
              </w:rPr>
              <w:t>文件</w:t>
            </w:r>
          </w:p>
        </w:tc>
      </w:tr>
      <w:tr w14:paraId="1DA88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679" w:type="dxa"/>
            <w:vAlign w:val="top"/>
          </w:tcPr>
          <w:p w14:paraId="1DA6ECF8">
            <w:pPr>
              <w:pStyle w:val="12"/>
              <w:spacing w:before="306"/>
              <w:ind w:left="289"/>
              <w:rPr>
                <w:color w:val="auto"/>
                <w:highlight w:val="none"/>
              </w:rPr>
            </w:pPr>
            <w:r>
              <w:rPr>
                <w:b/>
                <w:bCs/>
                <w:color w:val="auto"/>
                <w:spacing w:val="-3"/>
                <w:highlight w:val="none"/>
              </w:rPr>
              <w:t>3</w:t>
            </w:r>
          </w:p>
        </w:tc>
        <w:tc>
          <w:tcPr>
            <w:tcW w:w="2409" w:type="dxa"/>
            <w:vAlign w:val="top"/>
          </w:tcPr>
          <w:p w14:paraId="0A0794D0">
            <w:pPr>
              <w:pStyle w:val="12"/>
              <w:spacing w:before="138" w:line="270" w:lineRule="auto"/>
              <w:ind w:left="124" w:right="119" w:firstLine="2"/>
              <w:rPr>
                <w:color w:val="auto"/>
                <w:highlight w:val="none"/>
              </w:rPr>
            </w:pPr>
            <w:r>
              <w:rPr>
                <w:b/>
                <w:bCs/>
                <w:color w:val="auto"/>
                <w:spacing w:val="-3"/>
                <w:highlight w:val="none"/>
              </w:rPr>
              <w:t>许昌市建安区政府采购供应商信用承诺函</w:t>
            </w:r>
          </w:p>
        </w:tc>
        <w:tc>
          <w:tcPr>
            <w:tcW w:w="5955" w:type="dxa"/>
            <w:vAlign w:val="top"/>
          </w:tcPr>
          <w:p w14:paraId="327EFA1D">
            <w:pPr>
              <w:spacing w:line="260" w:lineRule="auto"/>
              <w:rPr>
                <w:rFonts w:ascii="Arial"/>
                <w:color w:val="auto"/>
                <w:sz w:val="21"/>
                <w:highlight w:val="none"/>
              </w:rPr>
            </w:pPr>
          </w:p>
          <w:p w14:paraId="0F7E8F80">
            <w:pPr>
              <w:pStyle w:val="12"/>
              <w:spacing w:before="78" w:line="219" w:lineRule="auto"/>
              <w:ind w:left="114"/>
              <w:rPr>
                <w:color w:val="auto"/>
                <w:highlight w:val="none"/>
              </w:rPr>
            </w:pPr>
            <w:r>
              <w:rPr>
                <w:color w:val="auto"/>
                <w:spacing w:val="-3"/>
                <w:highlight w:val="none"/>
              </w:rPr>
              <w:t>按照磋商文件第八章</w:t>
            </w:r>
            <w:r>
              <w:rPr>
                <w:color w:val="auto"/>
                <w:spacing w:val="-34"/>
                <w:highlight w:val="none"/>
              </w:rPr>
              <w:t xml:space="preserve"> </w:t>
            </w:r>
            <w:r>
              <w:rPr>
                <w:color w:val="auto"/>
                <w:spacing w:val="-3"/>
                <w:highlight w:val="none"/>
              </w:rPr>
              <w:t>3.6</w:t>
            </w:r>
            <w:r>
              <w:rPr>
                <w:color w:val="auto"/>
                <w:spacing w:val="-51"/>
                <w:highlight w:val="none"/>
              </w:rPr>
              <w:t xml:space="preserve"> </w:t>
            </w:r>
            <w:r>
              <w:rPr>
                <w:color w:val="auto"/>
                <w:spacing w:val="-3"/>
                <w:highlight w:val="none"/>
              </w:rPr>
              <w:t>格式填写</w:t>
            </w:r>
          </w:p>
        </w:tc>
      </w:tr>
      <w:tr w14:paraId="5107D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679" w:type="dxa"/>
            <w:vAlign w:val="top"/>
          </w:tcPr>
          <w:p w14:paraId="7D396069">
            <w:pPr>
              <w:pStyle w:val="12"/>
              <w:spacing w:before="307" w:line="241" w:lineRule="auto"/>
              <w:ind w:left="283"/>
              <w:rPr>
                <w:color w:val="auto"/>
                <w:highlight w:val="none"/>
              </w:rPr>
            </w:pPr>
            <w:r>
              <w:rPr>
                <w:b/>
                <w:bCs/>
                <w:color w:val="auto"/>
                <w:spacing w:val="-3"/>
                <w:highlight w:val="none"/>
              </w:rPr>
              <w:t>4</w:t>
            </w:r>
          </w:p>
        </w:tc>
        <w:tc>
          <w:tcPr>
            <w:tcW w:w="2409" w:type="dxa"/>
            <w:vAlign w:val="top"/>
          </w:tcPr>
          <w:p w14:paraId="59B9476F">
            <w:pPr>
              <w:pStyle w:val="12"/>
              <w:spacing w:before="141" w:line="269" w:lineRule="auto"/>
              <w:ind w:left="738" w:right="119" w:hanging="612"/>
              <w:rPr>
                <w:color w:val="auto"/>
                <w:highlight w:val="none"/>
              </w:rPr>
            </w:pPr>
            <w:r>
              <w:rPr>
                <w:b/>
                <w:bCs/>
                <w:color w:val="auto"/>
                <w:spacing w:val="-3"/>
                <w:highlight w:val="none"/>
              </w:rPr>
              <w:t>供应商须具备的特殊</w:t>
            </w:r>
            <w:r>
              <w:rPr>
                <w:b/>
                <w:bCs/>
                <w:color w:val="auto"/>
                <w:spacing w:val="-7"/>
                <w:highlight w:val="none"/>
              </w:rPr>
              <w:t>资质证书</w:t>
            </w:r>
          </w:p>
        </w:tc>
        <w:tc>
          <w:tcPr>
            <w:tcW w:w="5955" w:type="dxa"/>
            <w:vAlign w:val="top"/>
          </w:tcPr>
          <w:p w14:paraId="4CEB10B3">
            <w:pPr>
              <w:pStyle w:val="12"/>
              <w:spacing w:before="141" w:line="269" w:lineRule="auto"/>
              <w:ind w:left="111" w:right="98" w:firstLine="1"/>
              <w:jc w:val="center"/>
              <w:rPr>
                <w:rFonts w:hint="eastAsia" w:eastAsia="宋体"/>
                <w:color w:val="auto"/>
                <w:highlight w:val="none"/>
                <w:lang w:eastAsia="zh-CN"/>
              </w:rPr>
            </w:pPr>
            <w:r>
              <w:rPr>
                <w:rFonts w:hint="eastAsia"/>
                <w:color w:val="auto"/>
                <w:spacing w:val="9"/>
                <w:highlight w:val="none"/>
                <w:lang w:val="en-US" w:eastAsia="zh-CN"/>
              </w:rPr>
              <w:t>/</w:t>
            </w:r>
          </w:p>
        </w:tc>
      </w:tr>
      <w:tr w14:paraId="5DD55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679" w:type="dxa"/>
            <w:vAlign w:val="top"/>
          </w:tcPr>
          <w:p w14:paraId="1908408E">
            <w:pPr>
              <w:spacing w:line="404" w:lineRule="auto"/>
              <w:rPr>
                <w:rFonts w:ascii="Arial"/>
                <w:color w:val="auto"/>
                <w:sz w:val="21"/>
                <w:highlight w:val="none"/>
              </w:rPr>
            </w:pPr>
          </w:p>
          <w:p w14:paraId="0733B13C">
            <w:pPr>
              <w:pStyle w:val="12"/>
              <w:spacing w:before="78"/>
              <w:ind w:left="289"/>
              <w:rPr>
                <w:color w:val="auto"/>
                <w:highlight w:val="none"/>
              </w:rPr>
            </w:pPr>
            <w:r>
              <w:rPr>
                <w:b/>
                <w:bCs/>
                <w:color w:val="auto"/>
                <w:spacing w:val="-3"/>
                <w:highlight w:val="none"/>
              </w:rPr>
              <w:t>5</w:t>
            </w:r>
          </w:p>
        </w:tc>
        <w:tc>
          <w:tcPr>
            <w:tcW w:w="2409" w:type="dxa"/>
            <w:vAlign w:val="top"/>
          </w:tcPr>
          <w:p w14:paraId="4B7AABF2">
            <w:pPr>
              <w:spacing w:line="438" w:lineRule="auto"/>
              <w:rPr>
                <w:rFonts w:ascii="Arial"/>
                <w:color w:val="auto"/>
                <w:sz w:val="21"/>
                <w:highlight w:val="none"/>
              </w:rPr>
            </w:pPr>
          </w:p>
          <w:p w14:paraId="35D085CF">
            <w:pPr>
              <w:pStyle w:val="12"/>
              <w:spacing w:before="78" w:line="218" w:lineRule="auto"/>
              <w:ind w:left="728"/>
              <w:rPr>
                <w:color w:val="auto"/>
                <w:highlight w:val="none"/>
              </w:rPr>
            </w:pPr>
            <w:r>
              <w:rPr>
                <w:b/>
                <w:bCs/>
                <w:color w:val="auto"/>
                <w:spacing w:val="-5"/>
                <w:highlight w:val="none"/>
              </w:rPr>
              <w:t>磋商报价</w:t>
            </w:r>
          </w:p>
        </w:tc>
        <w:tc>
          <w:tcPr>
            <w:tcW w:w="5955" w:type="dxa"/>
            <w:vAlign w:val="top"/>
          </w:tcPr>
          <w:p w14:paraId="06B9DD1F">
            <w:pPr>
              <w:pStyle w:val="12"/>
              <w:spacing w:before="117" w:line="276" w:lineRule="auto"/>
              <w:ind w:left="112" w:right="108"/>
              <w:jc w:val="both"/>
              <w:rPr>
                <w:color w:val="auto"/>
                <w:highlight w:val="none"/>
              </w:rPr>
            </w:pPr>
            <w:r>
              <w:rPr>
                <w:color w:val="auto"/>
                <w:spacing w:val="-2"/>
                <w:highlight w:val="none"/>
              </w:rPr>
              <w:t>供应商报价是否超出磋商文件中规定的预算金额，超出预算金额的投标无效。如供应商须知前附表规定最高限</w:t>
            </w:r>
            <w:r>
              <w:rPr>
                <w:color w:val="auto"/>
                <w:spacing w:val="-1"/>
                <w:highlight w:val="none"/>
              </w:rPr>
              <w:t>价，则超出预算金额和最高限价的投标无效。</w:t>
            </w:r>
          </w:p>
        </w:tc>
      </w:tr>
      <w:tr w14:paraId="44159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679" w:type="dxa"/>
            <w:vAlign w:val="top"/>
          </w:tcPr>
          <w:p w14:paraId="43B498C5">
            <w:pPr>
              <w:pStyle w:val="12"/>
              <w:spacing w:before="176"/>
              <w:ind w:left="286"/>
              <w:rPr>
                <w:color w:val="auto"/>
                <w:highlight w:val="none"/>
              </w:rPr>
            </w:pPr>
            <w:r>
              <w:rPr>
                <w:b/>
                <w:bCs/>
                <w:color w:val="auto"/>
                <w:spacing w:val="-3"/>
                <w:highlight w:val="none"/>
              </w:rPr>
              <w:t>6</w:t>
            </w:r>
          </w:p>
        </w:tc>
        <w:tc>
          <w:tcPr>
            <w:tcW w:w="2409" w:type="dxa"/>
            <w:vAlign w:val="top"/>
          </w:tcPr>
          <w:p w14:paraId="4E1DF976">
            <w:pPr>
              <w:pStyle w:val="12"/>
              <w:spacing w:before="210" w:line="219" w:lineRule="auto"/>
              <w:ind w:left="605"/>
              <w:rPr>
                <w:color w:val="auto"/>
                <w:highlight w:val="none"/>
              </w:rPr>
            </w:pPr>
            <w:r>
              <w:rPr>
                <w:b/>
                <w:bCs/>
                <w:color w:val="auto"/>
                <w:spacing w:val="-4"/>
                <w:highlight w:val="none"/>
              </w:rPr>
              <w:t>磋商承诺函</w:t>
            </w:r>
          </w:p>
        </w:tc>
        <w:tc>
          <w:tcPr>
            <w:tcW w:w="5955" w:type="dxa"/>
            <w:vAlign w:val="top"/>
          </w:tcPr>
          <w:p w14:paraId="790CCE10">
            <w:pPr>
              <w:pStyle w:val="12"/>
              <w:spacing w:before="210" w:line="219" w:lineRule="auto"/>
              <w:ind w:left="116"/>
              <w:rPr>
                <w:color w:val="auto"/>
                <w:highlight w:val="none"/>
              </w:rPr>
            </w:pPr>
            <w:r>
              <w:rPr>
                <w:color w:val="auto"/>
                <w:spacing w:val="-2"/>
                <w:highlight w:val="none"/>
              </w:rPr>
              <w:t>是否按要求承诺。</w:t>
            </w:r>
          </w:p>
        </w:tc>
      </w:tr>
      <w:tr w14:paraId="1F611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679" w:type="dxa"/>
            <w:vAlign w:val="top"/>
          </w:tcPr>
          <w:p w14:paraId="168DC556">
            <w:pPr>
              <w:pStyle w:val="12"/>
              <w:spacing w:before="286"/>
              <w:ind w:left="290"/>
              <w:rPr>
                <w:color w:val="auto"/>
                <w:highlight w:val="none"/>
              </w:rPr>
            </w:pPr>
            <w:r>
              <w:rPr>
                <w:b/>
                <w:bCs/>
                <w:color w:val="auto"/>
                <w:spacing w:val="-3"/>
                <w:highlight w:val="none"/>
              </w:rPr>
              <w:t>7</w:t>
            </w:r>
          </w:p>
        </w:tc>
        <w:tc>
          <w:tcPr>
            <w:tcW w:w="2409" w:type="dxa"/>
            <w:vAlign w:val="top"/>
          </w:tcPr>
          <w:p w14:paraId="047EDE25">
            <w:pPr>
              <w:rPr>
                <w:rFonts w:ascii="Arial"/>
                <w:color w:val="auto"/>
                <w:sz w:val="21"/>
                <w:highlight w:val="none"/>
              </w:rPr>
            </w:pPr>
          </w:p>
          <w:p w14:paraId="18DE4D7E">
            <w:pPr>
              <w:pStyle w:val="12"/>
              <w:spacing w:before="78" w:line="220" w:lineRule="auto"/>
              <w:ind w:left="607"/>
              <w:rPr>
                <w:color w:val="auto"/>
                <w:highlight w:val="none"/>
              </w:rPr>
            </w:pPr>
            <w:r>
              <w:rPr>
                <w:b/>
                <w:bCs/>
                <w:color w:val="auto"/>
                <w:spacing w:val="-4"/>
                <w:highlight w:val="none"/>
              </w:rPr>
              <w:t>联合体协议</w:t>
            </w:r>
          </w:p>
        </w:tc>
        <w:tc>
          <w:tcPr>
            <w:tcW w:w="5955" w:type="dxa"/>
            <w:vAlign w:val="top"/>
          </w:tcPr>
          <w:p w14:paraId="2772E853">
            <w:pPr>
              <w:pStyle w:val="12"/>
              <w:spacing w:before="118" w:line="260" w:lineRule="auto"/>
              <w:ind w:left="111" w:right="108"/>
              <w:rPr>
                <w:color w:val="auto"/>
                <w:highlight w:val="none"/>
              </w:rPr>
            </w:pPr>
            <w:r>
              <w:rPr>
                <w:color w:val="auto"/>
                <w:spacing w:val="-2"/>
                <w:highlight w:val="none"/>
              </w:rPr>
              <w:t>磋商文件接受联合体投标且供应商为联合体的，供应商</w:t>
            </w:r>
            <w:r>
              <w:rPr>
                <w:color w:val="auto"/>
                <w:spacing w:val="-1"/>
                <w:highlight w:val="none"/>
              </w:rPr>
              <w:t>应提供本协议；否则无须提供。</w:t>
            </w:r>
          </w:p>
        </w:tc>
      </w:tr>
      <w:tr w14:paraId="17E18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7" w:hRule="atLeast"/>
        </w:trPr>
        <w:tc>
          <w:tcPr>
            <w:tcW w:w="679" w:type="dxa"/>
            <w:vAlign w:val="top"/>
          </w:tcPr>
          <w:p w14:paraId="4CBDBC50">
            <w:pPr>
              <w:spacing w:line="267" w:lineRule="auto"/>
              <w:rPr>
                <w:rFonts w:ascii="Arial"/>
                <w:color w:val="auto"/>
                <w:sz w:val="21"/>
                <w:highlight w:val="none"/>
              </w:rPr>
            </w:pPr>
          </w:p>
          <w:p w14:paraId="3AE3AA89">
            <w:pPr>
              <w:spacing w:line="267" w:lineRule="auto"/>
              <w:rPr>
                <w:rFonts w:ascii="Arial"/>
                <w:color w:val="auto"/>
                <w:sz w:val="21"/>
                <w:highlight w:val="none"/>
              </w:rPr>
            </w:pPr>
          </w:p>
          <w:p w14:paraId="5A2FDDBE">
            <w:pPr>
              <w:spacing w:line="267" w:lineRule="auto"/>
              <w:rPr>
                <w:rFonts w:ascii="Arial"/>
                <w:color w:val="auto"/>
                <w:sz w:val="21"/>
                <w:highlight w:val="none"/>
              </w:rPr>
            </w:pPr>
          </w:p>
          <w:p w14:paraId="61809498">
            <w:pPr>
              <w:pStyle w:val="12"/>
              <w:spacing w:before="78"/>
              <w:ind w:left="285"/>
              <w:rPr>
                <w:color w:val="auto"/>
                <w:highlight w:val="none"/>
              </w:rPr>
            </w:pPr>
            <w:r>
              <w:rPr>
                <w:b/>
                <w:bCs/>
                <w:color w:val="auto"/>
                <w:spacing w:val="-3"/>
                <w:highlight w:val="none"/>
              </w:rPr>
              <w:t>8</w:t>
            </w:r>
          </w:p>
        </w:tc>
        <w:tc>
          <w:tcPr>
            <w:tcW w:w="2409" w:type="dxa"/>
            <w:vAlign w:val="top"/>
          </w:tcPr>
          <w:p w14:paraId="7FEB750F">
            <w:pPr>
              <w:spacing w:line="318" w:lineRule="auto"/>
              <w:rPr>
                <w:rFonts w:ascii="Arial"/>
                <w:color w:val="auto"/>
                <w:sz w:val="21"/>
                <w:highlight w:val="none"/>
              </w:rPr>
            </w:pPr>
          </w:p>
          <w:p w14:paraId="3C2DB8AD">
            <w:pPr>
              <w:spacing w:line="319" w:lineRule="auto"/>
              <w:rPr>
                <w:rFonts w:ascii="Arial"/>
                <w:color w:val="auto"/>
                <w:sz w:val="21"/>
                <w:highlight w:val="none"/>
              </w:rPr>
            </w:pPr>
          </w:p>
          <w:p w14:paraId="2DDFFB71">
            <w:pPr>
              <w:pStyle w:val="12"/>
              <w:spacing w:before="78" w:line="219" w:lineRule="auto"/>
              <w:ind w:left="126"/>
              <w:rPr>
                <w:color w:val="auto"/>
                <w:highlight w:val="none"/>
              </w:rPr>
            </w:pPr>
            <w:r>
              <w:rPr>
                <w:b/>
                <w:bCs/>
                <w:color w:val="auto"/>
                <w:spacing w:val="-3"/>
                <w:highlight w:val="none"/>
              </w:rPr>
              <w:t>供应商身份证明及授</w:t>
            </w:r>
          </w:p>
          <w:p w14:paraId="0EEDD4F0">
            <w:pPr>
              <w:pStyle w:val="12"/>
              <w:spacing w:before="117" w:line="219" w:lineRule="auto"/>
              <w:ind w:left="1088"/>
              <w:rPr>
                <w:color w:val="auto"/>
                <w:highlight w:val="none"/>
              </w:rPr>
            </w:pPr>
            <w:r>
              <w:rPr>
                <w:b/>
                <w:bCs/>
                <w:color w:val="auto"/>
                <w:spacing w:val="-3"/>
                <w:highlight w:val="none"/>
              </w:rPr>
              <w:t>权</w:t>
            </w:r>
          </w:p>
        </w:tc>
        <w:tc>
          <w:tcPr>
            <w:tcW w:w="5955" w:type="dxa"/>
            <w:vAlign w:val="top"/>
          </w:tcPr>
          <w:p w14:paraId="0B86895C">
            <w:pPr>
              <w:pStyle w:val="12"/>
              <w:spacing w:before="120" w:line="307" w:lineRule="auto"/>
              <w:ind w:left="117" w:right="108" w:firstLine="6"/>
              <w:rPr>
                <w:color w:val="auto"/>
                <w:highlight w:val="none"/>
              </w:rPr>
            </w:pPr>
            <w:r>
              <w:rPr>
                <w:color w:val="auto"/>
                <w:spacing w:val="3"/>
                <w:highlight w:val="none"/>
              </w:rPr>
              <w:t>（1）法定代表人身份证明或提供法定代表人授权委托</w:t>
            </w:r>
            <w:r>
              <w:rPr>
                <w:color w:val="auto"/>
                <w:spacing w:val="-1"/>
                <w:highlight w:val="none"/>
              </w:rPr>
              <w:t>书及被授权人身份证明。（法人投标提供）</w:t>
            </w:r>
          </w:p>
          <w:p w14:paraId="2BA3FF5F">
            <w:pPr>
              <w:pStyle w:val="12"/>
              <w:spacing w:line="308" w:lineRule="auto"/>
              <w:ind w:left="117" w:right="108" w:firstLine="6"/>
              <w:rPr>
                <w:color w:val="auto"/>
                <w:highlight w:val="none"/>
              </w:rPr>
            </w:pPr>
            <w:r>
              <w:rPr>
                <w:color w:val="auto"/>
                <w:spacing w:val="3"/>
                <w:highlight w:val="none"/>
              </w:rPr>
              <w:t>（2）单位负责人身份证明或提供单位负责人授权委托</w:t>
            </w:r>
            <w:r>
              <w:rPr>
                <w:color w:val="auto"/>
                <w:spacing w:val="-1"/>
                <w:highlight w:val="none"/>
              </w:rPr>
              <w:t>书及被授权人身份证明。（非法人投标提供）</w:t>
            </w:r>
          </w:p>
          <w:p w14:paraId="7F6CCD3E">
            <w:pPr>
              <w:pStyle w:val="12"/>
              <w:spacing w:line="212" w:lineRule="auto"/>
              <w:ind w:left="112"/>
              <w:rPr>
                <w:color w:val="auto"/>
                <w:highlight w:val="none"/>
              </w:rPr>
            </w:pPr>
            <w:r>
              <w:rPr>
                <w:b/>
                <w:bCs/>
                <w:color w:val="auto"/>
                <w:spacing w:val="-8"/>
                <w:highlight w:val="none"/>
              </w:rPr>
              <w:t>注：</w:t>
            </w:r>
          </w:p>
        </w:tc>
      </w:tr>
    </w:tbl>
    <w:p w14:paraId="0857F891">
      <w:pPr>
        <w:pStyle w:val="5"/>
        <w:spacing w:line="65" w:lineRule="exact"/>
        <w:rPr>
          <w:color w:val="auto"/>
          <w:sz w:val="5"/>
          <w:highlight w:val="none"/>
        </w:rPr>
      </w:pPr>
    </w:p>
    <w:p w14:paraId="6CB3933C">
      <w:pPr>
        <w:spacing w:line="65" w:lineRule="exact"/>
        <w:rPr>
          <w:color w:val="auto"/>
          <w:sz w:val="5"/>
          <w:szCs w:val="5"/>
          <w:highlight w:val="none"/>
        </w:rPr>
        <w:sectPr>
          <w:footerReference r:id="rId35" w:type="default"/>
          <w:pgSz w:w="11906" w:h="16839"/>
          <w:pgMar w:top="1431" w:right="1015" w:bottom="1443" w:left="1428" w:header="0" w:footer="1202" w:gutter="0"/>
          <w:pgNumType w:fmt="decimal"/>
          <w:cols w:space="720" w:num="1"/>
        </w:sectPr>
      </w:pPr>
    </w:p>
    <w:p w14:paraId="780766BA">
      <w:pPr>
        <w:spacing w:line="91" w:lineRule="auto"/>
        <w:rPr>
          <w:rFonts w:ascii="Arial"/>
          <w:color w:val="auto"/>
          <w:sz w:val="2"/>
          <w:highlight w:val="none"/>
        </w:rPr>
      </w:pPr>
    </w:p>
    <w:tbl>
      <w:tblPr>
        <w:tblStyle w:val="11"/>
        <w:tblW w:w="90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2408"/>
        <w:gridCol w:w="5962"/>
      </w:tblGrid>
      <w:tr w14:paraId="643F9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7" w:hRule="atLeast"/>
        </w:trPr>
        <w:tc>
          <w:tcPr>
            <w:tcW w:w="679" w:type="dxa"/>
            <w:vAlign w:val="top"/>
          </w:tcPr>
          <w:p w14:paraId="1D645034">
            <w:pPr>
              <w:rPr>
                <w:rFonts w:ascii="Arial"/>
                <w:color w:val="auto"/>
                <w:sz w:val="21"/>
                <w:highlight w:val="none"/>
              </w:rPr>
            </w:pPr>
          </w:p>
        </w:tc>
        <w:tc>
          <w:tcPr>
            <w:tcW w:w="2408" w:type="dxa"/>
            <w:vAlign w:val="top"/>
          </w:tcPr>
          <w:p w14:paraId="596452FB">
            <w:pPr>
              <w:rPr>
                <w:rFonts w:ascii="Arial"/>
                <w:color w:val="auto"/>
                <w:sz w:val="21"/>
                <w:highlight w:val="none"/>
              </w:rPr>
            </w:pPr>
          </w:p>
        </w:tc>
        <w:tc>
          <w:tcPr>
            <w:tcW w:w="5962" w:type="dxa"/>
            <w:vAlign w:val="top"/>
          </w:tcPr>
          <w:p w14:paraId="136CDDB3">
            <w:pPr>
              <w:pStyle w:val="12"/>
              <w:spacing w:before="117" w:line="308" w:lineRule="auto"/>
              <w:ind w:left="113" w:hanging="1"/>
              <w:rPr>
                <w:color w:val="auto"/>
                <w:highlight w:val="none"/>
              </w:rPr>
            </w:pPr>
            <w:r>
              <w:rPr>
                <w:color w:val="auto"/>
                <w:spacing w:val="-6"/>
                <w:highlight w:val="none"/>
              </w:rPr>
              <w:t>①企业（银行、保险、石油石化、电力、电信</w:t>
            </w:r>
            <w:r>
              <w:rPr>
                <w:color w:val="auto"/>
                <w:spacing w:val="-7"/>
                <w:highlight w:val="none"/>
              </w:rPr>
              <w:t>等行业除外）、事业单位和社会团体供应商以法人身份参加投标</w:t>
            </w:r>
            <w:r>
              <w:rPr>
                <w:color w:val="auto"/>
                <w:spacing w:val="6"/>
                <w:highlight w:val="none"/>
              </w:rPr>
              <w:t xml:space="preserve"> </w:t>
            </w:r>
            <w:r>
              <w:rPr>
                <w:color w:val="auto"/>
                <w:spacing w:val="-8"/>
                <w:highlight w:val="none"/>
              </w:rPr>
              <w:t>的，法定代表人应与实际提交的“营业执照等证明文件</w:t>
            </w:r>
            <w:r>
              <w:rPr>
                <w:color w:val="auto"/>
                <w:spacing w:val="-79"/>
                <w:highlight w:val="none"/>
              </w:rPr>
              <w:t xml:space="preserve"> </w:t>
            </w:r>
            <w:r>
              <w:rPr>
                <w:color w:val="auto"/>
                <w:spacing w:val="-8"/>
                <w:highlight w:val="none"/>
              </w:rPr>
              <w:t>”</w:t>
            </w:r>
            <w:r>
              <w:rPr>
                <w:color w:val="auto"/>
                <w:spacing w:val="-6"/>
                <w:highlight w:val="none"/>
              </w:rPr>
              <w:t>载明的一致。</w:t>
            </w:r>
          </w:p>
          <w:p w14:paraId="7D92F03C">
            <w:pPr>
              <w:pStyle w:val="12"/>
              <w:spacing w:before="3" w:line="307" w:lineRule="auto"/>
              <w:ind w:left="102" w:right="52" w:firstLine="9"/>
              <w:rPr>
                <w:color w:val="auto"/>
                <w:highlight w:val="none"/>
              </w:rPr>
            </w:pPr>
            <w:r>
              <w:rPr>
                <w:color w:val="auto"/>
                <w:spacing w:val="-2"/>
                <w:highlight w:val="none"/>
              </w:rPr>
              <w:t>②银行、保险、石油石化、电力、电信等行业：以法人</w:t>
            </w:r>
            <w:r>
              <w:rPr>
                <w:color w:val="auto"/>
                <w:spacing w:val="-1"/>
                <w:highlight w:val="none"/>
              </w:rPr>
              <w:t>身份参加投标的，法定代表人应与实际提交的“营业执</w:t>
            </w:r>
            <w:r>
              <w:rPr>
                <w:color w:val="auto"/>
                <w:spacing w:val="-9"/>
                <w:highlight w:val="none"/>
              </w:rPr>
              <w:t>照等证明文件</w:t>
            </w:r>
            <w:r>
              <w:rPr>
                <w:color w:val="auto"/>
                <w:spacing w:val="-88"/>
                <w:highlight w:val="none"/>
              </w:rPr>
              <w:t xml:space="preserve"> </w:t>
            </w:r>
            <w:r>
              <w:rPr>
                <w:color w:val="auto"/>
                <w:spacing w:val="-9"/>
                <w:highlight w:val="none"/>
              </w:rPr>
              <w:t>”载明的一致；以非法人身份</w:t>
            </w:r>
            <w:r>
              <w:rPr>
                <w:color w:val="auto"/>
                <w:spacing w:val="-10"/>
                <w:highlight w:val="none"/>
              </w:rPr>
              <w:t>参加投标的，</w:t>
            </w:r>
            <w:r>
              <w:rPr>
                <w:color w:val="auto"/>
                <w:highlight w:val="none"/>
              </w:rPr>
              <w:t xml:space="preserve"> </w:t>
            </w:r>
            <w:r>
              <w:rPr>
                <w:color w:val="auto"/>
                <w:spacing w:val="-2"/>
                <w:highlight w:val="none"/>
              </w:rPr>
              <w:t>“单位负责人</w:t>
            </w:r>
            <w:r>
              <w:rPr>
                <w:color w:val="auto"/>
                <w:spacing w:val="-88"/>
                <w:highlight w:val="none"/>
              </w:rPr>
              <w:t xml:space="preserve"> </w:t>
            </w:r>
            <w:r>
              <w:rPr>
                <w:color w:val="auto"/>
                <w:spacing w:val="-2"/>
                <w:highlight w:val="none"/>
              </w:rPr>
              <w:t>”指代表单位行使职权的主要</w:t>
            </w:r>
            <w:r>
              <w:rPr>
                <w:color w:val="auto"/>
                <w:spacing w:val="-3"/>
                <w:highlight w:val="none"/>
              </w:rPr>
              <w:t>负责人，应</w:t>
            </w:r>
            <w:r>
              <w:rPr>
                <w:color w:val="auto"/>
                <w:spacing w:val="-2"/>
                <w:highlight w:val="none"/>
              </w:rPr>
              <w:t>与实际提交的“营业执照等证明文件</w:t>
            </w:r>
            <w:r>
              <w:rPr>
                <w:color w:val="auto"/>
                <w:spacing w:val="-73"/>
                <w:highlight w:val="none"/>
              </w:rPr>
              <w:t xml:space="preserve"> </w:t>
            </w:r>
            <w:r>
              <w:rPr>
                <w:color w:val="auto"/>
                <w:spacing w:val="-2"/>
                <w:highlight w:val="none"/>
              </w:rPr>
              <w:t>”载明的一致。</w:t>
            </w:r>
          </w:p>
          <w:p w14:paraId="49FF9E05">
            <w:pPr>
              <w:pStyle w:val="12"/>
              <w:spacing w:line="214" w:lineRule="auto"/>
              <w:ind w:left="112"/>
              <w:rPr>
                <w:color w:val="auto"/>
                <w:highlight w:val="none"/>
              </w:rPr>
            </w:pPr>
            <w:r>
              <w:rPr>
                <w:color w:val="auto"/>
                <w:spacing w:val="-1"/>
                <w:highlight w:val="none"/>
              </w:rPr>
              <w:t>③供应商为自然人的，无需填写法定代表人授权书。</w:t>
            </w:r>
          </w:p>
        </w:tc>
      </w:tr>
      <w:tr w14:paraId="77D80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3" w:hRule="atLeast"/>
        </w:trPr>
        <w:tc>
          <w:tcPr>
            <w:tcW w:w="679" w:type="dxa"/>
            <w:vAlign w:val="top"/>
          </w:tcPr>
          <w:p w14:paraId="3800AA11">
            <w:pPr>
              <w:spacing w:line="249" w:lineRule="auto"/>
              <w:rPr>
                <w:rFonts w:ascii="Arial"/>
                <w:color w:val="auto"/>
                <w:sz w:val="21"/>
                <w:highlight w:val="none"/>
              </w:rPr>
            </w:pPr>
          </w:p>
          <w:p w14:paraId="39127AFA">
            <w:pPr>
              <w:spacing w:line="250" w:lineRule="auto"/>
              <w:rPr>
                <w:rFonts w:ascii="Arial"/>
                <w:color w:val="auto"/>
                <w:sz w:val="21"/>
                <w:highlight w:val="none"/>
              </w:rPr>
            </w:pPr>
          </w:p>
          <w:p w14:paraId="3A2FDE18">
            <w:pPr>
              <w:spacing w:line="250" w:lineRule="auto"/>
              <w:rPr>
                <w:rFonts w:ascii="Arial"/>
                <w:color w:val="auto"/>
                <w:sz w:val="21"/>
                <w:highlight w:val="none"/>
              </w:rPr>
            </w:pPr>
          </w:p>
          <w:p w14:paraId="161BE5DF">
            <w:pPr>
              <w:spacing w:line="250" w:lineRule="auto"/>
              <w:rPr>
                <w:rFonts w:ascii="Arial"/>
                <w:color w:val="auto"/>
                <w:sz w:val="21"/>
                <w:highlight w:val="none"/>
              </w:rPr>
            </w:pPr>
          </w:p>
          <w:p w14:paraId="7B282C6D">
            <w:pPr>
              <w:pStyle w:val="12"/>
              <w:spacing w:before="78"/>
              <w:ind w:left="285"/>
              <w:rPr>
                <w:color w:val="auto"/>
                <w:highlight w:val="none"/>
              </w:rPr>
            </w:pPr>
            <w:r>
              <w:rPr>
                <w:b/>
                <w:bCs/>
                <w:color w:val="auto"/>
                <w:spacing w:val="-3"/>
                <w:highlight w:val="none"/>
              </w:rPr>
              <w:t>9</w:t>
            </w:r>
          </w:p>
        </w:tc>
        <w:tc>
          <w:tcPr>
            <w:tcW w:w="2408" w:type="dxa"/>
            <w:vAlign w:val="top"/>
          </w:tcPr>
          <w:p w14:paraId="7172A343">
            <w:pPr>
              <w:pStyle w:val="12"/>
              <w:spacing w:before="117" w:line="219" w:lineRule="auto"/>
              <w:ind w:left="128"/>
              <w:rPr>
                <w:color w:val="auto"/>
                <w:highlight w:val="none"/>
              </w:rPr>
            </w:pPr>
            <w:r>
              <w:rPr>
                <w:b/>
                <w:bCs/>
                <w:color w:val="auto"/>
                <w:spacing w:val="-3"/>
                <w:highlight w:val="none"/>
              </w:rPr>
              <w:t>单位负责人为同一人</w:t>
            </w:r>
          </w:p>
          <w:p w14:paraId="5BB91CB7">
            <w:pPr>
              <w:pStyle w:val="12"/>
              <w:spacing w:before="116" w:line="219" w:lineRule="auto"/>
              <w:ind w:left="129"/>
              <w:rPr>
                <w:color w:val="auto"/>
                <w:highlight w:val="none"/>
              </w:rPr>
            </w:pPr>
            <w:r>
              <w:rPr>
                <w:b/>
                <w:bCs/>
                <w:color w:val="auto"/>
                <w:spacing w:val="-4"/>
                <w:highlight w:val="none"/>
              </w:rPr>
              <w:t>或者存在直接控股、</w:t>
            </w:r>
          </w:p>
          <w:p w14:paraId="3712CF5A">
            <w:pPr>
              <w:pStyle w:val="12"/>
              <w:spacing w:before="115" w:line="219" w:lineRule="auto"/>
              <w:ind w:left="132"/>
              <w:rPr>
                <w:color w:val="auto"/>
                <w:highlight w:val="none"/>
              </w:rPr>
            </w:pPr>
            <w:r>
              <w:rPr>
                <w:b/>
                <w:bCs/>
                <w:color w:val="auto"/>
                <w:spacing w:val="-4"/>
                <w:highlight w:val="none"/>
              </w:rPr>
              <w:t>管理关系的不同供应</w:t>
            </w:r>
          </w:p>
          <w:p w14:paraId="16050FE5">
            <w:pPr>
              <w:pStyle w:val="12"/>
              <w:spacing w:before="114" w:line="219" w:lineRule="auto"/>
              <w:ind w:left="131"/>
              <w:rPr>
                <w:color w:val="auto"/>
                <w:highlight w:val="none"/>
              </w:rPr>
            </w:pPr>
            <w:r>
              <w:rPr>
                <w:b/>
                <w:bCs/>
                <w:color w:val="auto"/>
                <w:spacing w:val="-4"/>
                <w:highlight w:val="none"/>
              </w:rPr>
              <w:t>商，不得参加同一合</w:t>
            </w:r>
          </w:p>
          <w:p w14:paraId="1AE4A285">
            <w:pPr>
              <w:pStyle w:val="12"/>
              <w:spacing w:before="115" w:line="219" w:lineRule="auto"/>
              <w:ind w:left="150"/>
              <w:rPr>
                <w:color w:val="auto"/>
                <w:highlight w:val="none"/>
              </w:rPr>
            </w:pPr>
            <w:r>
              <w:rPr>
                <w:b/>
                <w:bCs/>
                <w:color w:val="auto"/>
                <w:spacing w:val="-6"/>
                <w:highlight w:val="none"/>
              </w:rPr>
              <w:t>同项下的政府采购活</w:t>
            </w:r>
          </w:p>
          <w:p w14:paraId="037DADEC">
            <w:pPr>
              <w:pStyle w:val="12"/>
              <w:spacing w:before="116" w:line="211" w:lineRule="auto"/>
              <w:ind w:left="1090"/>
              <w:rPr>
                <w:color w:val="auto"/>
                <w:highlight w:val="none"/>
              </w:rPr>
            </w:pPr>
            <w:r>
              <w:rPr>
                <w:b/>
                <w:bCs/>
                <w:color w:val="auto"/>
                <w:spacing w:val="-3"/>
                <w:highlight w:val="none"/>
              </w:rPr>
              <w:t>动</w:t>
            </w:r>
          </w:p>
        </w:tc>
        <w:tc>
          <w:tcPr>
            <w:tcW w:w="5962" w:type="dxa"/>
            <w:vAlign w:val="top"/>
          </w:tcPr>
          <w:p w14:paraId="49646CFF">
            <w:pPr>
              <w:spacing w:line="318" w:lineRule="auto"/>
              <w:rPr>
                <w:rFonts w:ascii="Arial"/>
                <w:color w:val="auto"/>
                <w:sz w:val="21"/>
                <w:highlight w:val="none"/>
              </w:rPr>
            </w:pPr>
          </w:p>
          <w:p w14:paraId="736E0BC9">
            <w:pPr>
              <w:spacing w:line="318" w:lineRule="auto"/>
              <w:rPr>
                <w:rFonts w:ascii="Arial"/>
                <w:color w:val="auto"/>
                <w:sz w:val="21"/>
                <w:highlight w:val="none"/>
              </w:rPr>
            </w:pPr>
          </w:p>
          <w:p w14:paraId="177158E5">
            <w:pPr>
              <w:pStyle w:val="12"/>
              <w:spacing w:before="78" w:line="309" w:lineRule="auto"/>
              <w:ind w:left="122" w:right="114" w:hanging="9"/>
              <w:jc w:val="both"/>
              <w:rPr>
                <w:color w:val="auto"/>
                <w:highlight w:val="none"/>
              </w:rPr>
            </w:pPr>
            <w:r>
              <w:rPr>
                <w:color w:val="auto"/>
                <w:spacing w:val="-2"/>
                <w:highlight w:val="none"/>
              </w:rPr>
              <w:t>供应商提供与参加本项目投标的其他供应商之间，单位负责人不为同一人并且不存在直接控股、管理关系承诺函（承诺函格式自拟）。</w:t>
            </w:r>
          </w:p>
        </w:tc>
      </w:tr>
      <w:tr w14:paraId="7B2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9" w:hRule="atLeast"/>
        </w:trPr>
        <w:tc>
          <w:tcPr>
            <w:tcW w:w="679" w:type="dxa"/>
            <w:vAlign w:val="top"/>
          </w:tcPr>
          <w:p w14:paraId="186E7F79">
            <w:pPr>
              <w:spacing w:line="267" w:lineRule="auto"/>
              <w:rPr>
                <w:rFonts w:ascii="Arial"/>
                <w:color w:val="auto"/>
                <w:sz w:val="21"/>
                <w:highlight w:val="none"/>
              </w:rPr>
            </w:pPr>
          </w:p>
          <w:p w14:paraId="496BD10C">
            <w:pPr>
              <w:spacing w:line="268" w:lineRule="auto"/>
              <w:rPr>
                <w:rFonts w:ascii="Arial"/>
                <w:color w:val="auto"/>
                <w:sz w:val="21"/>
                <w:highlight w:val="none"/>
              </w:rPr>
            </w:pPr>
          </w:p>
          <w:p w14:paraId="6E751FDC">
            <w:pPr>
              <w:spacing w:line="268" w:lineRule="auto"/>
              <w:rPr>
                <w:rFonts w:ascii="Arial"/>
                <w:color w:val="auto"/>
                <w:sz w:val="21"/>
                <w:highlight w:val="none"/>
              </w:rPr>
            </w:pPr>
          </w:p>
          <w:p w14:paraId="1D4EDE37">
            <w:pPr>
              <w:pStyle w:val="12"/>
              <w:spacing w:before="78"/>
              <w:ind w:left="242"/>
              <w:rPr>
                <w:color w:val="auto"/>
                <w:highlight w:val="none"/>
              </w:rPr>
            </w:pPr>
            <w:r>
              <w:rPr>
                <w:b/>
                <w:bCs/>
                <w:color w:val="auto"/>
                <w:spacing w:val="-15"/>
                <w:highlight w:val="none"/>
              </w:rPr>
              <w:t>10</w:t>
            </w:r>
          </w:p>
        </w:tc>
        <w:tc>
          <w:tcPr>
            <w:tcW w:w="2408" w:type="dxa"/>
            <w:vAlign w:val="top"/>
          </w:tcPr>
          <w:p w14:paraId="2AF31386">
            <w:pPr>
              <w:pStyle w:val="12"/>
              <w:spacing w:before="120" w:line="289" w:lineRule="auto"/>
              <w:ind w:left="112" w:right="106" w:firstLine="2"/>
              <w:jc w:val="both"/>
              <w:rPr>
                <w:color w:val="auto"/>
                <w:highlight w:val="none"/>
              </w:rPr>
            </w:pPr>
            <w:r>
              <w:rPr>
                <w:b/>
                <w:bCs/>
                <w:color w:val="auto"/>
                <w:spacing w:val="-1"/>
                <w:highlight w:val="none"/>
              </w:rPr>
              <w:t>为本项目提供整体设</w:t>
            </w:r>
            <w:r>
              <w:rPr>
                <w:b/>
                <w:bCs/>
                <w:color w:val="auto"/>
                <w:highlight w:val="none"/>
              </w:rPr>
              <w:t>计、规范编制或者项目管理、监理、检测等服务的供应商不得</w:t>
            </w:r>
            <w:r>
              <w:rPr>
                <w:b/>
                <w:bCs/>
                <w:color w:val="auto"/>
                <w:spacing w:val="-4"/>
                <w:highlight w:val="none"/>
              </w:rPr>
              <w:t>参加本项目投标</w:t>
            </w:r>
          </w:p>
        </w:tc>
        <w:tc>
          <w:tcPr>
            <w:tcW w:w="5962" w:type="dxa"/>
            <w:vAlign w:val="top"/>
          </w:tcPr>
          <w:p w14:paraId="3C1B9B2E">
            <w:pPr>
              <w:spacing w:line="318" w:lineRule="auto"/>
              <w:rPr>
                <w:rFonts w:ascii="Arial"/>
                <w:color w:val="auto"/>
                <w:sz w:val="21"/>
                <w:highlight w:val="none"/>
              </w:rPr>
            </w:pPr>
          </w:p>
          <w:p w14:paraId="7E5C881B">
            <w:pPr>
              <w:spacing w:line="318" w:lineRule="auto"/>
              <w:rPr>
                <w:rFonts w:ascii="Arial"/>
                <w:color w:val="auto"/>
                <w:sz w:val="21"/>
                <w:highlight w:val="none"/>
              </w:rPr>
            </w:pPr>
          </w:p>
          <w:p w14:paraId="044C8480">
            <w:pPr>
              <w:pStyle w:val="12"/>
              <w:spacing w:before="78" w:line="310" w:lineRule="auto"/>
              <w:ind w:left="158" w:right="12" w:hanging="45"/>
              <w:rPr>
                <w:color w:val="auto"/>
                <w:highlight w:val="none"/>
              </w:rPr>
            </w:pPr>
            <w:r>
              <w:rPr>
                <w:color w:val="auto"/>
                <w:spacing w:val="-2"/>
                <w:highlight w:val="none"/>
              </w:rPr>
              <w:t>供应商提供未为本项目提供整体设计、规范编制或者项</w:t>
            </w:r>
            <w:r>
              <w:rPr>
                <w:color w:val="auto"/>
                <w:spacing w:val="-9"/>
                <w:highlight w:val="none"/>
              </w:rPr>
              <w:t>目管理、监理、检测等服务承诺函（承诺函格式自拟）。</w:t>
            </w:r>
          </w:p>
        </w:tc>
      </w:tr>
    </w:tbl>
    <w:p w14:paraId="02AEE78C">
      <w:pPr>
        <w:spacing w:before="144" w:line="225" w:lineRule="auto"/>
        <w:ind w:left="175"/>
        <w:rPr>
          <w:rFonts w:ascii="宋体" w:hAnsi="宋体" w:eastAsia="宋体" w:cs="宋体"/>
          <w:color w:val="auto"/>
          <w:sz w:val="31"/>
          <w:szCs w:val="31"/>
          <w:highlight w:val="none"/>
        </w:rPr>
      </w:pPr>
      <w:r>
        <w:rPr>
          <w:rFonts w:ascii="宋体" w:hAnsi="宋体" w:eastAsia="宋体" w:cs="宋体"/>
          <w:b/>
          <w:bCs/>
          <w:color w:val="auto"/>
          <w:spacing w:val="3"/>
          <w:sz w:val="31"/>
          <w:szCs w:val="31"/>
          <w:highlight w:val="none"/>
        </w:rPr>
        <w:t>二、评标</w:t>
      </w:r>
    </w:p>
    <w:p w14:paraId="1CE6EE49">
      <w:pPr>
        <w:spacing w:before="210" w:line="220" w:lineRule="auto"/>
        <w:ind w:left="659"/>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（一）评标方法</w:t>
      </w:r>
    </w:p>
    <w:p w14:paraId="60EC1982">
      <w:pPr>
        <w:spacing w:before="231" w:line="219" w:lineRule="auto"/>
        <w:ind w:left="64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本项目采用综合评分法。总分为</w:t>
      </w:r>
      <w:r>
        <w:rPr>
          <w:rFonts w:ascii="宋体" w:hAnsi="宋体" w:eastAsia="宋体" w:cs="宋体"/>
          <w:color w:val="auto"/>
          <w:spacing w:val="-27"/>
          <w:sz w:val="24"/>
          <w:szCs w:val="24"/>
          <w:highlight w:val="none"/>
        </w:rPr>
        <w:t xml:space="preserve"> </w:t>
      </w:r>
      <w:r>
        <w:rPr>
          <w:rFonts w:ascii="宋体" w:hAnsi="宋体" w:eastAsia="宋体" w:cs="宋体"/>
          <w:color w:val="auto"/>
          <w:spacing w:val="-3"/>
          <w:sz w:val="24"/>
          <w:szCs w:val="24"/>
          <w:highlight w:val="none"/>
        </w:rPr>
        <w:t>100</w:t>
      </w:r>
      <w:r>
        <w:rPr>
          <w:rFonts w:ascii="宋体" w:hAnsi="宋体" w:eastAsia="宋体" w:cs="宋体"/>
          <w:color w:val="auto"/>
          <w:spacing w:val="-48"/>
          <w:sz w:val="24"/>
          <w:szCs w:val="24"/>
          <w:highlight w:val="none"/>
        </w:rPr>
        <w:t xml:space="preserve"> </w:t>
      </w:r>
      <w:r>
        <w:rPr>
          <w:rFonts w:ascii="宋体" w:hAnsi="宋体" w:eastAsia="宋体" w:cs="宋体"/>
          <w:color w:val="auto"/>
          <w:spacing w:val="-3"/>
          <w:sz w:val="24"/>
          <w:szCs w:val="24"/>
          <w:highlight w:val="none"/>
        </w:rPr>
        <w:t>分。</w:t>
      </w:r>
    </w:p>
    <w:p w14:paraId="7700E121">
      <w:pPr>
        <w:spacing w:before="237" w:line="219" w:lineRule="auto"/>
        <w:ind w:left="659"/>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（二）磋商小组负责具体评标事务，并独立履行下列职责</w:t>
      </w:r>
    </w:p>
    <w:p w14:paraId="2F732F69">
      <w:pPr>
        <w:spacing w:before="235" w:line="218" w:lineRule="auto"/>
        <w:ind w:left="665"/>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1、审查、评价响应文件是否符合磋商文件的商务、技术等实质性要求；</w:t>
      </w:r>
    </w:p>
    <w:p w14:paraId="4963119F">
      <w:pPr>
        <w:spacing w:before="172" w:line="338" w:lineRule="auto"/>
        <w:ind w:left="166" w:right="181" w:firstLine="48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磋商小组对符合资格的供应商的响应文件进行符合性</w:t>
      </w:r>
      <w:r>
        <w:rPr>
          <w:rFonts w:ascii="宋体" w:hAnsi="宋体" w:eastAsia="宋体" w:cs="宋体"/>
          <w:color w:val="auto"/>
          <w:spacing w:val="-4"/>
          <w:sz w:val="24"/>
          <w:szCs w:val="24"/>
          <w:highlight w:val="none"/>
        </w:rPr>
        <w:t>审查，以确定其是否满足磋商文</w:t>
      </w:r>
      <w:r>
        <w:rPr>
          <w:rFonts w:ascii="宋体" w:hAnsi="宋体" w:eastAsia="宋体" w:cs="宋体"/>
          <w:color w:val="auto"/>
          <w:spacing w:val="-1"/>
          <w:sz w:val="24"/>
          <w:szCs w:val="24"/>
          <w:highlight w:val="none"/>
        </w:rPr>
        <w:t>件的商务、技术等实质性要求。</w:t>
      </w:r>
    </w:p>
    <w:p w14:paraId="49F96C3E">
      <w:pPr>
        <w:spacing w:line="342" w:lineRule="auto"/>
        <w:ind w:left="191" w:right="183" w:firstLine="45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注：符合性审查中所涉及的证书及材料，均应</w:t>
      </w:r>
      <w:r>
        <w:rPr>
          <w:rFonts w:ascii="宋体" w:hAnsi="宋体" w:eastAsia="宋体" w:cs="宋体"/>
          <w:color w:val="auto"/>
          <w:spacing w:val="-4"/>
          <w:sz w:val="24"/>
          <w:szCs w:val="24"/>
          <w:highlight w:val="none"/>
        </w:rPr>
        <w:t>在电子响应文件中提供原件扫描件（或</w:t>
      </w:r>
      <w:r>
        <w:rPr>
          <w:rFonts w:ascii="宋体" w:hAnsi="宋体" w:eastAsia="宋体" w:cs="宋体"/>
          <w:color w:val="auto"/>
          <w:spacing w:val="-9"/>
          <w:sz w:val="24"/>
          <w:szCs w:val="24"/>
          <w:highlight w:val="none"/>
        </w:rPr>
        <w:t>图片）。</w:t>
      </w:r>
    </w:p>
    <w:p w14:paraId="6FE29712">
      <w:pPr>
        <w:spacing w:before="55" w:line="219" w:lineRule="auto"/>
        <w:ind w:left="650"/>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2、要求供应商对响应文件有关事项作出澄清</w:t>
      </w:r>
      <w:r>
        <w:rPr>
          <w:rFonts w:ascii="宋体" w:hAnsi="宋体" w:eastAsia="宋体" w:cs="宋体"/>
          <w:b/>
          <w:bCs/>
          <w:color w:val="auto"/>
          <w:spacing w:val="-3"/>
          <w:sz w:val="24"/>
          <w:szCs w:val="24"/>
          <w:highlight w:val="none"/>
        </w:rPr>
        <w:t>或者说明；</w:t>
      </w:r>
    </w:p>
    <w:p w14:paraId="523774AF">
      <w:pPr>
        <w:spacing w:before="173" w:line="219" w:lineRule="auto"/>
        <w:jc w:val="right"/>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对于响应文件中含义不明确、同类问题表述不一致或者有明显文字和计算错误的内容，</w:t>
      </w:r>
    </w:p>
    <w:p w14:paraId="68AC487C">
      <w:pPr>
        <w:spacing w:line="219" w:lineRule="auto"/>
        <w:rPr>
          <w:rFonts w:ascii="宋体" w:hAnsi="宋体" w:eastAsia="宋体" w:cs="宋体"/>
          <w:color w:val="auto"/>
          <w:sz w:val="24"/>
          <w:szCs w:val="24"/>
          <w:highlight w:val="none"/>
        </w:rPr>
        <w:sectPr>
          <w:footerReference r:id="rId36" w:type="default"/>
          <w:pgSz w:w="11906" w:h="16839"/>
          <w:pgMar w:top="1431" w:right="893" w:bottom="1443" w:left="1428" w:header="0" w:footer="1202" w:gutter="0"/>
          <w:pgNumType w:fmt="decimal"/>
          <w:cols w:space="720" w:num="1"/>
        </w:sectPr>
      </w:pPr>
    </w:p>
    <w:p w14:paraId="1B8C5FE3">
      <w:pPr>
        <w:spacing w:before="155" w:line="219"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磋商小组应当以书面形式要求供应商作出必要的</w:t>
      </w:r>
      <w:r>
        <w:rPr>
          <w:rFonts w:ascii="宋体" w:hAnsi="宋体" w:eastAsia="宋体" w:cs="宋体"/>
          <w:color w:val="auto"/>
          <w:spacing w:val="-1"/>
          <w:sz w:val="24"/>
          <w:szCs w:val="24"/>
          <w:highlight w:val="none"/>
        </w:rPr>
        <w:t>澄清、说明或者补正。</w:t>
      </w:r>
    </w:p>
    <w:p w14:paraId="089BF603">
      <w:pPr>
        <w:spacing w:before="156" w:line="338" w:lineRule="auto"/>
        <w:ind w:left="2" w:firstLine="479"/>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供应商的澄清、说明或者补正应当采用书面形</w:t>
      </w:r>
      <w:r>
        <w:rPr>
          <w:rFonts w:ascii="宋体" w:hAnsi="宋体" w:eastAsia="宋体" w:cs="宋体"/>
          <w:color w:val="auto"/>
          <w:spacing w:val="-4"/>
          <w:sz w:val="24"/>
          <w:szCs w:val="24"/>
          <w:highlight w:val="none"/>
        </w:rPr>
        <w:t>式，并加盖公章，或者由法定代表人或</w:t>
      </w:r>
      <w:r>
        <w:rPr>
          <w:rFonts w:ascii="宋体" w:hAnsi="宋体" w:eastAsia="宋体" w:cs="宋体"/>
          <w:color w:val="auto"/>
          <w:spacing w:val="-3"/>
          <w:sz w:val="24"/>
          <w:szCs w:val="24"/>
          <w:highlight w:val="none"/>
        </w:rPr>
        <w:t>其授权的代表签字。供应商的澄清、说明或者补正不得超出响应文</w:t>
      </w:r>
      <w:r>
        <w:rPr>
          <w:rFonts w:ascii="宋体" w:hAnsi="宋体" w:eastAsia="宋体" w:cs="宋体"/>
          <w:color w:val="auto"/>
          <w:spacing w:val="-4"/>
          <w:sz w:val="24"/>
          <w:szCs w:val="24"/>
          <w:highlight w:val="none"/>
        </w:rPr>
        <w:t>件的范围或者改变响应</w:t>
      </w:r>
      <w:r>
        <w:rPr>
          <w:rFonts w:ascii="宋体" w:hAnsi="宋体" w:eastAsia="宋体" w:cs="宋体"/>
          <w:color w:val="auto"/>
          <w:spacing w:val="-2"/>
          <w:sz w:val="24"/>
          <w:szCs w:val="24"/>
          <w:highlight w:val="none"/>
        </w:rPr>
        <w:t>文件的实质性内容。</w:t>
      </w:r>
    </w:p>
    <w:p w14:paraId="5D78E584">
      <w:pPr>
        <w:spacing w:before="2" w:line="339" w:lineRule="auto"/>
        <w:ind w:left="3" w:right="2" w:firstLine="482"/>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3、磋商小组应严格按照电子化评标系统规定的流程要求</w:t>
      </w:r>
      <w:r>
        <w:rPr>
          <w:rFonts w:ascii="宋体" w:hAnsi="宋体" w:eastAsia="宋体" w:cs="宋体"/>
          <w:b/>
          <w:bCs/>
          <w:color w:val="auto"/>
          <w:spacing w:val="1"/>
          <w:sz w:val="24"/>
          <w:szCs w:val="24"/>
          <w:highlight w:val="none"/>
        </w:rPr>
        <w:t>投标供应商使用</w:t>
      </w:r>
      <w:r>
        <w:rPr>
          <w:rFonts w:ascii="宋体" w:hAnsi="宋体" w:eastAsia="宋体" w:cs="宋体"/>
          <w:b/>
          <w:bCs/>
          <w:color w:val="auto"/>
          <w:sz w:val="24"/>
          <w:szCs w:val="24"/>
          <w:highlight w:val="none"/>
        </w:rPr>
        <w:t>CA</w:t>
      </w:r>
      <w:r>
        <w:rPr>
          <w:rFonts w:ascii="宋体" w:hAnsi="宋体" w:eastAsia="宋体" w:cs="宋体"/>
          <w:color w:val="auto"/>
          <w:spacing w:val="-47"/>
          <w:sz w:val="24"/>
          <w:szCs w:val="24"/>
          <w:highlight w:val="none"/>
        </w:rPr>
        <w:t xml:space="preserve"> </w:t>
      </w:r>
      <w:r>
        <w:rPr>
          <w:rFonts w:ascii="宋体" w:hAnsi="宋体" w:eastAsia="宋体" w:cs="宋体"/>
          <w:b/>
          <w:bCs/>
          <w:color w:val="auto"/>
          <w:spacing w:val="1"/>
          <w:sz w:val="24"/>
          <w:szCs w:val="24"/>
          <w:highlight w:val="none"/>
        </w:rPr>
        <w:t>数字证</w:t>
      </w:r>
      <w:r>
        <w:rPr>
          <w:rFonts w:ascii="宋体" w:hAnsi="宋体" w:eastAsia="宋体" w:cs="宋体"/>
          <w:b/>
          <w:bCs/>
          <w:color w:val="auto"/>
          <w:sz w:val="24"/>
          <w:szCs w:val="24"/>
          <w:highlight w:val="none"/>
        </w:rPr>
        <w:t>书登录许昌市公共资源电子交易系统进行报价，禁止通过交易系统中的澄清回复菜单要</w:t>
      </w:r>
      <w:r>
        <w:rPr>
          <w:rFonts w:ascii="宋体" w:hAnsi="宋体" w:eastAsia="宋体" w:cs="宋体"/>
          <w:b/>
          <w:bCs/>
          <w:color w:val="auto"/>
          <w:spacing w:val="-3"/>
          <w:sz w:val="24"/>
          <w:szCs w:val="24"/>
          <w:highlight w:val="none"/>
        </w:rPr>
        <w:t>求投标供应商提交报价、工程量清单等相关材料。</w:t>
      </w:r>
    </w:p>
    <w:p w14:paraId="74C3116D">
      <w:pPr>
        <w:spacing w:before="60" w:line="218" w:lineRule="auto"/>
        <w:ind w:left="480"/>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4、对响应文件进行比较和评价；</w:t>
      </w:r>
    </w:p>
    <w:p w14:paraId="1EE0B207">
      <w:pPr>
        <w:spacing w:before="173" w:line="339" w:lineRule="auto"/>
        <w:ind w:left="1" w:firstLine="479"/>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磋商小组按照磋商文件中规定的评标方法和标准，对</w:t>
      </w:r>
      <w:r>
        <w:rPr>
          <w:rFonts w:ascii="宋体" w:hAnsi="宋体" w:eastAsia="宋体" w:cs="宋体"/>
          <w:color w:val="auto"/>
          <w:spacing w:val="-4"/>
          <w:sz w:val="24"/>
          <w:szCs w:val="24"/>
          <w:highlight w:val="none"/>
        </w:rPr>
        <w:t>符合性审查合格的响应文件进行</w:t>
      </w:r>
      <w:r>
        <w:rPr>
          <w:rFonts w:ascii="宋体" w:hAnsi="宋体" w:eastAsia="宋体" w:cs="宋体"/>
          <w:color w:val="auto"/>
          <w:spacing w:val="-3"/>
          <w:sz w:val="24"/>
          <w:szCs w:val="24"/>
          <w:highlight w:val="none"/>
        </w:rPr>
        <w:t>商务和技术评估，综合比较与评价。评标时，磋商小组各成员应当独</w:t>
      </w:r>
      <w:r>
        <w:rPr>
          <w:rFonts w:ascii="宋体" w:hAnsi="宋体" w:eastAsia="宋体" w:cs="宋体"/>
          <w:color w:val="auto"/>
          <w:spacing w:val="-4"/>
          <w:sz w:val="24"/>
          <w:szCs w:val="24"/>
          <w:highlight w:val="none"/>
        </w:rPr>
        <w:t>立对每个供应商的响</w:t>
      </w:r>
      <w:r>
        <w:rPr>
          <w:rFonts w:ascii="宋体" w:hAnsi="宋体" w:eastAsia="宋体" w:cs="宋体"/>
          <w:color w:val="auto"/>
          <w:spacing w:val="-3"/>
          <w:sz w:val="24"/>
          <w:szCs w:val="24"/>
          <w:highlight w:val="none"/>
        </w:rPr>
        <w:t>应文件进行评价，并汇总每个供应商的得分。评标过程中，不得去掉</w:t>
      </w:r>
      <w:r>
        <w:rPr>
          <w:rFonts w:ascii="宋体" w:hAnsi="宋体" w:eastAsia="宋体" w:cs="宋体"/>
          <w:color w:val="auto"/>
          <w:spacing w:val="-4"/>
          <w:sz w:val="24"/>
          <w:szCs w:val="24"/>
          <w:highlight w:val="none"/>
        </w:rPr>
        <w:t>报价中的最高报价和</w:t>
      </w:r>
      <w:r>
        <w:rPr>
          <w:rFonts w:ascii="宋体" w:hAnsi="宋体" w:eastAsia="宋体" w:cs="宋体"/>
          <w:color w:val="auto"/>
          <w:spacing w:val="-2"/>
          <w:sz w:val="24"/>
          <w:szCs w:val="24"/>
          <w:highlight w:val="none"/>
        </w:rPr>
        <w:t>最低报价。</w:t>
      </w:r>
    </w:p>
    <w:p w14:paraId="54744D6E">
      <w:pPr>
        <w:spacing w:before="60" w:line="400" w:lineRule="auto"/>
        <w:ind w:left="25" w:firstLine="456"/>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注：评标标准中所涉及的证书及材料，均应在电子投</w:t>
      </w:r>
      <w:r>
        <w:rPr>
          <w:rFonts w:ascii="宋体" w:hAnsi="宋体" w:eastAsia="宋体" w:cs="宋体"/>
          <w:b/>
          <w:bCs/>
          <w:color w:val="auto"/>
          <w:sz w:val="24"/>
          <w:szCs w:val="24"/>
          <w:highlight w:val="none"/>
        </w:rPr>
        <w:t>标文件中提供原件扫描件（或</w:t>
      </w:r>
      <w:r>
        <w:rPr>
          <w:rFonts w:ascii="宋体" w:hAnsi="宋体" w:eastAsia="宋体" w:cs="宋体"/>
          <w:b/>
          <w:bCs/>
          <w:color w:val="auto"/>
          <w:spacing w:val="-11"/>
          <w:sz w:val="24"/>
          <w:szCs w:val="24"/>
          <w:highlight w:val="none"/>
        </w:rPr>
        <w:t>图片）。</w:t>
      </w:r>
    </w:p>
    <w:p w14:paraId="6F6208CB">
      <w:pPr>
        <w:spacing w:before="1" w:line="217" w:lineRule="auto"/>
        <w:ind w:left="493"/>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（1）价格分计算</w:t>
      </w:r>
    </w:p>
    <w:p w14:paraId="0EB9D6F1">
      <w:pPr>
        <w:spacing w:before="175" w:line="338" w:lineRule="auto"/>
        <w:ind w:left="1" w:firstLine="48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价格分采用低价优先法计算，即满足招标文件要</w:t>
      </w:r>
      <w:r>
        <w:rPr>
          <w:rFonts w:ascii="宋体" w:hAnsi="宋体" w:eastAsia="宋体" w:cs="宋体"/>
          <w:color w:val="auto"/>
          <w:spacing w:val="-4"/>
          <w:sz w:val="24"/>
          <w:szCs w:val="24"/>
          <w:highlight w:val="none"/>
        </w:rPr>
        <w:t>求且投标价格最低的投标报价为评标</w:t>
      </w:r>
      <w:r>
        <w:rPr>
          <w:rFonts w:ascii="宋体" w:hAnsi="宋体" w:eastAsia="宋体" w:cs="宋体"/>
          <w:color w:val="auto"/>
          <w:spacing w:val="-3"/>
          <w:sz w:val="24"/>
          <w:szCs w:val="24"/>
          <w:highlight w:val="none"/>
        </w:rPr>
        <w:t>基准价，其价格分为满分。因落实政府采购政策进行价格调整的</w:t>
      </w:r>
      <w:r>
        <w:rPr>
          <w:rFonts w:ascii="宋体" w:hAnsi="宋体" w:eastAsia="宋体" w:cs="宋体"/>
          <w:color w:val="auto"/>
          <w:spacing w:val="-4"/>
          <w:sz w:val="24"/>
          <w:szCs w:val="24"/>
          <w:highlight w:val="none"/>
        </w:rPr>
        <w:t>，以调整后的价格计算评</w:t>
      </w:r>
      <w:r>
        <w:rPr>
          <w:rFonts w:ascii="宋体" w:hAnsi="宋体" w:eastAsia="宋体" w:cs="宋体"/>
          <w:color w:val="auto"/>
          <w:spacing w:val="-1"/>
          <w:sz w:val="24"/>
          <w:szCs w:val="24"/>
          <w:highlight w:val="none"/>
        </w:rPr>
        <w:t>标基准价和投标报价。</w:t>
      </w:r>
    </w:p>
    <w:p w14:paraId="0402DA8B">
      <w:pPr>
        <w:spacing w:line="218" w:lineRule="auto"/>
        <w:ind w:left="48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本项目专门面向中小企业采购。</w:t>
      </w:r>
    </w:p>
    <w:p w14:paraId="70455837">
      <w:pPr>
        <w:spacing w:before="220" w:line="219" w:lineRule="auto"/>
        <w:ind w:left="493"/>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（2）强制采购节能产品和优先采购节能产品、优先采购环保产品</w:t>
      </w:r>
    </w:p>
    <w:p w14:paraId="183FE0EB">
      <w:pPr>
        <w:spacing w:before="173" w:line="338" w:lineRule="auto"/>
        <w:ind w:firstLine="499"/>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1）对《节能产品政府采购品目清单》所列的政府强制采购节能产品，供应商响应文</w:t>
      </w:r>
      <w:r>
        <w:rPr>
          <w:rFonts w:ascii="宋体" w:hAnsi="宋体" w:eastAsia="宋体" w:cs="宋体"/>
          <w:color w:val="auto"/>
          <w:spacing w:val="-3"/>
          <w:sz w:val="24"/>
          <w:szCs w:val="24"/>
          <w:highlight w:val="none"/>
        </w:rPr>
        <w:t>件中应提供具有国家确定的认证机构出具的、处于有效期之内的节能产品</w:t>
      </w:r>
      <w:r>
        <w:rPr>
          <w:rFonts w:ascii="宋体" w:hAnsi="宋体" w:eastAsia="宋体" w:cs="宋体"/>
          <w:color w:val="auto"/>
          <w:spacing w:val="-4"/>
          <w:sz w:val="24"/>
          <w:szCs w:val="24"/>
          <w:highlight w:val="none"/>
        </w:rPr>
        <w:t>认证证书，否则</w:t>
      </w:r>
      <w:r>
        <w:rPr>
          <w:rFonts w:ascii="宋体" w:hAnsi="宋体" w:eastAsia="宋体" w:cs="宋体"/>
          <w:color w:val="auto"/>
          <w:spacing w:val="-1"/>
          <w:sz w:val="24"/>
          <w:szCs w:val="24"/>
          <w:highlight w:val="none"/>
        </w:rPr>
        <w:t>将承担其投标被视为非实质性响应投标的风险。</w:t>
      </w:r>
    </w:p>
    <w:p w14:paraId="46B5889D">
      <w:pPr>
        <w:spacing w:before="2" w:line="338" w:lineRule="auto"/>
        <w:ind w:left="4" w:firstLine="477"/>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供应商所投其他产品若属于《节能产品政府采购品</w:t>
      </w:r>
      <w:r>
        <w:rPr>
          <w:rFonts w:ascii="宋体" w:hAnsi="宋体" w:eastAsia="宋体" w:cs="宋体"/>
          <w:color w:val="auto"/>
          <w:spacing w:val="-4"/>
          <w:sz w:val="24"/>
          <w:szCs w:val="24"/>
          <w:highlight w:val="none"/>
        </w:rPr>
        <w:t>目清单》优先采购产品，响应文件</w:t>
      </w:r>
      <w:r>
        <w:rPr>
          <w:rFonts w:ascii="宋体" w:hAnsi="宋体" w:eastAsia="宋体" w:cs="宋体"/>
          <w:color w:val="auto"/>
          <w:spacing w:val="-3"/>
          <w:sz w:val="24"/>
          <w:szCs w:val="24"/>
          <w:highlight w:val="none"/>
        </w:rPr>
        <w:t>中应提供具有国家确定的认证机构出具的、处于有效期之内的</w:t>
      </w:r>
      <w:r>
        <w:rPr>
          <w:rFonts w:ascii="宋体" w:hAnsi="宋体" w:eastAsia="宋体" w:cs="宋体"/>
          <w:color w:val="auto"/>
          <w:spacing w:val="-4"/>
          <w:sz w:val="24"/>
          <w:szCs w:val="24"/>
          <w:highlight w:val="none"/>
        </w:rPr>
        <w:t>节能产品认证证书，磋商小</w:t>
      </w:r>
      <w:r>
        <w:rPr>
          <w:rFonts w:ascii="宋体" w:hAnsi="宋体" w:eastAsia="宋体" w:cs="宋体"/>
          <w:color w:val="auto"/>
          <w:spacing w:val="-1"/>
          <w:sz w:val="24"/>
          <w:szCs w:val="24"/>
          <w:highlight w:val="none"/>
        </w:rPr>
        <w:t>组根据本项目评标标准予以判定并赋分。</w:t>
      </w:r>
    </w:p>
    <w:p w14:paraId="7CE0B39A">
      <w:pPr>
        <w:spacing w:before="2" w:line="330" w:lineRule="auto"/>
        <w:ind w:left="1" w:firstLine="482"/>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2）供应商所投产品若属于《环境标志产品政府采购品目清单》</w:t>
      </w:r>
      <w:r>
        <w:rPr>
          <w:rFonts w:ascii="宋体" w:hAnsi="宋体" w:eastAsia="宋体" w:cs="宋体"/>
          <w:color w:val="auto"/>
          <w:spacing w:val="-1"/>
          <w:sz w:val="24"/>
          <w:szCs w:val="24"/>
          <w:highlight w:val="none"/>
        </w:rPr>
        <w:t>内产品，响应文件中</w:t>
      </w:r>
      <w:r>
        <w:rPr>
          <w:rFonts w:ascii="宋体" w:hAnsi="宋体" w:eastAsia="宋体" w:cs="宋体"/>
          <w:color w:val="auto"/>
          <w:spacing w:val="-3"/>
          <w:sz w:val="24"/>
          <w:szCs w:val="24"/>
          <w:highlight w:val="none"/>
        </w:rPr>
        <w:t>应提供具有国家确定的认证机构出具的、处于有效期之内的环境标志</w:t>
      </w:r>
      <w:r>
        <w:rPr>
          <w:rFonts w:ascii="宋体" w:hAnsi="宋体" w:eastAsia="宋体" w:cs="宋体"/>
          <w:color w:val="auto"/>
          <w:spacing w:val="-4"/>
          <w:sz w:val="24"/>
          <w:szCs w:val="24"/>
          <w:highlight w:val="none"/>
        </w:rPr>
        <w:t>产品认证证书，磋商</w:t>
      </w:r>
      <w:r>
        <w:rPr>
          <w:rFonts w:ascii="宋体" w:hAnsi="宋体" w:eastAsia="宋体" w:cs="宋体"/>
          <w:color w:val="auto"/>
          <w:spacing w:val="-1"/>
          <w:sz w:val="24"/>
          <w:szCs w:val="24"/>
          <w:highlight w:val="none"/>
        </w:rPr>
        <w:t>小组根据本项目评标标准予以判定并赋分。</w:t>
      </w:r>
    </w:p>
    <w:p w14:paraId="5DF29998">
      <w:pPr>
        <w:spacing w:line="219" w:lineRule="auto"/>
        <w:ind w:left="493"/>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（3）网络关键设备、网络安全专用产品要求</w:t>
      </w:r>
    </w:p>
    <w:p w14:paraId="4DF3594E">
      <w:pPr>
        <w:spacing w:line="219" w:lineRule="auto"/>
        <w:rPr>
          <w:rFonts w:ascii="宋体" w:hAnsi="宋体" w:eastAsia="宋体" w:cs="宋体"/>
          <w:color w:val="auto"/>
          <w:sz w:val="24"/>
          <w:szCs w:val="24"/>
          <w:highlight w:val="none"/>
        </w:rPr>
        <w:sectPr>
          <w:footerReference r:id="rId37" w:type="default"/>
          <w:pgSz w:w="11906" w:h="16839"/>
          <w:pgMar w:top="1431" w:right="1074" w:bottom="1443" w:left="1593" w:header="0" w:footer="1202" w:gutter="0"/>
          <w:pgNumType w:fmt="decimal"/>
          <w:cols w:space="720" w:num="1"/>
        </w:sectPr>
      </w:pPr>
    </w:p>
    <w:p w14:paraId="6B2CF155">
      <w:pPr>
        <w:spacing w:before="158" w:line="338" w:lineRule="auto"/>
        <w:ind w:right="61" w:firstLine="497"/>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1）项目中涉及网络关键设备或网络安全专用产品的，至少符合以下条件之一：一是</w:t>
      </w:r>
      <w:r>
        <w:rPr>
          <w:rFonts w:ascii="宋体" w:hAnsi="宋体" w:eastAsia="宋体" w:cs="宋体"/>
          <w:color w:val="auto"/>
          <w:spacing w:val="-3"/>
          <w:sz w:val="24"/>
          <w:szCs w:val="24"/>
          <w:highlight w:val="none"/>
        </w:rPr>
        <w:t>已由具备资格的机构安全认证合格或安全检测符合要求；二是已获得</w:t>
      </w:r>
      <w:r>
        <w:rPr>
          <w:rFonts w:ascii="宋体" w:hAnsi="宋体" w:eastAsia="宋体" w:cs="宋体"/>
          <w:color w:val="auto"/>
          <w:spacing w:val="-4"/>
          <w:sz w:val="24"/>
          <w:szCs w:val="24"/>
          <w:highlight w:val="none"/>
        </w:rPr>
        <w:t>《计算机信息系统安</w:t>
      </w:r>
      <w:r>
        <w:rPr>
          <w:rFonts w:ascii="宋体" w:hAnsi="宋体" w:eastAsia="宋体" w:cs="宋体"/>
          <w:color w:val="auto"/>
          <w:spacing w:val="-1"/>
          <w:sz w:val="24"/>
          <w:szCs w:val="24"/>
          <w:highlight w:val="none"/>
        </w:rPr>
        <w:t>全专用产品销售许可证》，且在有效期内。</w:t>
      </w:r>
    </w:p>
    <w:p w14:paraId="537E1D74">
      <w:pPr>
        <w:spacing w:line="218" w:lineRule="auto"/>
        <w:ind w:left="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提供资料（下列资料任意一项）</w:t>
      </w:r>
    </w:p>
    <w:p w14:paraId="2DE4500B">
      <w:pPr>
        <w:spacing w:before="155" w:line="217" w:lineRule="auto"/>
        <w:ind w:left="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①网络关键设备和网络安全专用产品安全认证证书；</w:t>
      </w:r>
    </w:p>
    <w:p w14:paraId="52091122">
      <w:pPr>
        <w:spacing w:before="157" w:line="217" w:lineRule="auto"/>
        <w:ind w:left="479"/>
        <w:rPr>
          <w:rFonts w:ascii="宋体" w:hAnsi="宋体" w:eastAsia="宋体" w:cs="宋体"/>
          <w:color w:val="auto"/>
          <w:sz w:val="24"/>
          <w:szCs w:val="24"/>
          <w:highlight w:val="none"/>
        </w:rPr>
      </w:pPr>
      <w:r>
        <w:rPr>
          <w:rFonts w:ascii="宋体" w:hAnsi="宋体" w:eastAsia="宋体" w:cs="宋体"/>
          <w:color w:val="auto"/>
          <w:sz w:val="24"/>
          <w:szCs w:val="24"/>
          <w:highlight w:val="none"/>
        </w:rPr>
        <w:t>②网络关键设备安全检测证书、网络安全专用</w:t>
      </w:r>
      <w:r>
        <w:rPr>
          <w:rFonts w:ascii="宋体" w:hAnsi="宋体" w:eastAsia="宋体" w:cs="宋体"/>
          <w:color w:val="auto"/>
          <w:spacing w:val="-1"/>
          <w:sz w:val="24"/>
          <w:szCs w:val="24"/>
          <w:highlight w:val="none"/>
        </w:rPr>
        <w:t>产品安全检测证书；</w:t>
      </w:r>
    </w:p>
    <w:p w14:paraId="11667673">
      <w:pPr>
        <w:spacing w:before="159" w:line="217" w:lineRule="auto"/>
        <w:ind w:left="47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③计算机信息系统安全专用产品销售许可证；</w:t>
      </w:r>
    </w:p>
    <w:p w14:paraId="2E2153DD">
      <w:pPr>
        <w:spacing w:before="158" w:line="338" w:lineRule="auto"/>
        <w:ind w:left="1" w:right="61" w:firstLine="47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④中国网信网或工业和信息化部网站或公安部网站或国家认证认可监督管理委员会</w:t>
      </w:r>
      <w:r>
        <w:rPr>
          <w:rFonts w:ascii="宋体" w:hAnsi="宋体" w:eastAsia="宋体" w:cs="宋体"/>
          <w:color w:val="auto"/>
          <w:spacing w:val="-3"/>
          <w:sz w:val="24"/>
          <w:szCs w:val="24"/>
          <w:highlight w:val="none"/>
        </w:rPr>
        <w:t>网站公布的认证、检测结果（提供公布安全认证、安全检测结果页</w:t>
      </w:r>
      <w:r>
        <w:rPr>
          <w:rFonts w:ascii="宋体" w:hAnsi="宋体" w:eastAsia="宋体" w:cs="宋体"/>
          <w:color w:val="auto"/>
          <w:spacing w:val="-4"/>
          <w:sz w:val="24"/>
          <w:szCs w:val="24"/>
          <w:highlight w:val="none"/>
        </w:rPr>
        <w:t>面网址和安全认证、检</w:t>
      </w:r>
      <w:r>
        <w:rPr>
          <w:rFonts w:ascii="宋体" w:hAnsi="宋体" w:eastAsia="宋体" w:cs="宋体"/>
          <w:color w:val="auto"/>
          <w:spacing w:val="-2"/>
          <w:sz w:val="24"/>
          <w:szCs w:val="24"/>
          <w:highlight w:val="none"/>
        </w:rPr>
        <w:t>测结果截图）。</w:t>
      </w:r>
    </w:p>
    <w:p w14:paraId="2E6FE2CF">
      <w:pPr>
        <w:spacing w:line="220" w:lineRule="auto"/>
        <w:ind w:left="492"/>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（4）投标无效情形</w:t>
      </w:r>
    </w:p>
    <w:p w14:paraId="0EE2646B">
      <w:pPr>
        <w:spacing w:before="155" w:line="338" w:lineRule="auto"/>
        <w:ind w:firstLine="49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1）供应商应当遵循公平竞争的原则，不得恶意串通，不得妨碍其他供应商的竞争行</w:t>
      </w:r>
      <w:r>
        <w:rPr>
          <w:rFonts w:ascii="宋体" w:hAnsi="宋体" w:eastAsia="宋体" w:cs="宋体"/>
          <w:color w:val="auto"/>
          <w:spacing w:val="-8"/>
          <w:sz w:val="24"/>
          <w:szCs w:val="24"/>
          <w:highlight w:val="none"/>
        </w:rPr>
        <w:t>为，不得损害采购人或者其他供应商的合法权益。在评标过程中发现供应商有上述情形的，</w:t>
      </w:r>
      <w:r>
        <w:rPr>
          <w:rFonts w:ascii="宋体" w:hAnsi="宋体" w:eastAsia="宋体" w:cs="宋体"/>
          <w:color w:val="auto"/>
          <w:spacing w:val="-1"/>
          <w:sz w:val="24"/>
          <w:szCs w:val="24"/>
          <w:highlight w:val="none"/>
        </w:rPr>
        <w:t>磋商小组应当认定其投标无效。</w:t>
      </w:r>
    </w:p>
    <w:p w14:paraId="5B28307F">
      <w:pPr>
        <w:spacing w:before="1" w:line="218" w:lineRule="auto"/>
        <w:ind w:left="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2）符合性审查资料未按磋商文件要求签署、盖章的；</w:t>
      </w:r>
    </w:p>
    <w:p w14:paraId="2A1B197F">
      <w:pPr>
        <w:spacing w:before="157" w:line="219" w:lineRule="auto"/>
        <w:ind w:left="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3）有下列情形之一的，视为供应商串通投标，其投标无效：</w:t>
      </w:r>
    </w:p>
    <w:p w14:paraId="77B228D9">
      <w:pPr>
        <w:spacing w:before="154" w:line="219" w:lineRule="auto"/>
        <w:ind w:left="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a.不同供应商的响应文件由同一单位或者个人编制；</w:t>
      </w:r>
    </w:p>
    <w:p w14:paraId="5D15322D">
      <w:pPr>
        <w:spacing w:before="155" w:line="219" w:lineRule="auto"/>
        <w:ind w:left="47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b.不同供应商委托同一单位或者个人办理投标事宜；</w:t>
      </w:r>
    </w:p>
    <w:p w14:paraId="18CA7AD4">
      <w:pPr>
        <w:spacing w:before="157" w:line="219" w:lineRule="auto"/>
        <w:ind w:left="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c.不同供应商的响应文件载明的项目管理成员或者联系人员为同一人；</w:t>
      </w:r>
    </w:p>
    <w:p w14:paraId="242DFC7C">
      <w:pPr>
        <w:spacing w:before="154" w:line="218" w:lineRule="auto"/>
        <w:ind w:left="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d.不同供应商的响应文件异常一致或者投标报价呈规律性差异。</w:t>
      </w:r>
    </w:p>
    <w:p w14:paraId="729C2742">
      <w:pPr>
        <w:spacing w:before="156" w:line="218" w:lineRule="auto"/>
        <w:ind w:left="480"/>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4）异常低价审查。</w:t>
      </w:r>
    </w:p>
    <w:p w14:paraId="604472F3">
      <w:pPr>
        <w:spacing w:before="158" w:line="338" w:lineRule="auto"/>
        <w:ind w:right="61" w:firstLine="49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1、评审中出现下列情形之一的，评标委员会应当启动异常低价投标（响应）审查程</w:t>
      </w:r>
      <w:r>
        <w:rPr>
          <w:rFonts w:ascii="宋体" w:hAnsi="宋体" w:eastAsia="宋体" w:cs="宋体"/>
          <w:color w:val="auto"/>
          <w:spacing w:val="-5"/>
          <w:sz w:val="24"/>
          <w:szCs w:val="24"/>
          <w:highlight w:val="none"/>
        </w:rPr>
        <w:t>序：</w:t>
      </w:r>
    </w:p>
    <w:p w14:paraId="04FE210C">
      <w:pPr>
        <w:spacing w:before="2" w:line="338" w:lineRule="auto"/>
        <w:ind w:left="20" w:right="61" w:firstLine="471"/>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（1）投标（响应）报价低于全部通过符合性审查</w:t>
      </w:r>
      <w:r>
        <w:rPr>
          <w:rFonts w:ascii="宋体" w:hAnsi="宋体" w:eastAsia="宋体" w:cs="宋体"/>
          <w:color w:val="auto"/>
          <w:spacing w:val="-6"/>
          <w:sz w:val="24"/>
          <w:szCs w:val="24"/>
          <w:highlight w:val="none"/>
        </w:rPr>
        <w:t>供应商投标（响应）报价平均值</w:t>
      </w:r>
      <w:r>
        <w:rPr>
          <w:rFonts w:ascii="宋体" w:hAnsi="宋体" w:eastAsia="宋体" w:cs="宋体"/>
          <w:color w:val="auto"/>
          <w:spacing w:val="-46"/>
          <w:sz w:val="24"/>
          <w:szCs w:val="24"/>
          <w:highlight w:val="none"/>
        </w:rPr>
        <w:t xml:space="preserve"> </w:t>
      </w:r>
      <w:r>
        <w:rPr>
          <w:rFonts w:ascii="宋体" w:hAnsi="宋体" w:eastAsia="宋体" w:cs="宋体"/>
          <w:color w:val="auto"/>
          <w:spacing w:val="-6"/>
          <w:sz w:val="24"/>
          <w:szCs w:val="24"/>
          <w:highlight w:val="none"/>
        </w:rPr>
        <w:t>50%</w:t>
      </w:r>
      <w:r>
        <w:rPr>
          <w:rFonts w:ascii="宋体" w:hAnsi="宋体" w:eastAsia="宋体" w:cs="宋体"/>
          <w:color w:val="auto"/>
          <w:spacing w:val="-1"/>
          <w:sz w:val="24"/>
          <w:szCs w:val="24"/>
          <w:highlight w:val="none"/>
        </w:rPr>
        <w:t>的，即投标（响应）报价〈全部通过符合性审查供应商投标（响应）报价平均值×50%；</w:t>
      </w:r>
    </w:p>
    <w:p w14:paraId="3EAB8196">
      <w:pPr>
        <w:spacing w:before="2" w:line="338" w:lineRule="auto"/>
        <w:ind w:left="20" w:right="61" w:firstLine="471"/>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（2）投标（响应）报价低于通过符合性审查的次</w:t>
      </w:r>
      <w:r>
        <w:rPr>
          <w:rFonts w:ascii="宋体" w:hAnsi="宋体" w:eastAsia="宋体" w:cs="宋体"/>
          <w:color w:val="auto"/>
          <w:spacing w:val="-6"/>
          <w:sz w:val="24"/>
          <w:szCs w:val="24"/>
          <w:highlight w:val="none"/>
        </w:rPr>
        <w:t>低报价供应商投标（响应）报价</w:t>
      </w:r>
      <w:r>
        <w:rPr>
          <w:rFonts w:ascii="宋体" w:hAnsi="宋体" w:eastAsia="宋体" w:cs="宋体"/>
          <w:color w:val="auto"/>
          <w:spacing w:val="-46"/>
          <w:sz w:val="24"/>
          <w:szCs w:val="24"/>
          <w:highlight w:val="none"/>
        </w:rPr>
        <w:t xml:space="preserve"> </w:t>
      </w:r>
      <w:r>
        <w:rPr>
          <w:rFonts w:ascii="宋体" w:hAnsi="宋体" w:eastAsia="宋体" w:cs="宋体"/>
          <w:color w:val="auto"/>
          <w:spacing w:val="-6"/>
          <w:sz w:val="24"/>
          <w:szCs w:val="24"/>
          <w:highlight w:val="none"/>
        </w:rPr>
        <w:t>50%</w:t>
      </w:r>
      <w:r>
        <w:rPr>
          <w:rFonts w:ascii="宋体" w:hAnsi="宋体" w:eastAsia="宋体" w:cs="宋体"/>
          <w:color w:val="auto"/>
          <w:spacing w:val="-1"/>
          <w:sz w:val="24"/>
          <w:szCs w:val="24"/>
          <w:highlight w:val="none"/>
        </w:rPr>
        <w:t>的，即投标（响应）报价〈通过符合性审查的次低报价供应商投标（响应）报价×50%；</w:t>
      </w:r>
    </w:p>
    <w:p w14:paraId="77C13872">
      <w:pPr>
        <w:spacing w:before="2" w:line="337" w:lineRule="auto"/>
        <w:ind w:left="4" w:right="61" w:firstLine="48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（3）投标（响应）报价低于采购项目最高限价</w:t>
      </w:r>
      <w:r>
        <w:rPr>
          <w:rFonts w:ascii="宋体" w:hAnsi="宋体" w:eastAsia="宋体" w:cs="宋体"/>
          <w:color w:val="auto"/>
          <w:spacing w:val="-49"/>
          <w:sz w:val="24"/>
          <w:szCs w:val="24"/>
          <w:highlight w:val="none"/>
        </w:rPr>
        <w:t xml:space="preserve"> </w:t>
      </w:r>
      <w:r>
        <w:rPr>
          <w:rFonts w:ascii="宋体" w:hAnsi="宋体" w:eastAsia="宋体" w:cs="宋体"/>
          <w:color w:val="auto"/>
          <w:spacing w:val="1"/>
          <w:sz w:val="24"/>
          <w:szCs w:val="24"/>
          <w:highlight w:val="none"/>
        </w:rPr>
        <w:t>45%的，即投标（响</w:t>
      </w:r>
      <w:r>
        <w:rPr>
          <w:rFonts w:ascii="宋体" w:hAnsi="宋体" w:eastAsia="宋体" w:cs="宋体"/>
          <w:color w:val="auto"/>
          <w:sz w:val="24"/>
          <w:szCs w:val="24"/>
          <w:highlight w:val="none"/>
        </w:rPr>
        <w:t>应）报价〈采购</w:t>
      </w:r>
      <w:r>
        <w:rPr>
          <w:rFonts w:ascii="宋体" w:hAnsi="宋体" w:eastAsia="宋体" w:cs="宋体"/>
          <w:color w:val="auto"/>
          <w:spacing w:val="-2"/>
          <w:sz w:val="24"/>
          <w:szCs w:val="24"/>
          <w:highlight w:val="none"/>
        </w:rPr>
        <w:t>项目最高限价×45%；</w:t>
      </w:r>
    </w:p>
    <w:p w14:paraId="69A072BD">
      <w:pPr>
        <w:spacing w:before="2" w:line="341" w:lineRule="auto"/>
        <w:ind w:left="10" w:right="61" w:firstLine="482"/>
        <w:rPr>
          <w:rFonts w:ascii="宋体" w:hAnsi="宋体" w:eastAsia="宋体" w:cs="宋体"/>
          <w:color w:val="auto"/>
          <w:sz w:val="24"/>
          <w:szCs w:val="24"/>
          <w:highlight w:val="none"/>
        </w:rPr>
      </w:pPr>
      <w:r>
        <w:rPr>
          <w:rFonts w:ascii="宋体" w:hAnsi="宋体" w:eastAsia="宋体" w:cs="宋体"/>
          <w:color w:val="auto"/>
          <w:sz w:val="24"/>
          <w:szCs w:val="24"/>
          <w:highlight w:val="none"/>
        </w:rPr>
        <w:t>（4）评标委员会基于专业判断，认为供应</w:t>
      </w:r>
      <w:r>
        <w:rPr>
          <w:rFonts w:ascii="宋体" w:hAnsi="宋体" w:eastAsia="宋体" w:cs="宋体"/>
          <w:color w:val="auto"/>
          <w:spacing w:val="-1"/>
          <w:sz w:val="24"/>
          <w:szCs w:val="24"/>
          <w:highlight w:val="none"/>
        </w:rPr>
        <w:t>商报价过低，有可能影响产品质量或者不</w:t>
      </w:r>
      <w:r>
        <w:rPr>
          <w:rFonts w:ascii="宋体" w:hAnsi="宋体" w:eastAsia="宋体" w:cs="宋体"/>
          <w:color w:val="auto"/>
          <w:spacing w:val="-2"/>
          <w:sz w:val="24"/>
          <w:szCs w:val="24"/>
          <w:highlight w:val="none"/>
        </w:rPr>
        <w:t>能诚信履约的其他情形。</w:t>
      </w:r>
    </w:p>
    <w:p w14:paraId="3E9A0697">
      <w:pPr>
        <w:spacing w:line="341" w:lineRule="auto"/>
        <w:rPr>
          <w:rFonts w:ascii="宋体" w:hAnsi="宋体" w:eastAsia="宋体" w:cs="宋体"/>
          <w:color w:val="auto"/>
          <w:sz w:val="24"/>
          <w:szCs w:val="24"/>
          <w:highlight w:val="none"/>
        </w:rPr>
        <w:sectPr>
          <w:footerReference r:id="rId38" w:type="default"/>
          <w:pgSz w:w="11906" w:h="16839"/>
          <w:pgMar w:top="1431" w:right="1013" w:bottom="1443" w:left="1594" w:header="0" w:footer="1202" w:gutter="0"/>
          <w:pgNumType w:fmt="decimal"/>
          <w:cols w:space="720" w:num="1"/>
        </w:sectPr>
      </w:pPr>
    </w:p>
    <w:p w14:paraId="137FF591">
      <w:pPr>
        <w:spacing w:before="156" w:line="218" w:lineRule="auto"/>
        <w:ind w:left="102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（5）相关法律法规对供应商报价有规定的，从其规定。</w:t>
      </w:r>
    </w:p>
    <w:p w14:paraId="52063686">
      <w:pPr>
        <w:spacing w:before="159" w:line="338" w:lineRule="auto"/>
        <w:ind w:left="528" w:firstLine="602"/>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2、评标委员会启动异常低价投标（响应）审查后，属于前述第</w:t>
      </w:r>
      <w:r>
        <w:rPr>
          <w:rFonts w:ascii="宋体" w:hAnsi="宋体" w:eastAsia="宋体" w:cs="宋体"/>
          <w:color w:val="auto"/>
          <w:spacing w:val="-22"/>
          <w:sz w:val="24"/>
          <w:szCs w:val="24"/>
          <w:highlight w:val="none"/>
        </w:rPr>
        <w:t xml:space="preserve"> </w:t>
      </w:r>
      <w:r>
        <w:rPr>
          <w:rFonts w:ascii="宋体" w:hAnsi="宋体" w:eastAsia="宋体" w:cs="宋体"/>
          <w:color w:val="auto"/>
          <w:spacing w:val="-10"/>
          <w:sz w:val="24"/>
          <w:szCs w:val="24"/>
          <w:highlight w:val="none"/>
        </w:rPr>
        <w:t>1</w:t>
      </w:r>
      <w:r>
        <w:rPr>
          <w:rFonts w:ascii="宋体" w:hAnsi="宋体" w:eastAsia="宋体" w:cs="宋体"/>
          <w:color w:val="auto"/>
          <w:spacing w:val="-47"/>
          <w:sz w:val="24"/>
          <w:szCs w:val="24"/>
          <w:highlight w:val="none"/>
        </w:rPr>
        <w:t xml:space="preserve"> </w:t>
      </w:r>
      <w:r>
        <w:rPr>
          <w:rFonts w:ascii="宋体" w:hAnsi="宋体" w:eastAsia="宋体" w:cs="宋体"/>
          <w:color w:val="auto"/>
          <w:spacing w:val="-10"/>
          <w:sz w:val="24"/>
          <w:szCs w:val="24"/>
          <w:highlight w:val="none"/>
        </w:rPr>
        <w:t>项至第</w:t>
      </w:r>
      <w:r>
        <w:rPr>
          <w:rFonts w:ascii="宋体" w:hAnsi="宋体" w:eastAsia="宋体" w:cs="宋体"/>
          <w:color w:val="auto"/>
          <w:spacing w:val="-52"/>
          <w:sz w:val="24"/>
          <w:szCs w:val="24"/>
          <w:highlight w:val="none"/>
        </w:rPr>
        <w:t xml:space="preserve"> </w:t>
      </w:r>
      <w:r>
        <w:rPr>
          <w:rFonts w:ascii="宋体" w:hAnsi="宋体" w:eastAsia="宋体" w:cs="宋体"/>
          <w:color w:val="auto"/>
          <w:spacing w:val="-10"/>
          <w:sz w:val="24"/>
          <w:szCs w:val="24"/>
          <w:highlight w:val="none"/>
        </w:rPr>
        <w:t>4</w:t>
      </w:r>
      <w:r>
        <w:rPr>
          <w:rFonts w:ascii="宋体" w:hAnsi="宋体" w:eastAsia="宋体" w:cs="宋体"/>
          <w:color w:val="auto"/>
          <w:spacing w:val="-46"/>
          <w:sz w:val="24"/>
          <w:szCs w:val="24"/>
          <w:highlight w:val="none"/>
        </w:rPr>
        <w:t xml:space="preserve"> </w:t>
      </w:r>
      <w:r>
        <w:rPr>
          <w:rFonts w:ascii="宋体" w:hAnsi="宋体" w:eastAsia="宋体" w:cs="宋体"/>
          <w:color w:val="auto"/>
          <w:spacing w:val="-10"/>
          <w:sz w:val="24"/>
          <w:szCs w:val="24"/>
          <w:highlight w:val="none"/>
        </w:rPr>
        <w:t>项情形的，</w:t>
      </w:r>
      <w:r>
        <w:rPr>
          <w:rFonts w:ascii="宋体" w:hAnsi="宋体" w:eastAsia="宋体" w:cs="宋体"/>
          <w:color w:val="auto"/>
          <w:spacing w:val="-1"/>
          <w:sz w:val="24"/>
          <w:szCs w:val="24"/>
          <w:highlight w:val="none"/>
        </w:rPr>
        <w:t>应当要求相关供应商在评审现场规定时间内（给予供应商的时间不少于</w:t>
      </w:r>
      <w:r>
        <w:rPr>
          <w:rFonts w:ascii="宋体" w:hAnsi="宋体" w:eastAsia="宋体" w:cs="宋体"/>
          <w:color w:val="auto"/>
          <w:spacing w:val="-42"/>
          <w:sz w:val="24"/>
          <w:szCs w:val="24"/>
          <w:highlight w:val="none"/>
        </w:rPr>
        <w:t xml:space="preserve"> </w:t>
      </w:r>
      <w:r>
        <w:rPr>
          <w:rFonts w:ascii="宋体" w:hAnsi="宋体" w:eastAsia="宋体" w:cs="宋体"/>
          <w:color w:val="auto"/>
          <w:spacing w:val="-1"/>
          <w:sz w:val="24"/>
          <w:szCs w:val="24"/>
          <w:highlight w:val="none"/>
        </w:rPr>
        <w:t>60</w:t>
      </w:r>
      <w:r>
        <w:rPr>
          <w:rFonts w:ascii="宋体" w:hAnsi="宋体" w:eastAsia="宋体" w:cs="宋体"/>
          <w:color w:val="auto"/>
          <w:spacing w:val="-47"/>
          <w:sz w:val="24"/>
          <w:szCs w:val="24"/>
          <w:highlight w:val="none"/>
        </w:rPr>
        <w:t xml:space="preserve"> </w:t>
      </w:r>
      <w:r>
        <w:rPr>
          <w:rFonts w:ascii="宋体" w:hAnsi="宋体" w:eastAsia="宋体" w:cs="宋体"/>
          <w:color w:val="auto"/>
          <w:spacing w:val="-1"/>
          <w:sz w:val="24"/>
          <w:szCs w:val="24"/>
          <w:highlight w:val="none"/>
        </w:rPr>
        <w:t>分钟）对投标</w:t>
      </w:r>
      <w:r>
        <w:rPr>
          <w:rFonts w:ascii="宋体" w:hAnsi="宋体" w:eastAsia="宋体" w:cs="宋体"/>
          <w:color w:val="auto"/>
          <w:spacing w:val="-3"/>
          <w:sz w:val="24"/>
          <w:szCs w:val="24"/>
          <w:highlight w:val="none"/>
        </w:rPr>
        <w:t>（响应）价格作出解释，并提供项目具体成本测算等与报价合理性相</w:t>
      </w:r>
      <w:r>
        <w:rPr>
          <w:rFonts w:ascii="宋体" w:hAnsi="宋体" w:eastAsia="宋体" w:cs="宋体"/>
          <w:color w:val="auto"/>
          <w:spacing w:val="-4"/>
          <w:sz w:val="24"/>
          <w:szCs w:val="24"/>
          <w:highlight w:val="none"/>
        </w:rPr>
        <w:t>关的书面说明及必要</w:t>
      </w:r>
      <w:r>
        <w:rPr>
          <w:rFonts w:ascii="宋体" w:hAnsi="宋体" w:eastAsia="宋体" w:cs="宋体"/>
          <w:color w:val="auto"/>
          <w:spacing w:val="-8"/>
          <w:sz w:val="24"/>
          <w:szCs w:val="24"/>
          <w:highlight w:val="none"/>
        </w:rPr>
        <w:t>的证明材料，包括但不限于原材料成本、人工成本、制造费用等</w:t>
      </w:r>
      <w:r>
        <w:rPr>
          <w:rFonts w:ascii="宋体" w:hAnsi="宋体" w:eastAsia="宋体" w:cs="宋体"/>
          <w:color w:val="auto"/>
          <w:spacing w:val="-9"/>
          <w:sz w:val="24"/>
          <w:szCs w:val="24"/>
          <w:highlight w:val="none"/>
        </w:rPr>
        <w:t>。其中，属于第</w:t>
      </w:r>
      <w:r>
        <w:rPr>
          <w:rFonts w:ascii="宋体" w:hAnsi="宋体" w:eastAsia="宋体" w:cs="宋体"/>
          <w:color w:val="auto"/>
          <w:spacing w:val="-46"/>
          <w:sz w:val="24"/>
          <w:szCs w:val="24"/>
          <w:highlight w:val="none"/>
        </w:rPr>
        <w:t xml:space="preserve"> </w:t>
      </w:r>
      <w:r>
        <w:rPr>
          <w:rFonts w:ascii="宋体" w:hAnsi="宋体" w:eastAsia="宋体" w:cs="宋体"/>
          <w:color w:val="auto"/>
          <w:spacing w:val="-9"/>
          <w:sz w:val="24"/>
          <w:szCs w:val="24"/>
          <w:highlight w:val="none"/>
        </w:rPr>
        <w:t>3</w:t>
      </w:r>
      <w:r>
        <w:rPr>
          <w:rFonts w:ascii="宋体" w:hAnsi="宋体" w:eastAsia="宋体" w:cs="宋体"/>
          <w:color w:val="auto"/>
          <w:spacing w:val="-47"/>
          <w:sz w:val="24"/>
          <w:szCs w:val="24"/>
          <w:highlight w:val="none"/>
        </w:rPr>
        <w:t xml:space="preserve"> </w:t>
      </w:r>
      <w:r>
        <w:rPr>
          <w:rFonts w:ascii="宋体" w:hAnsi="宋体" w:eastAsia="宋体" w:cs="宋体"/>
          <w:color w:val="auto"/>
          <w:spacing w:val="-9"/>
          <w:sz w:val="24"/>
          <w:szCs w:val="24"/>
          <w:highlight w:val="none"/>
        </w:rPr>
        <w:t>项情形，</w:t>
      </w:r>
      <w:r>
        <w:rPr>
          <w:rFonts w:ascii="宋体" w:hAnsi="宋体" w:eastAsia="宋体" w:cs="宋体"/>
          <w:color w:val="auto"/>
          <w:spacing w:val="-3"/>
          <w:sz w:val="24"/>
          <w:szCs w:val="24"/>
          <w:highlight w:val="none"/>
        </w:rPr>
        <w:t>供应商已随投标（响应）文件一并提交相关书面说明及必要的证</w:t>
      </w:r>
      <w:r>
        <w:rPr>
          <w:rFonts w:ascii="宋体" w:hAnsi="宋体" w:eastAsia="宋体" w:cs="宋体"/>
          <w:color w:val="auto"/>
          <w:spacing w:val="-4"/>
          <w:sz w:val="24"/>
          <w:szCs w:val="24"/>
          <w:highlight w:val="none"/>
        </w:rPr>
        <w:t>明材料的，在评审现场可</w:t>
      </w:r>
      <w:r>
        <w:rPr>
          <w:rFonts w:ascii="宋体" w:hAnsi="宋体" w:eastAsia="宋体" w:cs="宋体"/>
          <w:color w:val="auto"/>
          <w:spacing w:val="-2"/>
          <w:sz w:val="24"/>
          <w:szCs w:val="24"/>
          <w:highlight w:val="none"/>
        </w:rPr>
        <w:t>不再重复提交。</w:t>
      </w:r>
    </w:p>
    <w:p w14:paraId="5D58D1AE">
      <w:pPr>
        <w:spacing w:before="3" w:line="338" w:lineRule="auto"/>
        <w:ind w:left="529" w:right="61" w:firstLine="603"/>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3、评标委员会依据专业经验，参考同类项目中标（成交）价格、类似产品市场价格</w:t>
      </w:r>
      <w:r>
        <w:rPr>
          <w:rFonts w:ascii="宋体" w:hAnsi="宋体" w:eastAsia="宋体" w:cs="宋体"/>
          <w:color w:val="auto"/>
          <w:spacing w:val="-3"/>
          <w:sz w:val="24"/>
          <w:szCs w:val="24"/>
          <w:highlight w:val="none"/>
        </w:rPr>
        <w:t>水平、行业人工费用标准、国家有关部门指导行业协会发布的</w:t>
      </w:r>
      <w:r>
        <w:rPr>
          <w:rFonts w:ascii="宋体" w:hAnsi="宋体" w:eastAsia="宋体" w:cs="宋体"/>
          <w:color w:val="auto"/>
          <w:spacing w:val="-4"/>
          <w:sz w:val="24"/>
          <w:szCs w:val="24"/>
          <w:highlight w:val="none"/>
        </w:rPr>
        <w:t>行业平均成本等情况，对报</w:t>
      </w:r>
      <w:r>
        <w:rPr>
          <w:rFonts w:ascii="宋体" w:hAnsi="宋体" w:eastAsia="宋体" w:cs="宋体"/>
          <w:color w:val="auto"/>
          <w:spacing w:val="-3"/>
          <w:sz w:val="24"/>
          <w:szCs w:val="24"/>
          <w:highlight w:val="none"/>
        </w:rPr>
        <w:t>价合理性进行判断。投标（响应）供应商不能提供书面说明、</w:t>
      </w:r>
      <w:r>
        <w:rPr>
          <w:rFonts w:ascii="宋体" w:hAnsi="宋体" w:eastAsia="宋体" w:cs="宋体"/>
          <w:color w:val="auto"/>
          <w:spacing w:val="-4"/>
          <w:sz w:val="24"/>
          <w:szCs w:val="24"/>
          <w:highlight w:val="none"/>
        </w:rPr>
        <w:t>证明材料，或者提供的书面</w:t>
      </w:r>
      <w:r>
        <w:rPr>
          <w:rFonts w:ascii="宋体" w:hAnsi="宋体" w:eastAsia="宋体" w:cs="宋体"/>
          <w:color w:val="auto"/>
          <w:spacing w:val="-3"/>
          <w:sz w:val="24"/>
          <w:szCs w:val="24"/>
          <w:highlight w:val="none"/>
        </w:rPr>
        <w:t>说明、证明材料不能证明其报价合理性的，评标委员会应当将其作</w:t>
      </w:r>
      <w:r>
        <w:rPr>
          <w:rFonts w:ascii="宋体" w:hAnsi="宋体" w:eastAsia="宋体" w:cs="宋体"/>
          <w:color w:val="auto"/>
          <w:spacing w:val="-4"/>
          <w:sz w:val="24"/>
          <w:szCs w:val="24"/>
          <w:highlight w:val="none"/>
        </w:rPr>
        <w:t>为无效投标（响应）处</w:t>
      </w:r>
      <w:r>
        <w:rPr>
          <w:rFonts w:ascii="宋体" w:hAnsi="宋体" w:eastAsia="宋体" w:cs="宋体"/>
          <w:color w:val="auto"/>
          <w:spacing w:val="-6"/>
          <w:sz w:val="24"/>
          <w:szCs w:val="24"/>
          <w:highlight w:val="none"/>
        </w:rPr>
        <w:t>理。</w:t>
      </w:r>
    </w:p>
    <w:p w14:paraId="779BAFA0">
      <w:pPr>
        <w:spacing w:line="219" w:lineRule="auto"/>
        <w:ind w:left="101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5）法律法规和磋商文件规定的其他无效情形</w:t>
      </w:r>
      <w:r>
        <w:rPr>
          <w:rFonts w:ascii="宋体" w:hAnsi="宋体" w:eastAsia="宋体" w:cs="宋体"/>
          <w:b/>
          <w:bCs/>
          <w:color w:val="auto"/>
          <w:spacing w:val="-1"/>
          <w:sz w:val="24"/>
          <w:szCs w:val="24"/>
          <w:highlight w:val="none"/>
        </w:rPr>
        <w:t>。</w:t>
      </w:r>
    </w:p>
    <w:p w14:paraId="77015ECB">
      <w:pPr>
        <w:spacing w:before="154" w:line="220" w:lineRule="auto"/>
        <w:ind w:left="1020"/>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（5）评标标准</w:t>
      </w:r>
    </w:p>
    <w:p w14:paraId="2A0E10AF">
      <w:pPr>
        <w:spacing w:before="3" w:line="338" w:lineRule="auto"/>
        <w:ind w:left="529" w:right="61" w:firstLine="603"/>
        <w:rPr>
          <w:rFonts w:ascii="宋体" w:hAnsi="宋体" w:eastAsia="宋体" w:cs="宋体"/>
          <w:color w:val="auto"/>
          <w:spacing w:val="-4"/>
          <w:sz w:val="24"/>
          <w:szCs w:val="24"/>
          <w:highlight w:val="none"/>
        </w:rPr>
      </w:pPr>
      <w:r>
        <w:rPr>
          <w:rFonts w:ascii="宋体" w:hAnsi="宋体" w:eastAsia="宋体" w:cs="宋体"/>
          <w:color w:val="auto"/>
          <w:spacing w:val="-4"/>
          <w:sz w:val="24"/>
          <w:szCs w:val="24"/>
          <w:highlight w:val="none"/>
        </w:rPr>
        <w:t>（一）评标方法：最低评标价法□综合评分法☑</w:t>
      </w:r>
    </w:p>
    <w:p w14:paraId="2B83DB12">
      <w:pPr>
        <w:spacing w:before="3" w:line="338" w:lineRule="auto"/>
        <w:ind w:left="529" w:right="61" w:firstLine="603"/>
        <w:rPr>
          <w:rFonts w:ascii="宋体" w:hAnsi="宋体" w:eastAsia="宋体" w:cs="宋体"/>
          <w:color w:val="auto"/>
          <w:spacing w:val="-4"/>
          <w:sz w:val="24"/>
          <w:szCs w:val="24"/>
          <w:highlight w:val="none"/>
        </w:rPr>
      </w:pPr>
      <w:r>
        <w:rPr>
          <w:rFonts w:ascii="宋体" w:hAnsi="宋体" w:eastAsia="宋体" w:cs="宋体"/>
          <w:color w:val="auto"/>
          <w:spacing w:val="-4"/>
          <w:sz w:val="24"/>
          <w:szCs w:val="24"/>
          <w:highlight w:val="none"/>
        </w:rPr>
        <w:t>（二）综合评分法评标标准：</w:t>
      </w:r>
    </w:p>
    <w:p w14:paraId="0F14EB52">
      <w:pPr>
        <w:spacing w:line="18" w:lineRule="exact"/>
        <w:rPr>
          <w:color w:val="auto"/>
          <w:highlight w:val="none"/>
        </w:rPr>
      </w:pPr>
    </w:p>
    <w:tbl>
      <w:tblPr>
        <w:tblStyle w:val="11"/>
        <w:tblW w:w="93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3"/>
        <w:gridCol w:w="2"/>
        <w:gridCol w:w="1373"/>
        <w:gridCol w:w="3"/>
        <w:gridCol w:w="6649"/>
        <w:gridCol w:w="17"/>
      </w:tblGrid>
      <w:tr w14:paraId="5ABC6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1310" w:hRule="atLeast"/>
        </w:trPr>
        <w:tc>
          <w:tcPr>
            <w:tcW w:w="2648" w:type="dxa"/>
            <w:gridSpan w:val="3"/>
            <w:vAlign w:val="center"/>
          </w:tcPr>
          <w:p w14:paraId="5E41858E">
            <w:pPr>
              <w:pStyle w:val="12"/>
              <w:keepNext w:val="0"/>
              <w:keepLines w:val="0"/>
              <w:pageBreakBefore w:val="0"/>
              <w:widowControl/>
              <w:kinsoku w:val="0"/>
              <w:wordWrap/>
              <w:overflowPunct/>
              <w:topLinePunct w:val="0"/>
              <w:autoSpaceDE w:val="0"/>
              <w:autoSpaceDN w:val="0"/>
              <w:bidi w:val="0"/>
              <w:adjustRightInd w:val="0"/>
              <w:snapToGrid w:val="0"/>
              <w:spacing w:before="165" w:line="400" w:lineRule="exact"/>
              <w:ind w:left="114" w:right="108"/>
              <w:jc w:val="center"/>
              <w:textAlignment w:val="baseline"/>
              <w:rPr>
                <w:color w:val="auto"/>
                <w:spacing w:val="-1"/>
                <w:sz w:val="24"/>
                <w:szCs w:val="24"/>
                <w:highlight w:val="none"/>
              </w:rPr>
            </w:pPr>
            <w:r>
              <w:rPr>
                <w:color w:val="auto"/>
                <w:spacing w:val="-1"/>
                <w:sz w:val="24"/>
                <w:szCs w:val="24"/>
                <w:highlight w:val="none"/>
              </w:rPr>
              <w:t>分值构成</w:t>
            </w:r>
          </w:p>
          <w:p w14:paraId="27C9E5BC">
            <w:pPr>
              <w:pStyle w:val="12"/>
              <w:keepNext w:val="0"/>
              <w:keepLines w:val="0"/>
              <w:pageBreakBefore w:val="0"/>
              <w:widowControl/>
              <w:kinsoku w:val="0"/>
              <w:wordWrap/>
              <w:overflowPunct/>
              <w:topLinePunct w:val="0"/>
              <w:autoSpaceDE w:val="0"/>
              <w:autoSpaceDN w:val="0"/>
              <w:bidi w:val="0"/>
              <w:adjustRightInd w:val="0"/>
              <w:snapToGrid w:val="0"/>
              <w:spacing w:before="165" w:line="400" w:lineRule="exact"/>
              <w:ind w:left="114" w:right="108"/>
              <w:jc w:val="center"/>
              <w:textAlignment w:val="baseline"/>
              <w:rPr>
                <w:color w:val="auto"/>
                <w:spacing w:val="-1"/>
                <w:sz w:val="24"/>
                <w:szCs w:val="24"/>
                <w:highlight w:val="none"/>
              </w:rPr>
            </w:pPr>
            <w:r>
              <w:rPr>
                <w:color w:val="auto"/>
                <w:spacing w:val="-1"/>
                <w:sz w:val="24"/>
                <w:szCs w:val="24"/>
                <w:highlight w:val="none"/>
              </w:rPr>
              <w:t>（总分100分）</w:t>
            </w:r>
          </w:p>
        </w:tc>
        <w:tc>
          <w:tcPr>
            <w:tcW w:w="6652" w:type="dxa"/>
            <w:gridSpan w:val="2"/>
            <w:vAlign w:val="top"/>
          </w:tcPr>
          <w:p w14:paraId="7DABACB7">
            <w:pPr>
              <w:pStyle w:val="12"/>
              <w:keepNext w:val="0"/>
              <w:keepLines w:val="0"/>
              <w:pageBreakBefore w:val="0"/>
              <w:widowControl/>
              <w:kinsoku w:val="0"/>
              <w:wordWrap/>
              <w:overflowPunct/>
              <w:topLinePunct w:val="0"/>
              <w:autoSpaceDE w:val="0"/>
              <w:autoSpaceDN w:val="0"/>
              <w:bidi w:val="0"/>
              <w:adjustRightInd w:val="0"/>
              <w:snapToGrid w:val="0"/>
              <w:spacing w:before="165" w:line="400" w:lineRule="exact"/>
              <w:ind w:left="114" w:right="108"/>
              <w:jc w:val="left"/>
              <w:textAlignment w:val="baseline"/>
              <w:rPr>
                <w:color w:val="auto"/>
                <w:spacing w:val="-1"/>
                <w:sz w:val="24"/>
                <w:szCs w:val="24"/>
                <w:highlight w:val="none"/>
              </w:rPr>
            </w:pPr>
            <w:r>
              <w:rPr>
                <w:color w:val="auto"/>
                <w:spacing w:val="-1"/>
                <w:sz w:val="24"/>
                <w:szCs w:val="24"/>
                <w:highlight w:val="none"/>
              </w:rPr>
              <w:t>报价部分：</w:t>
            </w:r>
            <w:r>
              <w:rPr>
                <w:rFonts w:hint="eastAsia"/>
                <w:color w:val="auto"/>
                <w:spacing w:val="-1"/>
                <w:sz w:val="24"/>
                <w:szCs w:val="24"/>
                <w:highlight w:val="none"/>
                <w:lang w:val="en-US" w:eastAsia="zh-CN"/>
              </w:rPr>
              <w:t>20</w:t>
            </w:r>
            <w:r>
              <w:rPr>
                <w:color w:val="auto"/>
                <w:spacing w:val="-1"/>
                <w:sz w:val="24"/>
                <w:szCs w:val="24"/>
                <w:highlight w:val="none"/>
              </w:rPr>
              <w:t>分</w:t>
            </w:r>
          </w:p>
          <w:p w14:paraId="4653A554">
            <w:pPr>
              <w:pStyle w:val="12"/>
              <w:keepNext w:val="0"/>
              <w:keepLines w:val="0"/>
              <w:pageBreakBefore w:val="0"/>
              <w:widowControl/>
              <w:kinsoku w:val="0"/>
              <w:wordWrap/>
              <w:overflowPunct/>
              <w:topLinePunct w:val="0"/>
              <w:autoSpaceDE w:val="0"/>
              <w:autoSpaceDN w:val="0"/>
              <w:bidi w:val="0"/>
              <w:adjustRightInd w:val="0"/>
              <w:snapToGrid w:val="0"/>
              <w:spacing w:before="165" w:line="400" w:lineRule="exact"/>
              <w:ind w:left="114" w:right="108"/>
              <w:jc w:val="left"/>
              <w:textAlignment w:val="baseline"/>
              <w:rPr>
                <w:color w:val="auto"/>
                <w:spacing w:val="-1"/>
                <w:sz w:val="24"/>
                <w:szCs w:val="24"/>
                <w:highlight w:val="none"/>
              </w:rPr>
            </w:pPr>
            <w:r>
              <w:rPr>
                <w:color w:val="auto"/>
                <w:spacing w:val="-1"/>
                <w:sz w:val="24"/>
                <w:szCs w:val="24"/>
                <w:highlight w:val="none"/>
              </w:rPr>
              <w:t>商务部分：</w:t>
            </w:r>
            <w:r>
              <w:rPr>
                <w:rFonts w:hint="eastAsia"/>
                <w:color w:val="auto"/>
                <w:spacing w:val="-1"/>
                <w:sz w:val="24"/>
                <w:szCs w:val="24"/>
                <w:highlight w:val="none"/>
                <w:lang w:val="en-US" w:eastAsia="zh-CN"/>
              </w:rPr>
              <w:t>23</w:t>
            </w:r>
            <w:r>
              <w:rPr>
                <w:color w:val="auto"/>
                <w:spacing w:val="-1"/>
                <w:sz w:val="24"/>
                <w:szCs w:val="24"/>
                <w:highlight w:val="none"/>
              </w:rPr>
              <w:t>分</w:t>
            </w:r>
          </w:p>
          <w:p w14:paraId="4805F6D4">
            <w:pPr>
              <w:pStyle w:val="12"/>
              <w:keepNext w:val="0"/>
              <w:keepLines w:val="0"/>
              <w:pageBreakBefore w:val="0"/>
              <w:widowControl/>
              <w:kinsoku w:val="0"/>
              <w:wordWrap/>
              <w:overflowPunct/>
              <w:topLinePunct w:val="0"/>
              <w:autoSpaceDE w:val="0"/>
              <w:autoSpaceDN w:val="0"/>
              <w:bidi w:val="0"/>
              <w:adjustRightInd w:val="0"/>
              <w:snapToGrid w:val="0"/>
              <w:spacing w:before="165" w:line="400" w:lineRule="exact"/>
              <w:ind w:left="114" w:right="108"/>
              <w:jc w:val="left"/>
              <w:textAlignment w:val="baseline"/>
              <w:rPr>
                <w:color w:val="auto"/>
                <w:spacing w:val="-1"/>
                <w:sz w:val="24"/>
                <w:szCs w:val="24"/>
                <w:highlight w:val="none"/>
              </w:rPr>
            </w:pPr>
            <w:r>
              <w:rPr>
                <w:color w:val="auto"/>
                <w:spacing w:val="-1"/>
                <w:sz w:val="24"/>
                <w:szCs w:val="24"/>
                <w:highlight w:val="none"/>
              </w:rPr>
              <w:t>技术部分：5</w:t>
            </w:r>
            <w:r>
              <w:rPr>
                <w:rFonts w:hint="eastAsia"/>
                <w:color w:val="auto"/>
                <w:spacing w:val="-1"/>
                <w:sz w:val="24"/>
                <w:szCs w:val="24"/>
                <w:highlight w:val="none"/>
                <w:lang w:val="en-US" w:eastAsia="zh-CN"/>
              </w:rPr>
              <w:t>7</w:t>
            </w:r>
            <w:r>
              <w:rPr>
                <w:color w:val="auto"/>
                <w:spacing w:val="-1"/>
                <w:sz w:val="24"/>
                <w:szCs w:val="24"/>
                <w:highlight w:val="none"/>
              </w:rPr>
              <w:t>分</w:t>
            </w:r>
          </w:p>
        </w:tc>
      </w:tr>
      <w:tr w14:paraId="745C8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80" w:hRule="atLeast"/>
        </w:trPr>
        <w:tc>
          <w:tcPr>
            <w:tcW w:w="1273" w:type="dxa"/>
            <w:vAlign w:val="top"/>
          </w:tcPr>
          <w:p w14:paraId="4768799E">
            <w:pPr>
              <w:pStyle w:val="12"/>
              <w:keepNext w:val="0"/>
              <w:keepLines w:val="0"/>
              <w:pageBreakBefore w:val="0"/>
              <w:widowControl/>
              <w:kinsoku w:val="0"/>
              <w:wordWrap/>
              <w:overflowPunct/>
              <w:topLinePunct w:val="0"/>
              <w:autoSpaceDE w:val="0"/>
              <w:autoSpaceDN w:val="0"/>
              <w:bidi w:val="0"/>
              <w:adjustRightInd w:val="0"/>
              <w:snapToGrid w:val="0"/>
              <w:spacing w:before="233" w:line="400" w:lineRule="exact"/>
              <w:ind w:left="282"/>
              <w:textAlignment w:val="baseline"/>
              <w:rPr>
                <w:color w:val="auto"/>
                <w:sz w:val="24"/>
                <w:szCs w:val="24"/>
                <w:highlight w:val="none"/>
              </w:rPr>
            </w:pPr>
            <w:r>
              <w:rPr>
                <w:b/>
                <w:bCs/>
                <w:color w:val="auto"/>
                <w:spacing w:val="-5"/>
                <w:sz w:val="24"/>
                <w:szCs w:val="24"/>
                <w:highlight w:val="none"/>
              </w:rPr>
              <w:t>评审项</w:t>
            </w:r>
          </w:p>
        </w:tc>
        <w:tc>
          <w:tcPr>
            <w:tcW w:w="1375" w:type="dxa"/>
            <w:gridSpan w:val="2"/>
            <w:vAlign w:val="top"/>
          </w:tcPr>
          <w:p w14:paraId="043BCEE9">
            <w:pPr>
              <w:pStyle w:val="12"/>
              <w:keepNext w:val="0"/>
              <w:keepLines w:val="0"/>
              <w:pageBreakBefore w:val="0"/>
              <w:widowControl/>
              <w:kinsoku w:val="0"/>
              <w:wordWrap/>
              <w:overflowPunct/>
              <w:topLinePunct w:val="0"/>
              <w:autoSpaceDE w:val="0"/>
              <w:autoSpaceDN w:val="0"/>
              <w:bidi w:val="0"/>
              <w:adjustRightInd w:val="0"/>
              <w:snapToGrid w:val="0"/>
              <w:spacing w:before="234" w:line="400" w:lineRule="exact"/>
              <w:ind w:left="210"/>
              <w:textAlignment w:val="baseline"/>
              <w:rPr>
                <w:color w:val="auto"/>
                <w:sz w:val="24"/>
                <w:szCs w:val="24"/>
                <w:highlight w:val="none"/>
              </w:rPr>
            </w:pPr>
            <w:r>
              <w:rPr>
                <w:b/>
                <w:bCs/>
                <w:color w:val="auto"/>
                <w:spacing w:val="-5"/>
                <w:sz w:val="24"/>
                <w:szCs w:val="24"/>
                <w:highlight w:val="none"/>
              </w:rPr>
              <w:t>评分因素</w:t>
            </w:r>
          </w:p>
        </w:tc>
        <w:tc>
          <w:tcPr>
            <w:tcW w:w="6652" w:type="dxa"/>
            <w:gridSpan w:val="2"/>
            <w:vAlign w:val="top"/>
          </w:tcPr>
          <w:p w14:paraId="009DCB53">
            <w:pPr>
              <w:pStyle w:val="12"/>
              <w:keepNext w:val="0"/>
              <w:keepLines w:val="0"/>
              <w:pageBreakBefore w:val="0"/>
              <w:widowControl/>
              <w:kinsoku w:val="0"/>
              <w:wordWrap/>
              <w:overflowPunct/>
              <w:topLinePunct w:val="0"/>
              <w:autoSpaceDE w:val="0"/>
              <w:autoSpaceDN w:val="0"/>
              <w:bidi w:val="0"/>
              <w:adjustRightInd w:val="0"/>
              <w:snapToGrid w:val="0"/>
              <w:spacing w:before="233" w:line="400" w:lineRule="exact"/>
              <w:ind w:left="3132"/>
              <w:textAlignment w:val="baseline"/>
              <w:rPr>
                <w:color w:val="auto"/>
                <w:sz w:val="24"/>
                <w:szCs w:val="24"/>
                <w:highlight w:val="none"/>
              </w:rPr>
            </w:pPr>
            <w:r>
              <w:rPr>
                <w:b/>
                <w:bCs/>
                <w:color w:val="auto"/>
                <w:spacing w:val="-5"/>
                <w:sz w:val="24"/>
                <w:szCs w:val="24"/>
                <w:highlight w:val="none"/>
              </w:rPr>
              <w:t>评标标准</w:t>
            </w:r>
          </w:p>
        </w:tc>
      </w:tr>
      <w:tr w14:paraId="07B71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1156" w:hRule="atLeast"/>
        </w:trPr>
        <w:tc>
          <w:tcPr>
            <w:tcW w:w="1273" w:type="dxa"/>
            <w:tcBorders>
              <w:bottom w:val="single" w:color="auto" w:sz="4" w:space="0"/>
            </w:tcBorders>
            <w:vAlign w:val="center"/>
          </w:tcPr>
          <w:p w14:paraId="4101971F">
            <w:pPr>
              <w:pStyle w:val="12"/>
              <w:keepNext w:val="0"/>
              <w:keepLines w:val="0"/>
              <w:pageBreakBefore w:val="0"/>
              <w:widowControl/>
              <w:kinsoku w:val="0"/>
              <w:wordWrap/>
              <w:overflowPunct/>
              <w:topLinePunct w:val="0"/>
              <w:autoSpaceDE w:val="0"/>
              <w:autoSpaceDN w:val="0"/>
              <w:bidi w:val="0"/>
              <w:adjustRightInd w:val="0"/>
              <w:snapToGrid w:val="0"/>
              <w:spacing w:before="78" w:line="400" w:lineRule="exact"/>
              <w:ind w:right="145"/>
              <w:jc w:val="center"/>
              <w:textAlignment w:val="baseline"/>
              <w:rPr>
                <w:color w:val="auto"/>
                <w:sz w:val="24"/>
                <w:szCs w:val="24"/>
                <w:highlight w:val="none"/>
              </w:rPr>
            </w:pPr>
            <w:r>
              <w:rPr>
                <w:color w:val="auto"/>
                <w:spacing w:val="-2"/>
                <w:sz w:val="24"/>
                <w:szCs w:val="24"/>
                <w:highlight w:val="none"/>
              </w:rPr>
              <w:t>报价部分</w:t>
            </w:r>
            <w:r>
              <w:rPr>
                <w:color w:val="auto"/>
                <w:spacing w:val="-11"/>
                <w:sz w:val="24"/>
                <w:szCs w:val="24"/>
                <w:highlight w:val="none"/>
              </w:rPr>
              <w:t>（</w:t>
            </w:r>
            <w:r>
              <w:rPr>
                <w:rFonts w:hint="eastAsia"/>
                <w:color w:val="auto"/>
                <w:spacing w:val="-11"/>
                <w:sz w:val="24"/>
                <w:szCs w:val="24"/>
                <w:highlight w:val="none"/>
                <w:lang w:val="en-US" w:eastAsia="zh-CN"/>
              </w:rPr>
              <w:t>20</w:t>
            </w:r>
            <w:r>
              <w:rPr>
                <w:color w:val="auto"/>
                <w:spacing w:val="-48"/>
                <w:sz w:val="24"/>
                <w:szCs w:val="24"/>
                <w:highlight w:val="none"/>
              </w:rPr>
              <w:t xml:space="preserve"> </w:t>
            </w:r>
            <w:r>
              <w:rPr>
                <w:color w:val="auto"/>
                <w:spacing w:val="-11"/>
                <w:sz w:val="24"/>
                <w:szCs w:val="24"/>
                <w:highlight w:val="none"/>
              </w:rPr>
              <w:t>分）</w:t>
            </w:r>
          </w:p>
        </w:tc>
        <w:tc>
          <w:tcPr>
            <w:tcW w:w="1375" w:type="dxa"/>
            <w:gridSpan w:val="2"/>
            <w:vAlign w:val="center"/>
          </w:tcPr>
          <w:p w14:paraId="315D44C5">
            <w:pPr>
              <w:pStyle w:val="12"/>
              <w:keepNext w:val="0"/>
              <w:keepLines w:val="0"/>
              <w:pageBreakBefore w:val="0"/>
              <w:widowControl/>
              <w:kinsoku w:val="0"/>
              <w:wordWrap/>
              <w:overflowPunct/>
              <w:topLinePunct w:val="0"/>
              <w:autoSpaceDE w:val="0"/>
              <w:autoSpaceDN w:val="0"/>
              <w:bidi w:val="0"/>
              <w:adjustRightInd w:val="0"/>
              <w:snapToGrid w:val="0"/>
              <w:spacing w:before="78" w:line="400" w:lineRule="exact"/>
              <w:ind w:right="198"/>
              <w:jc w:val="center"/>
              <w:textAlignment w:val="baseline"/>
              <w:rPr>
                <w:color w:val="auto"/>
                <w:spacing w:val="-4"/>
                <w:sz w:val="24"/>
                <w:szCs w:val="24"/>
                <w:highlight w:val="none"/>
              </w:rPr>
            </w:pPr>
            <w:r>
              <w:rPr>
                <w:color w:val="auto"/>
                <w:spacing w:val="-4"/>
                <w:sz w:val="24"/>
                <w:szCs w:val="24"/>
                <w:highlight w:val="none"/>
              </w:rPr>
              <w:t>报价</w:t>
            </w:r>
          </w:p>
          <w:p w14:paraId="3287ED77">
            <w:pPr>
              <w:pStyle w:val="12"/>
              <w:keepNext w:val="0"/>
              <w:keepLines w:val="0"/>
              <w:pageBreakBefore w:val="0"/>
              <w:widowControl/>
              <w:kinsoku w:val="0"/>
              <w:wordWrap/>
              <w:overflowPunct/>
              <w:topLinePunct w:val="0"/>
              <w:autoSpaceDE w:val="0"/>
              <w:autoSpaceDN w:val="0"/>
              <w:bidi w:val="0"/>
              <w:adjustRightInd w:val="0"/>
              <w:snapToGrid w:val="0"/>
              <w:spacing w:before="78" w:line="400" w:lineRule="exact"/>
              <w:ind w:right="198"/>
              <w:jc w:val="center"/>
              <w:textAlignment w:val="baseline"/>
              <w:rPr>
                <w:color w:val="auto"/>
                <w:sz w:val="24"/>
                <w:szCs w:val="24"/>
                <w:highlight w:val="none"/>
              </w:rPr>
            </w:pPr>
            <w:r>
              <w:rPr>
                <w:color w:val="auto"/>
                <w:spacing w:val="-11"/>
                <w:sz w:val="24"/>
                <w:szCs w:val="24"/>
                <w:highlight w:val="none"/>
              </w:rPr>
              <w:t>（</w:t>
            </w:r>
            <w:r>
              <w:rPr>
                <w:rFonts w:hint="eastAsia"/>
                <w:color w:val="auto"/>
                <w:spacing w:val="-11"/>
                <w:sz w:val="24"/>
                <w:szCs w:val="24"/>
                <w:highlight w:val="none"/>
                <w:lang w:val="en-US" w:eastAsia="zh-CN"/>
              </w:rPr>
              <w:t>20分</w:t>
            </w:r>
            <w:r>
              <w:rPr>
                <w:color w:val="auto"/>
                <w:spacing w:val="-11"/>
                <w:sz w:val="24"/>
                <w:szCs w:val="24"/>
                <w:highlight w:val="none"/>
              </w:rPr>
              <w:t>）</w:t>
            </w:r>
          </w:p>
        </w:tc>
        <w:tc>
          <w:tcPr>
            <w:tcW w:w="6652" w:type="dxa"/>
            <w:gridSpan w:val="2"/>
            <w:vAlign w:val="top"/>
          </w:tcPr>
          <w:p w14:paraId="086F6BC0">
            <w:pPr>
              <w:pStyle w:val="12"/>
              <w:keepNext w:val="0"/>
              <w:keepLines w:val="0"/>
              <w:pageBreakBefore w:val="0"/>
              <w:widowControl/>
              <w:kinsoku w:val="0"/>
              <w:wordWrap/>
              <w:overflowPunct/>
              <w:topLinePunct w:val="0"/>
              <w:autoSpaceDE w:val="0"/>
              <w:autoSpaceDN w:val="0"/>
              <w:bidi w:val="0"/>
              <w:adjustRightInd w:val="0"/>
              <w:snapToGrid w:val="0"/>
              <w:spacing w:before="165" w:line="400" w:lineRule="exact"/>
              <w:ind w:left="114" w:right="108"/>
              <w:textAlignment w:val="baseline"/>
              <w:rPr>
                <w:color w:val="auto"/>
                <w:sz w:val="24"/>
                <w:szCs w:val="24"/>
                <w:highlight w:val="none"/>
              </w:rPr>
            </w:pPr>
            <w:r>
              <w:rPr>
                <w:color w:val="auto"/>
                <w:spacing w:val="1"/>
                <w:sz w:val="24"/>
                <w:szCs w:val="24"/>
                <w:highlight w:val="none"/>
              </w:rPr>
              <w:t>满足招标文件要求且投标价格最低的投标报价为评标基准价，其价</w:t>
            </w:r>
            <w:r>
              <w:rPr>
                <w:color w:val="auto"/>
                <w:spacing w:val="-1"/>
                <w:sz w:val="24"/>
                <w:szCs w:val="24"/>
                <w:highlight w:val="none"/>
              </w:rPr>
              <w:t>格分为满分。其他合格投标人的价格分统一按照下列公式计算：</w:t>
            </w:r>
          </w:p>
          <w:p w14:paraId="0B5119FC">
            <w:pPr>
              <w:pStyle w:val="12"/>
              <w:keepNext w:val="0"/>
              <w:keepLines w:val="0"/>
              <w:pageBreakBefore w:val="0"/>
              <w:widowControl/>
              <w:kinsoku w:val="0"/>
              <w:wordWrap/>
              <w:overflowPunct/>
              <w:topLinePunct w:val="0"/>
              <w:autoSpaceDE w:val="0"/>
              <w:autoSpaceDN w:val="0"/>
              <w:bidi w:val="0"/>
              <w:adjustRightInd w:val="0"/>
              <w:snapToGrid w:val="0"/>
              <w:spacing w:before="1" w:line="400" w:lineRule="exact"/>
              <w:ind w:left="117"/>
              <w:textAlignment w:val="baseline"/>
              <w:rPr>
                <w:color w:val="auto"/>
                <w:sz w:val="24"/>
                <w:szCs w:val="24"/>
                <w:highlight w:val="none"/>
              </w:rPr>
            </w:pPr>
            <w:r>
              <w:rPr>
                <w:color w:val="auto"/>
                <w:spacing w:val="-2"/>
                <w:sz w:val="24"/>
                <w:szCs w:val="24"/>
                <w:highlight w:val="none"/>
              </w:rPr>
              <w:t>投标报价得分=（评标基准价/投标报价）</w:t>
            </w:r>
            <w:r>
              <w:rPr>
                <w:color w:val="auto"/>
                <w:spacing w:val="-77"/>
                <w:sz w:val="24"/>
                <w:szCs w:val="24"/>
                <w:highlight w:val="none"/>
              </w:rPr>
              <w:t xml:space="preserve"> </w:t>
            </w:r>
            <w:r>
              <w:rPr>
                <w:color w:val="auto"/>
                <w:spacing w:val="-2"/>
                <w:sz w:val="24"/>
                <w:szCs w:val="24"/>
                <w:highlight w:val="none"/>
              </w:rPr>
              <w:t>×</w:t>
            </w:r>
            <w:r>
              <w:rPr>
                <w:rFonts w:hint="eastAsia"/>
                <w:color w:val="auto"/>
                <w:spacing w:val="-2"/>
                <w:sz w:val="24"/>
                <w:szCs w:val="24"/>
                <w:highlight w:val="none"/>
                <w:lang w:val="en-US" w:eastAsia="zh-CN"/>
              </w:rPr>
              <w:t>20</w:t>
            </w:r>
            <w:r>
              <w:rPr>
                <w:color w:val="auto"/>
                <w:spacing w:val="-2"/>
                <w:sz w:val="24"/>
                <w:szCs w:val="24"/>
                <w:highlight w:val="none"/>
              </w:rPr>
              <w:t>%×</w:t>
            </w:r>
            <w:r>
              <w:rPr>
                <w:color w:val="auto"/>
                <w:spacing w:val="-3"/>
                <w:sz w:val="24"/>
                <w:szCs w:val="24"/>
                <w:highlight w:val="none"/>
              </w:rPr>
              <w:t>100</w:t>
            </w:r>
          </w:p>
        </w:tc>
      </w:tr>
      <w:tr w14:paraId="153C8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629" w:hRule="atLeast"/>
        </w:trPr>
        <w:tc>
          <w:tcPr>
            <w:tcW w:w="1273" w:type="dxa"/>
            <w:vMerge w:val="restart"/>
            <w:tcBorders>
              <w:top w:val="single" w:color="auto" w:sz="4" w:space="0"/>
            </w:tcBorders>
            <w:vAlign w:val="center"/>
          </w:tcPr>
          <w:p w14:paraId="2BFB78A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napToGrid w:val="0"/>
                <w:color w:val="auto"/>
                <w:spacing w:val="-2"/>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商务部分</w:t>
            </w:r>
          </w:p>
          <w:p w14:paraId="38C3D02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Arial"/>
                <w:color w:val="auto"/>
                <w:sz w:val="21"/>
                <w:highlight w:val="none"/>
              </w:rPr>
            </w:pPr>
            <w:r>
              <w:rPr>
                <w:rFonts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snapToGrid w:val="0"/>
                <w:color w:val="auto"/>
                <w:spacing w:val="-2"/>
                <w:kern w:val="0"/>
                <w:sz w:val="24"/>
                <w:szCs w:val="24"/>
                <w:highlight w:val="none"/>
                <w:lang w:val="en-US" w:eastAsia="zh-CN" w:bidi="ar-SA"/>
              </w:rPr>
              <w:t>23</w:t>
            </w:r>
            <w:r>
              <w:rPr>
                <w:rFonts w:ascii="宋体" w:hAnsi="宋体" w:eastAsia="宋体" w:cs="宋体"/>
                <w:snapToGrid w:val="0"/>
                <w:color w:val="auto"/>
                <w:spacing w:val="-2"/>
                <w:kern w:val="0"/>
                <w:sz w:val="24"/>
                <w:szCs w:val="24"/>
                <w:highlight w:val="none"/>
                <w:lang w:val="en-US" w:eastAsia="en-US" w:bidi="ar-SA"/>
              </w:rPr>
              <w:t>分</w:t>
            </w:r>
            <w:r>
              <w:rPr>
                <w:color w:val="auto"/>
                <w:spacing w:val="-11"/>
                <w:sz w:val="24"/>
                <w:szCs w:val="24"/>
                <w:highlight w:val="none"/>
              </w:rPr>
              <w:t>）</w:t>
            </w:r>
          </w:p>
        </w:tc>
        <w:tc>
          <w:tcPr>
            <w:tcW w:w="1375" w:type="dxa"/>
            <w:gridSpan w:val="2"/>
            <w:vAlign w:val="center"/>
          </w:tcPr>
          <w:p w14:paraId="7F37178F">
            <w:pPr>
              <w:pStyle w:val="12"/>
              <w:keepNext w:val="0"/>
              <w:keepLines w:val="0"/>
              <w:pageBreakBefore w:val="0"/>
              <w:widowControl/>
              <w:kinsoku w:val="0"/>
              <w:wordWrap/>
              <w:overflowPunct/>
              <w:topLinePunct w:val="0"/>
              <w:autoSpaceDE w:val="0"/>
              <w:autoSpaceDN w:val="0"/>
              <w:bidi w:val="0"/>
              <w:adjustRightInd w:val="0"/>
              <w:snapToGrid w:val="0"/>
              <w:spacing w:before="78" w:line="400" w:lineRule="exact"/>
              <w:ind w:right="206" w:rightChars="0"/>
              <w:jc w:val="center"/>
              <w:textAlignment w:val="baseline"/>
              <w:rPr>
                <w:color w:val="auto"/>
                <w:spacing w:val="-3"/>
                <w:sz w:val="24"/>
                <w:szCs w:val="24"/>
                <w:highlight w:val="none"/>
              </w:rPr>
            </w:pPr>
            <w:r>
              <w:rPr>
                <w:spacing w:val="-4"/>
                <w:sz w:val="24"/>
                <w:szCs w:val="24"/>
              </w:rPr>
              <w:t>企业业绩</w:t>
            </w:r>
            <w:r>
              <w:rPr>
                <w:spacing w:val="-9"/>
                <w:sz w:val="24"/>
                <w:szCs w:val="24"/>
              </w:rPr>
              <w:t>（</w:t>
            </w:r>
            <w:r>
              <w:rPr>
                <w:rFonts w:hint="eastAsia"/>
                <w:spacing w:val="-9"/>
                <w:sz w:val="24"/>
                <w:szCs w:val="24"/>
                <w:lang w:val="en-US" w:eastAsia="zh-CN"/>
              </w:rPr>
              <w:t>3</w:t>
            </w:r>
            <w:r>
              <w:rPr>
                <w:spacing w:val="-46"/>
                <w:sz w:val="24"/>
                <w:szCs w:val="24"/>
              </w:rPr>
              <w:t xml:space="preserve"> </w:t>
            </w:r>
            <w:r>
              <w:rPr>
                <w:spacing w:val="-9"/>
                <w:sz w:val="24"/>
                <w:szCs w:val="24"/>
              </w:rPr>
              <w:t>分）</w:t>
            </w:r>
          </w:p>
        </w:tc>
        <w:tc>
          <w:tcPr>
            <w:tcW w:w="6652" w:type="dxa"/>
            <w:gridSpan w:val="2"/>
            <w:vAlign w:val="top"/>
          </w:tcPr>
          <w:p w14:paraId="2D429D72">
            <w:pPr>
              <w:pStyle w:val="12"/>
              <w:keepNext w:val="0"/>
              <w:keepLines w:val="0"/>
              <w:pageBreakBefore w:val="0"/>
              <w:widowControl/>
              <w:kinsoku w:val="0"/>
              <w:wordWrap/>
              <w:overflowPunct/>
              <w:topLinePunct w:val="0"/>
              <w:autoSpaceDE w:val="0"/>
              <w:autoSpaceDN w:val="0"/>
              <w:bidi w:val="0"/>
              <w:adjustRightInd w:val="0"/>
              <w:snapToGrid w:val="0"/>
              <w:spacing w:before="165" w:line="400" w:lineRule="exact"/>
              <w:ind w:left="115" w:right="46" w:firstLine="1"/>
              <w:textAlignment w:val="baseline"/>
              <w:rPr>
                <w:sz w:val="24"/>
                <w:szCs w:val="24"/>
              </w:rPr>
            </w:pPr>
            <w:r>
              <w:rPr>
                <w:spacing w:val="-12"/>
                <w:sz w:val="24"/>
                <w:szCs w:val="24"/>
              </w:rPr>
              <w:t>投标人提供</w:t>
            </w:r>
            <w:r>
              <w:rPr>
                <w:spacing w:val="-42"/>
                <w:sz w:val="24"/>
                <w:szCs w:val="24"/>
              </w:rPr>
              <w:t xml:space="preserve"> </w:t>
            </w:r>
            <w:r>
              <w:rPr>
                <w:spacing w:val="-12"/>
                <w:sz w:val="24"/>
                <w:szCs w:val="24"/>
              </w:rPr>
              <w:t>2023</w:t>
            </w:r>
            <w:r>
              <w:rPr>
                <w:spacing w:val="-59"/>
                <w:sz w:val="24"/>
                <w:szCs w:val="24"/>
              </w:rPr>
              <w:t xml:space="preserve"> </w:t>
            </w:r>
            <w:r>
              <w:rPr>
                <w:spacing w:val="-12"/>
                <w:sz w:val="24"/>
                <w:szCs w:val="24"/>
              </w:rPr>
              <w:t>年</w:t>
            </w:r>
            <w:r>
              <w:rPr>
                <w:spacing w:val="-45"/>
                <w:sz w:val="24"/>
                <w:szCs w:val="24"/>
              </w:rPr>
              <w:t xml:space="preserve"> </w:t>
            </w:r>
            <w:r>
              <w:rPr>
                <w:spacing w:val="-12"/>
                <w:sz w:val="24"/>
                <w:szCs w:val="24"/>
              </w:rPr>
              <w:t>1</w:t>
            </w:r>
            <w:r>
              <w:rPr>
                <w:spacing w:val="-52"/>
                <w:sz w:val="24"/>
                <w:szCs w:val="24"/>
              </w:rPr>
              <w:t xml:space="preserve"> </w:t>
            </w:r>
            <w:r>
              <w:rPr>
                <w:spacing w:val="-12"/>
                <w:sz w:val="24"/>
                <w:szCs w:val="24"/>
              </w:rPr>
              <w:t>月</w:t>
            </w:r>
            <w:r>
              <w:rPr>
                <w:spacing w:val="-45"/>
                <w:sz w:val="24"/>
                <w:szCs w:val="24"/>
              </w:rPr>
              <w:t xml:space="preserve"> </w:t>
            </w:r>
            <w:r>
              <w:rPr>
                <w:spacing w:val="-12"/>
                <w:sz w:val="24"/>
                <w:szCs w:val="24"/>
              </w:rPr>
              <w:t>1 日以来同类项目业绩的，每份业绩得</w:t>
            </w:r>
            <w:r>
              <w:rPr>
                <w:spacing w:val="-55"/>
                <w:sz w:val="24"/>
                <w:szCs w:val="24"/>
              </w:rPr>
              <w:t xml:space="preserve"> </w:t>
            </w:r>
            <w:r>
              <w:rPr>
                <w:rFonts w:hint="eastAsia"/>
                <w:spacing w:val="-12"/>
                <w:sz w:val="24"/>
                <w:szCs w:val="24"/>
                <w:lang w:val="en-US" w:eastAsia="zh-CN"/>
              </w:rPr>
              <w:t>3</w:t>
            </w:r>
            <w:r>
              <w:rPr>
                <w:spacing w:val="-57"/>
                <w:sz w:val="24"/>
                <w:szCs w:val="24"/>
              </w:rPr>
              <w:t xml:space="preserve"> </w:t>
            </w:r>
            <w:r>
              <w:rPr>
                <w:spacing w:val="-12"/>
                <w:sz w:val="24"/>
                <w:szCs w:val="24"/>
              </w:rPr>
              <w:t>分，</w:t>
            </w:r>
            <w:r>
              <w:rPr>
                <w:spacing w:val="-5"/>
                <w:sz w:val="24"/>
                <w:szCs w:val="24"/>
              </w:rPr>
              <w:t>本项最高得</w:t>
            </w:r>
            <w:r>
              <w:rPr>
                <w:spacing w:val="-44"/>
                <w:sz w:val="24"/>
                <w:szCs w:val="24"/>
              </w:rPr>
              <w:t xml:space="preserve"> </w:t>
            </w:r>
            <w:r>
              <w:rPr>
                <w:rFonts w:hint="eastAsia"/>
                <w:spacing w:val="-5"/>
                <w:sz w:val="24"/>
                <w:szCs w:val="24"/>
                <w:lang w:val="en-US" w:eastAsia="zh-CN"/>
              </w:rPr>
              <w:t>3</w:t>
            </w:r>
            <w:r>
              <w:rPr>
                <w:spacing w:val="-48"/>
                <w:sz w:val="24"/>
                <w:szCs w:val="24"/>
              </w:rPr>
              <w:t xml:space="preserve"> </w:t>
            </w:r>
            <w:r>
              <w:rPr>
                <w:spacing w:val="-5"/>
                <w:sz w:val="24"/>
                <w:szCs w:val="24"/>
              </w:rPr>
              <w:t>分。</w:t>
            </w:r>
          </w:p>
          <w:p w14:paraId="2237294F">
            <w:pPr>
              <w:pStyle w:val="12"/>
              <w:keepNext w:val="0"/>
              <w:keepLines w:val="0"/>
              <w:pageBreakBefore w:val="0"/>
              <w:widowControl/>
              <w:kinsoku w:val="0"/>
              <w:wordWrap/>
              <w:overflowPunct/>
              <w:topLinePunct w:val="0"/>
              <w:autoSpaceDE w:val="0"/>
              <w:autoSpaceDN w:val="0"/>
              <w:bidi w:val="0"/>
              <w:adjustRightInd w:val="0"/>
              <w:snapToGrid w:val="0"/>
              <w:spacing w:before="1" w:line="400" w:lineRule="exact"/>
              <w:ind w:left="114" w:leftChars="0" w:right="101" w:rightChars="0" w:firstLine="11" w:firstLineChars="0"/>
              <w:textAlignment w:val="baseline"/>
              <w:rPr>
                <w:color w:val="auto"/>
                <w:spacing w:val="-1"/>
                <w:sz w:val="24"/>
                <w:szCs w:val="24"/>
                <w:highlight w:val="none"/>
              </w:rPr>
            </w:pPr>
            <w:r>
              <w:rPr>
                <w:spacing w:val="-7"/>
                <w:sz w:val="24"/>
                <w:szCs w:val="24"/>
              </w:rPr>
              <w:t>（政府采购项目需提供中标通知书、完整合同；非政府采购</w:t>
            </w:r>
            <w:r>
              <w:rPr>
                <w:spacing w:val="-8"/>
                <w:sz w:val="24"/>
                <w:szCs w:val="24"/>
              </w:rPr>
              <w:t>项目需提供完整合同。）</w:t>
            </w:r>
          </w:p>
        </w:tc>
      </w:tr>
      <w:tr w14:paraId="18C05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629" w:hRule="atLeast"/>
        </w:trPr>
        <w:tc>
          <w:tcPr>
            <w:tcW w:w="1273" w:type="dxa"/>
            <w:vMerge w:val="continue"/>
            <w:vAlign w:val="center"/>
          </w:tcPr>
          <w:p w14:paraId="55F908A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Arial"/>
                <w:color w:val="auto"/>
                <w:sz w:val="21"/>
                <w:highlight w:val="none"/>
              </w:rPr>
            </w:pPr>
          </w:p>
        </w:tc>
        <w:tc>
          <w:tcPr>
            <w:tcW w:w="1375" w:type="dxa"/>
            <w:gridSpan w:val="2"/>
            <w:vAlign w:val="center"/>
          </w:tcPr>
          <w:p w14:paraId="4CCD687F">
            <w:pPr>
              <w:pStyle w:val="12"/>
              <w:keepNext w:val="0"/>
              <w:keepLines w:val="0"/>
              <w:pageBreakBefore w:val="0"/>
              <w:widowControl/>
              <w:kinsoku w:val="0"/>
              <w:wordWrap/>
              <w:overflowPunct/>
              <w:topLinePunct w:val="0"/>
              <w:autoSpaceDE w:val="0"/>
              <w:autoSpaceDN w:val="0"/>
              <w:bidi w:val="0"/>
              <w:adjustRightInd w:val="0"/>
              <w:snapToGrid w:val="0"/>
              <w:spacing w:before="78" w:line="400" w:lineRule="exact"/>
              <w:ind w:right="198"/>
              <w:jc w:val="center"/>
              <w:textAlignment w:val="baseline"/>
              <w:rPr>
                <w:color w:val="auto"/>
                <w:sz w:val="24"/>
                <w:szCs w:val="24"/>
                <w:highlight w:val="none"/>
              </w:rPr>
            </w:pPr>
            <w:r>
              <w:rPr>
                <w:color w:val="auto"/>
                <w:spacing w:val="-3"/>
                <w:sz w:val="24"/>
                <w:szCs w:val="24"/>
                <w:highlight w:val="none"/>
              </w:rPr>
              <w:t>服务承诺</w:t>
            </w:r>
            <w:r>
              <w:rPr>
                <w:color w:val="auto"/>
                <w:spacing w:val="-11"/>
                <w:sz w:val="24"/>
                <w:szCs w:val="24"/>
                <w:highlight w:val="none"/>
              </w:rPr>
              <w:t>（</w:t>
            </w:r>
            <w:r>
              <w:rPr>
                <w:rFonts w:hint="eastAsia"/>
                <w:color w:val="auto"/>
                <w:spacing w:val="-11"/>
                <w:sz w:val="24"/>
                <w:szCs w:val="24"/>
                <w:highlight w:val="none"/>
                <w:lang w:val="en-US" w:eastAsia="zh-CN"/>
              </w:rPr>
              <w:t>20</w:t>
            </w:r>
            <w:r>
              <w:rPr>
                <w:color w:val="auto"/>
                <w:spacing w:val="-11"/>
                <w:sz w:val="24"/>
                <w:szCs w:val="24"/>
                <w:highlight w:val="none"/>
              </w:rPr>
              <w:t>分）</w:t>
            </w:r>
          </w:p>
        </w:tc>
        <w:tc>
          <w:tcPr>
            <w:tcW w:w="6652" w:type="dxa"/>
            <w:gridSpan w:val="2"/>
            <w:vAlign w:val="top"/>
          </w:tcPr>
          <w:p w14:paraId="54981F65">
            <w:pPr>
              <w:pStyle w:val="12"/>
              <w:keepNext w:val="0"/>
              <w:keepLines w:val="0"/>
              <w:pageBreakBefore w:val="0"/>
              <w:widowControl/>
              <w:kinsoku w:val="0"/>
              <w:wordWrap/>
              <w:overflowPunct/>
              <w:topLinePunct w:val="0"/>
              <w:autoSpaceDE w:val="0"/>
              <w:autoSpaceDN w:val="0"/>
              <w:bidi w:val="0"/>
              <w:adjustRightInd w:val="0"/>
              <w:snapToGrid w:val="0"/>
              <w:spacing w:before="166" w:line="400" w:lineRule="exact"/>
              <w:ind w:left="112" w:right="105" w:firstLine="1"/>
              <w:textAlignment w:val="baseline"/>
              <w:rPr>
                <w:color w:val="auto"/>
                <w:sz w:val="24"/>
                <w:szCs w:val="24"/>
                <w:highlight w:val="none"/>
              </w:rPr>
            </w:pPr>
            <w:r>
              <w:rPr>
                <w:color w:val="auto"/>
                <w:spacing w:val="1"/>
                <w:sz w:val="24"/>
                <w:szCs w:val="24"/>
                <w:highlight w:val="none"/>
              </w:rPr>
              <w:t>包括：①保证工作连续性的承诺；②与其他单位配合的服务承诺；③独立解决道路伤亡事故和用工等纠纷的承诺；④按时足额发放工资，维护工人权益的承诺；⑤有其他实质性的服务承诺及合理化建</w:t>
            </w:r>
            <w:r>
              <w:rPr>
                <w:color w:val="auto"/>
                <w:spacing w:val="-4"/>
                <w:sz w:val="24"/>
                <w:szCs w:val="24"/>
                <w:highlight w:val="none"/>
              </w:rPr>
              <w:t>议。</w:t>
            </w:r>
          </w:p>
          <w:p w14:paraId="2932F86C">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43" w:right="46" w:hanging="26"/>
              <w:textAlignment w:val="baseline"/>
              <w:rPr>
                <w:color w:val="auto"/>
                <w:sz w:val="24"/>
                <w:szCs w:val="24"/>
                <w:highlight w:val="none"/>
              </w:rPr>
            </w:pPr>
            <w:r>
              <w:rPr>
                <w:color w:val="auto"/>
                <w:spacing w:val="-1"/>
                <w:sz w:val="24"/>
                <w:szCs w:val="24"/>
                <w:highlight w:val="none"/>
              </w:rPr>
              <w:t>投标人每提供上述 1 项内容，内容完整、详细、有针对性的得</w:t>
            </w:r>
            <w:r>
              <w:rPr>
                <w:rFonts w:hint="eastAsia"/>
                <w:color w:val="auto"/>
                <w:spacing w:val="-1"/>
                <w:sz w:val="24"/>
                <w:szCs w:val="24"/>
                <w:highlight w:val="none"/>
                <w:lang w:val="en-US" w:eastAsia="zh-CN"/>
              </w:rPr>
              <w:t>4</w:t>
            </w:r>
            <w:r>
              <w:rPr>
                <w:color w:val="auto"/>
                <w:spacing w:val="-1"/>
                <w:sz w:val="24"/>
                <w:szCs w:val="24"/>
                <w:highlight w:val="none"/>
              </w:rPr>
              <w:t>分，内容仅有简单描述且不缺项的得</w:t>
            </w:r>
            <w:r>
              <w:rPr>
                <w:rFonts w:hint="eastAsia"/>
                <w:color w:val="auto"/>
                <w:spacing w:val="-1"/>
                <w:sz w:val="24"/>
                <w:szCs w:val="24"/>
                <w:highlight w:val="none"/>
                <w:lang w:val="en-US" w:eastAsia="zh-CN"/>
              </w:rPr>
              <w:t>2.8</w:t>
            </w:r>
            <w:r>
              <w:rPr>
                <w:color w:val="auto"/>
                <w:spacing w:val="-1"/>
                <w:sz w:val="24"/>
                <w:szCs w:val="24"/>
                <w:highlight w:val="none"/>
              </w:rPr>
              <w:t>分；未提供对应项</w:t>
            </w:r>
            <w:r>
              <w:rPr>
                <w:color w:val="auto"/>
                <w:spacing w:val="-2"/>
                <w:sz w:val="24"/>
                <w:szCs w:val="24"/>
                <w:highlight w:val="none"/>
              </w:rPr>
              <w:t>内容或内容</w:t>
            </w:r>
            <w:r>
              <w:rPr>
                <w:color w:val="auto"/>
                <w:spacing w:val="-3"/>
                <w:sz w:val="24"/>
                <w:szCs w:val="24"/>
                <w:highlight w:val="none"/>
              </w:rPr>
              <w:t>不符合该项要求的不得分。本项满分</w:t>
            </w:r>
            <w:r>
              <w:rPr>
                <w:rFonts w:hint="eastAsia"/>
                <w:color w:val="auto"/>
                <w:spacing w:val="-3"/>
                <w:sz w:val="24"/>
                <w:szCs w:val="24"/>
                <w:highlight w:val="none"/>
                <w:lang w:val="en-US" w:eastAsia="zh-CN"/>
              </w:rPr>
              <w:t>20</w:t>
            </w:r>
            <w:r>
              <w:rPr>
                <w:color w:val="auto"/>
                <w:spacing w:val="-3"/>
                <w:sz w:val="24"/>
                <w:szCs w:val="24"/>
                <w:highlight w:val="none"/>
              </w:rPr>
              <w:t>分。</w:t>
            </w:r>
          </w:p>
        </w:tc>
      </w:tr>
      <w:tr w14:paraId="67896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4" w:hRule="atLeast"/>
        </w:trPr>
        <w:tc>
          <w:tcPr>
            <w:tcW w:w="1275" w:type="dxa"/>
            <w:gridSpan w:val="2"/>
            <w:vMerge w:val="restart"/>
            <w:tcBorders>
              <w:bottom w:val="nil"/>
            </w:tcBorders>
            <w:vAlign w:val="center"/>
          </w:tcPr>
          <w:p w14:paraId="297A3CEA">
            <w:pPr>
              <w:pStyle w:val="12"/>
              <w:keepNext w:val="0"/>
              <w:keepLines w:val="0"/>
              <w:pageBreakBefore w:val="0"/>
              <w:widowControl/>
              <w:kinsoku w:val="0"/>
              <w:wordWrap/>
              <w:overflowPunct/>
              <w:topLinePunct w:val="0"/>
              <w:autoSpaceDE w:val="0"/>
              <w:autoSpaceDN w:val="0"/>
              <w:bidi w:val="0"/>
              <w:adjustRightInd w:val="0"/>
              <w:snapToGrid w:val="0"/>
              <w:spacing w:before="78" w:line="400" w:lineRule="exact"/>
              <w:ind w:right="145"/>
              <w:jc w:val="center"/>
              <w:textAlignment w:val="baseline"/>
              <w:rPr>
                <w:color w:val="auto"/>
                <w:sz w:val="24"/>
                <w:szCs w:val="24"/>
                <w:highlight w:val="none"/>
              </w:rPr>
            </w:pPr>
            <w:r>
              <w:rPr>
                <w:color w:val="auto"/>
                <w:spacing w:val="-3"/>
                <w:sz w:val="24"/>
                <w:szCs w:val="24"/>
                <w:highlight w:val="none"/>
              </w:rPr>
              <w:t>技术部分</w:t>
            </w:r>
            <w:r>
              <w:rPr>
                <w:color w:val="auto"/>
                <w:spacing w:val="-11"/>
                <w:sz w:val="24"/>
                <w:szCs w:val="24"/>
                <w:highlight w:val="none"/>
              </w:rPr>
              <w:t>（5</w:t>
            </w:r>
            <w:r>
              <w:rPr>
                <w:rFonts w:hint="eastAsia"/>
                <w:color w:val="auto"/>
                <w:spacing w:val="-11"/>
                <w:sz w:val="24"/>
                <w:szCs w:val="24"/>
                <w:highlight w:val="none"/>
                <w:lang w:val="en-US" w:eastAsia="zh-CN"/>
              </w:rPr>
              <w:t>7</w:t>
            </w:r>
            <w:r>
              <w:rPr>
                <w:color w:val="auto"/>
                <w:spacing w:val="-48"/>
                <w:sz w:val="24"/>
                <w:szCs w:val="24"/>
                <w:highlight w:val="none"/>
              </w:rPr>
              <w:t xml:space="preserve"> </w:t>
            </w:r>
            <w:r>
              <w:rPr>
                <w:color w:val="auto"/>
                <w:spacing w:val="-11"/>
                <w:sz w:val="24"/>
                <w:szCs w:val="24"/>
                <w:highlight w:val="none"/>
              </w:rPr>
              <w:t>分）</w:t>
            </w:r>
          </w:p>
        </w:tc>
        <w:tc>
          <w:tcPr>
            <w:tcW w:w="1376" w:type="dxa"/>
            <w:gridSpan w:val="2"/>
            <w:vAlign w:val="center"/>
          </w:tcPr>
          <w:p w14:paraId="1D2F6CD0">
            <w:pPr>
              <w:pStyle w:val="12"/>
              <w:keepNext w:val="0"/>
              <w:keepLines w:val="0"/>
              <w:pageBreakBefore w:val="0"/>
              <w:widowControl/>
              <w:kinsoku w:val="0"/>
              <w:wordWrap/>
              <w:overflowPunct/>
              <w:topLinePunct w:val="0"/>
              <w:autoSpaceDE w:val="0"/>
              <w:autoSpaceDN w:val="0"/>
              <w:bidi w:val="0"/>
              <w:adjustRightInd w:val="0"/>
              <w:snapToGrid w:val="0"/>
              <w:spacing w:before="78" w:line="400" w:lineRule="exact"/>
              <w:ind w:right="206"/>
              <w:jc w:val="center"/>
              <w:textAlignment w:val="baseline"/>
              <w:rPr>
                <w:color w:val="auto"/>
                <w:sz w:val="24"/>
                <w:szCs w:val="24"/>
                <w:highlight w:val="none"/>
              </w:rPr>
            </w:pPr>
            <w:r>
              <w:rPr>
                <w:color w:val="auto"/>
                <w:spacing w:val="-3"/>
                <w:sz w:val="24"/>
                <w:szCs w:val="24"/>
                <w:highlight w:val="none"/>
              </w:rPr>
              <w:t>服务管理</w:t>
            </w:r>
            <w:r>
              <w:rPr>
                <w:color w:val="auto"/>
                <w:spacing w:val="-5"/>
                <w:sz w:val="24"/>
                <w:szCs w:val="24"/>
                <w:highlight w:val="none"/>
              </w:rPr>
              <w:t>体系</w:t>
            </w:r>
          </w:p>
          <w:p w14:paraId="06382840">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253"/>
              <w:jc w:val="both"/>
              <w:textAlignment w:val="baseline"/>
              <w:rPr>
                <w:color w:val="auto"/>
                <w:sz w:val="24"/>
                <w:szCs w:val="24"/>
                <w:highlight w:val="none"/>
              </w:rPr>
            </w:pPr>
            <w:r>
              <w:rPr>
                <w:color w:val="auto"/>
                <w:spacing w:val="-9"/>
                <w:sz w:val="24"/>
                <w:szCs w:val="24"/>
                <w:highlight w:val="none"/>
              </w:rPr>
              <w:t>（8</w:t>
            </w:r>
            <w:r>
              <w:rPr>
                <w:color w:val="auto"/>
                <w:spacing w:val="-46"/>
                <w:sz w:val="24"/>
                <w:szCs w:val="24"/>
                <w:highlight w:val="none"/>
              </w:rPr>
              <w:t xml:space="preserve"> </w:t>
            </w:r>
            <w:r>
              <w:rPr>
                <w:color w:val="auto"/>
                <w:spacing w:val="-9"/>
                <w:sz w:val="24"/>
                <w:szCs w:val="24"/>
                <w:highlight w:val="none"/>
              </w:rPr>
              <w:t>分）</w:t>
            </w:r>
          </w:p>
        </w:tc>
        <w:tc>
          <w:tcPr>
            <w:tcW w:w="6666" w:type="dxa"/>
            <w:gridSpan w:val="2"/>
            <w:vAlign w:val="top"/>
          </w:tcPr>
          <w:p w14:paraId="0921077E">
            <w:pPr>
              <w:pStyle w:val="12"/>
              <w:keepNext w:val="0"/>
              <w:keepLines w:val="0"/>
              <w:pageBreakBefore w:val="0"/>
              <w:widowControl/>
              <w:kinsoku w:val="0"/>
              <w:wordWrap/>
              <w:overflowPunct/>
              <w:topLinePunct w:val="0"/>
              <w:autoSpaceDE w:val="0"/>
              <w:autoSpaceDN w:val="0"/>
              <w:bidi w:val="0"/>
              <w:adjustRightInd w:val="0"/>
              <w:snapToGrid w:val="0"/>
              <w:spacing w:before="163" w:line="400" w:lineRule="exact"/>
              <w:ind w:left="112" w:right="108" w:firstLine="4"/>
              <w:textAlignment w:val="baseline"/>
              <w:rPr>
                <w:color w:val="auto"/>
                <w:sz w:val="24"/>
                <w:szCs w:val="24"/>
                <w:highlight w:val="none"/>
              </w:rPr>
            </w:pPr>
            <w:r>
              <w:rPr>
                <w:color w:val="auto"/>
                <w:spacing w:val="1"/>
                <w:sz w:val="24"/>
                <w:szCs w:val="24"/>
                <w:highlight w:val="none"/>
              </w:rPr>
              <w:t>投标人根据企业自身实力及采购需求，针对本项目组建服务管</w:t>
            </w:r>
            <w:r>
              <w:rPr>
                <w:color w:val="auto"/>
                <w:sz w:val="24"/>
                <w:szCs w:val="24"/>
                <w:highlight w:val="none"/>
              </w:rPr>
              <w:t>理架</w:t>
            </w:r>
            <w:r>
              <w:rPr>
                <w:color w:val="auto"/>
                <w:spacing w:val="1"/>
                <w:sz w:val="24"/>
                <w:szCs w:val="24"/>
                <w:highlight w:val="none"/>
              </w:rPr>
              <w:t>构体系，包括：①管理组织架构；②服务工作流程；③职责分工；</w:t>
            </w:r>
            <w:r>
              <w:rPr>
                <w:color w:val="auto"/>
                <w:spacing w:val="3"/>
                <w:sz w:val="24"/>
                <w:szCs w:val="24"/>
                <w:highlight w:val="none"/>
              </w:rPr>
              <w:t xml:space="preserve"> </w:t>
            </w:r>
            <w:r>
              <w:rPr>
                <w:color w:val="auto"/>
                <w:spacing w:val="-1"/>
                <w:sz w:val="24"/>
                <w:szCs w:val="24"/>
                <w:highlight w:val="none"/>
              </w:rPr>
              <w:t>④人员安排计划及设备配备。</w:t>
            </w:r>
          </w:p>
          <w:p w14:paraId="3F707FC3">
            <w:pPr>
              <w:pStyle w:val="12"/>
              <w:keepNext w:val="0"/>
              <w:keepLines w:val="0"/>
              <w:pageBreakBefore w:val="0"/>
              <w:widowControl/>
              <w:kinsoku w:val="0"/>
              <w:wordWrap/>
              <w:overflowPunct/>
              <w:topLinePunct w:val="0"/>
              <w:autoSpaceDE w:val="0"/>
              <w:autoSpaceDN w:val="0"/>
              <w:bidi w:val="0"/>
              <w:adjustRightInd w:val="0"/>
              <w:snapToGrid w:val="0"/>
              <w:spacing w:before="1" w:line="400" w:lineRule="exact"/>
              <w:ind w:left="117" w:right="46"/>
              <w:textAlignment w:val="baseline"/>
              <w:rPr>
                <w:color w:val="auto"/>
                <w:sz w:val="24"/>
                <w:szCs w:val="24"/>
                <w:highlight w:val="none"/>
              </w:rPr>
            </w:pPr>
            <w:r>
              <w:rPr>
                <w:color w:val="auto"/>
                <w:spacing w:val="-7"/>
                <w:sz w:val="24"/>
                <w:szCs w:val="24"/>
                <w:highlight w:val="none"/>
              </w:rPr>
              <w:t>投标人每提供上述</w:t>
            </w:r>
            <w:r>
              <w:rPr>
                <w:color w:val="auto"/>
                <w:spacing w:val="-33"/>
                <w:sz w:val="24"/>
                <w:szCs w:val="24"/>
                <w:highlight w:val="none"/>
              </w:rPr>
              <w:t xml:space="preserve"> </w:t>
            </w:r>
            <w:r>
              <w:rPr>
                <w:color w:val="auto"/>
                <w:spacing w:val="-7"/>
                <w:sz w:val="24"/>
                <w:szCs w:val="24"/>
                <w:highlight w:val="none"/>
              </w:rPr>
              <w:t>1</w:t>
            </w:r>
            <w:r>
              <w:rPr>
                <w:color w:val="auto"/>
                <w:spacing w:val="-47"/>
                <w:sz w:val="24"/>
                <w:szCs w:val="24"/>
                <w:highlight w:val="none"/>
              </w:rPr>
              <w:t xml:space="preserve"> </w:t>
            </w:r>
            <w:r>
              <w:rPr>
                <w:color w:val="auto"/>
                <w:spacing w:val="-7"/>
                <w:sz w:val="24"/>
                <w:szCs w:val="24"/>
                <w:highlight w:val="none"/>
              </w:rPr>
              <w:t>项内容，内容完整、详细、有针对</w:t>
            </w:r>
            <w:r>
              <w:rPr>
                <w:color w:val="auto"/>
                <w:spacing w:val="-8"/>
                <w:sz w:val="24"/>
                <w:szCs w:val="24"/>
                <w:highlight w:val="none"/>
              </w:rPr>
              <w:t>性的得</w:t>
            </w:r>
            <w:r>
              <w:rPr>
                <w:color w:val="auto"/>
                <w:spacing w:val="-48"/>
                <w:sz w:val="24"/>
                <w:szCs w:val="24"/>
                <w:highlight w:val="none"/>
              </w:rPr>
              <w:t xml:space="preserve"> </w:t>
            </w:r>
            <w:r>
              <w:rPr>
                <w:color w:val="auto"/>
                <w:spacing w:val="-8"/>
                <w:sz w:val="24"/>
                <w:szCs w:val="24"/>
                <w:highlight w:val="none"/>
              </w:rPr>
              <w:t>2</w:t>
            </w:r>
            <w:r>
              <w:rPr>
                <w:color w:val="auto"/>
                <w:spacing w:val="-47"/>
                <w:sz w:val="24"/>
                <w:szCs w:val="24"/>
                <w:highlight w:val="none"/>
              </w:rPr>
              <w:t xml:space="preserve"> </w:t>
            </w:r>
            <w:r>
              <w:rPr>
                <w:color w:val="auto"/>
                <w:spacing w:val="-8"/>
                <w:sz w:val="24"/>
                <w:szCs w:val="24"/>
                <w:highlight w:val="none"/>
              </w:rPr>
              <w:t>分，</w:t>
            </w:r>
            <w:r>
              <w:rPr>
                <w:color w:val="auto"/>
                <w:spacing w:val="-1"/>
                <w:sz w:val="24"/>
                <w:szCs w:val="24"/>
                <w:highlight w:val="none"/>
              </w:rPr>
              <w:t>内容仅有简单描述且不缺项的得1.4</w:t>
            </w:r>
            <w:r>
              <w:rPr>
                <w:color w:val="auto"/>
                <w:spacing w:val="-48"/>
                <w:sz w:val="24"/>
                <w:szCs w:val="24"/>
                <w:highlight w:val="none"/>
              </w:rPr>
              <w:t xml:space="preserve"> </w:t>
            </w:r>
            <w:r>
              <w:rPr>
                <w:color w:val="auto"/>
                <w:spacing w:val="-1"/>
                <w:sz w:val="24"/>
                <w:szCs w:val="24"/>
                <w:highlight w:val="none"/>
              </w:rPr>
              <w:t>分；未提供对应项内容或内容</w:t>
            </w:r>
            <w:r>
              <w:rPr>
                <w:color w:val="auto"/>
                <w:spacing w:val="1"/>
                <w:sz w:val="24"/>
                <w:szCs w:val="24"/>
                <w:highlight w:val="none"/>
              </w:rPr>
              <w:t>不符合该项要求的不得分。本项满分8</w:t>
            </w:r>
            <w:r>
              <w:rPr>
                <w:color w:val="auto"/>
                <w:spacing w:val="-34"/>
                <w:sz w:val="24"/>
                <w:szCs w:val="24"/>
                <w:highlight w:val="none"/>
              </w:rPr>
              <w:t xml:space="preserve"> </w:t>
            </w:r>
            <w:r>
              <w:rPr>
                <w:color w:val="auto"/>
                <w:spacing w:val="1"/>
                <w:sz w:val="24"/>
                <w:szCs w:val="24"/>
                <w:highlight w:val="none"/>
              </w:rPr>
              <w:t>分。</w:t>
            </w:r>
          </w:p>
        </w:tc>
      </w:tr>
      <w:tr w14:paraId="17746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4" w:hRule="atLeast"/>
        </w:trPr>
        <w:tc>
          <w:tcPr>
            <w:tcW w:w="1275" w:type="dxa"/>
            <w:gridSpan w:val="2"/>
            <w:vMerge w:val="continue"/>
            <w:tcBorders>
              <w:top w:val="nil"/>
              <w:bottom w:val="nil"/>
            </w:tcBorders>
            <w:vAlign w:val="center"/>
          </w:tcPr>
          <w:p w14:paraId="388209F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Arial"/>
                <w:color w:val="auto"/>
                <w:sz w:val="21"/>
                <w:highlight w:val="none"/>
              </w:rPr>
            </w:pPr>
          </w:p>
        </w:tc>
        <w:tc>
          <w:tcPr>
            <w:tcW w:w="1376" w:type="dxa"/>
            <w:gridSpan w:val="2"/>
            <w:vAlign w:val="center"/>
          </w:tcPr>
          <w:p w14:paraId="1B2864A0">
            <w:pPr>
              <w:pStyle w:val="12"/>
              <w:keepNext w:val="0"/>
              <w:keepLines w:val="0"/>
              <w:pageBreakBefore w:val="0"/>
              <w:widowControl/>
              <w:kinsoku w:val="0"/>
              <w:wordWrap/>
              <w:overflowPunct/>
              <w:topLinePunct w:val="0"/>
              <w:autoSpaceDE w:val="0"/>
              <w:autoSpaceDN w:val="0"/>
              <w:bidi w:val="0"/>
              <w:adjustRightInd w:val="0"/>
              <w:snapToGrid w:val="0"/>
              <w:spacing w:before="78" w:line="400" w:lineRule="exact"/>
              <w:ind w:right="198"/>
              <w:jc w:val="center"/>
              <w:textAlignment w:val="baseline"/>
              <w:rPr>
                <w:color w:val="auto"/>
                <w:sz w:val="24"/>
                <w:szCs w:val="24"/>
                <w:highlight w:val="none"/>
              </w:rPr>
            </w:pPr>
            <w:r>
              <w:rPr>
                <w:color w:val="auto"/>
                <w:spacing w:val="-3"/>
                <w:sz w:val="24"/>
                <w:szCs w:val="24"/>
                <w:highlight w:val="none"/>
              </w:rPr>
              <w:t>服务方案</w:t>
            </w:r>
            <w:r>
              <w:rPr>
                <w:color w:val="auto"/>
                <w:spacing w:val="-11"/>
                <w:sz w:val="24"/>
                <w:szCs w:val="24"/>
                <w:highlight w:val="none"/>
              </w:rPr>
              <w:t>（15</w:t>
            </w:r>
            <w:r>
              <w:rPr>
                <w:color w:val="auto"/>
                <w:spacing w:val="-48"/>
                <w:sz w:val="24"/>
                <w:szCs w:val="24"/>
                <w:highlight w:val="none"/>
              </w:rPr>
              <w:t xml:space="preserve"> </w:t>
            </w:r>
            <w:r>
              <w:rPr>
                <w:color w:val="auto"/>
                <w:spacing w:val="-11"/>
                <w:sz w:val="24"/>
                <w:szCs w:val="24"/>
                <w:highlight w:val="none"/>
              </w:rPr>
              <w:t>分）</w:t>
            </w:r>
          </w:p>
        </w:tc>
        <w:tc>
          <w:tcPr>
            <w:tcW w:w="6666" w:type="dxa"/>
            <w:gridSpan w:val="2"/>
            <w:vAlign w:val="top"/>
          </w:tcPr>
          <w:p w14:paraId="31D97996">
            <w:pPr>
              <w:pStyle w:val="12"/>
              <w:keepNext w:val="0"/>
              <w:keepLines w:val="0"/>
              <w:pageBreakBefore w:val="0"/>
              <w:widowControl/>
              <w:kinsoku w:val="0"/>
              <w:wordWrap/>
              <w:overflowPunct/>
              <w:topLinePunct w:val="0"/>
              <w:autoSpaceDE w:val="0"/>
              <w:autoSpaceDN w:val="0"/>
              <w:bidi w:val="0"/>
              <w:adjustRightInd w:val="0"/>
              <w:snapToGrid w:val="0"/>
              <w:spacing w:before="164" w:line="400" w:lineRule="exact"/>
              <w:ind w:left="114" w:right="27" w:firstLine="2"/>
              <w:jc w:val="both"/>
              <w:textAlignment w:val="baseline"/>
              <w:rPr>
                <w:color w:val="auto"/>
                <w:sz w:val="24"/>
                <w:szCs w:val="24"/>
                <w:highlight w:val="none"/>
              </w:rPr>
            </w:pPr>
            <w:r>
              <w:rPr>
                <w:color w:val="auto"/>
                <w:spacing w:val="1"/>
                <w:sz w:val="24"/>
                <w:szCs w:val="24"/>
                <w:highlight w:val="none"/>
              </w:rPr>
              <w:t>投标人提供服务方案，包括：①日常清扫保洁工作方案（方案</w:t>
            </w:r>
            <w:r>
              <w:rPr>
                <w:color w:val="auto"/>
                <w:sz w:val="24"/>
                <w:szCs w:val="24"/>
                <w:highlight w:val="none"/>
              </w:rPr>
              <w:t>内容</w:t>
            </w:r>
            <w:r>
              <w:rPr>
                <w:color w:val="auto"/>
                <w:spacing w:val="-1"/>
                <w:sz w:val="24"/>
                <w:szCs w:val="24"/>
                <w:highlight w:val="none"/>
              </w:rPr>
              <w:t>包括现场作业管理、</w:t>
            </w:r>
            <w:r>
              <w:rPr>
                <w:color w:val="auto"/>
                <w:spacing w:val="-67"/>
                <w:sz w:val="24"/>
                <w:szCs w:val="24"/>
                <w:highlight w:val="none"/>
              </w:rPr>
              <w:t xml:space="preserve"> </w:t>
            </w:r>
            <w:r>
              <w:rPr>
                <w:color w:val="auto"/>
                <w:spacing w:val="-1"/>
                <w:sz w:val="24"/>
                <w:szCs w:val="24"/>
                <w:highlight w:val="none"/>
              </w:rPr>
              <w:t>日常工作任务安排、人工作</w:t>
            </w:r>
            <w:r>
              <w:rPr>
                <w:color w:val="auto"/>
                <w:spacing w:val="-2"/>
                <w:sz w:val="24"/>
                <w:szCs w:val="24"/>
                <w:highlight w:val="none"/>
              </w:rPr>
              <w:t>业方案</w:t>
            </w:r>
            <w:r>
              <w:rPr>
                <w:color w:val="auto"/>
                <w:spacing w:val="6"/>
                <w:sz w:val="24"/>
                <w:szCs w:val="24"/>
                <w:highlight w:val="none"/>
              </w:rPr>
              <w:t>）；</w:t>
            </w:r>
            <w:r>
              <w:rPr>
                <w:color w:val="auto"/>
                <w:spacing w:val="-2"/>
                <w:sz w:val="24"/>
                <w:szCs w:val="24"/>
                <w:highlight w:val="none"/>
              </w:rPr>
              <w:t>②绿化</w:t>
            </w:r>
            <w:r>
              <w:rPr>
                <w:color w:val="auto"/>
                <w:spacing w:val="-4"/>
                <w:sz w:val="24"/>
                <w:szCs w:val="24"/>
                <w:highlight w:val="none"/>
              </w:rPr>
              <w:t>养护管理方案；③针对服务期间关于劳动争议</w:t>
            </w:r>
            <w:r>
              <w:rPr>
                <w:color w:val="auto"/>
                <w:spacing w:val="-5"/>
                <w:sz w:val="24"/>
                <w:szCs w:val="24"/>
                <w:highlight w:val="none"/>
              </w:rPr>
              <w:t>及投诉事件处理方案。</w:t>
            </w:r>
            <w:r>
              <w:rPr>
                <w:color w:val="auto"/>
                <w:spacing w:val="-7"/>
                <w:sz w:val="24"/>
                <w:szCs w:val="24"/>
                <w:highlight w:val="none"/>
              </w:rPr>
              <w:t>投标人每提供上述</w:t>
            </w:r>
            <w:r>
              <w:rPr>
                <w:color w:val="auto"/>
                <w:spacing w:val="-19"/>
                <w:sz w:val="24"/>
                <w:szCs w:val="24"/>
                <w:highlight w:val="none"/>
              </w:rPr>
              <w:t xml:space="preserve"> </w:t>
            </w:r>
            <w:r>
              <w:rPr>
                <w:color w:val="auto"/>
                <w:spacing w:val="-7"/>
                <w:sz w:val="24"/>
                <w:szCs w:val="24"/>
                <w:highlight w:val="none"/>
              </w:rPr>
              <w:t>1</w:t>
            </w:r>
            <w:r>
              <w:rPr>
                <w:color w:val="auto"/>
                <w:spacing w:val="-47"/>
                <w:sz w:val="24"/>
                <w:szCs w:val="24"/>
                <w:highlight w:val="none"/>
              </w:rPr>
              <w:t xml:space="preserve"> </w:t>
            </w:r>
            <w:r>
              <w:rPr>
                <w:color w:val="auto"/>
                <w:spacing w:val="-7"/>
                <w:sz w:val="24"/>
                <w:szCs w:val="24"/>
                <w:highlight w:val="none"/>
              </w:rPr>
              <w:t>项内容，内容完整、详细、有针对性的得</w:t>
            </w:r>
            <w:r>
              <w:rPr>
                <w:color w:val="auto"/>
                <w:spacing w:val="-46"/>
                <w:sz w:val="24"/>
                <w:szCs w:val="24"/>
                <w:highlight w:val="none"/>
              </w:rPr>
              <w:t xml:space="preserve"> </w:t>
            </w:r>
            <w:r>
              <w:rPr>
                <w:color w:val="auto"/>
                <w:spacing w:val="-7"/>
                <w:sz w:val="24"/>
                <w:szCs w:val="24"/>
                <w:highlight w:val="none"/>
              </w:rPr>
              <w:t>5</w:t>
            </w:r>
            <w:r>
              <w:rPr>
                <w:color w:val="auto"/>
                <w:spacing w:val="-48"/>
                <w:sz w:val="24"/>
                <w:szCs w:val="24"/>
                <w:highlight w:val="none"/>
              </w:rPr>
              <w:t xml:space="preserve"> </w:t>
            </w:r>
            <w:r>
              <w:rPr>
                <w:color w:val="auto"/>
                <w:spacing w:val="-7"/>
                <w:sz w:val="24"/>
                <w:szCs w:val="24"/>
                <w:highlight w:val="none"/>
              </w:rPr>
              <w:t>分，</w:t>
            </w:r>
            <w:r>
              <w:rPr>
                <w:color w:val="auto"/>
                <w:sz w:val="24"/>
                <w:szCs w:val="24"/>
                <w:highlight w:val="none"/>
              </w:rPr>
              <w:t>内容仅有简单描述且不缺项的得</w:t>
            </w:r>
            <w:r>
              <w:rPr>
                <w:color w:val="auto"/>
                <w:spacing w:val="-42"/>
                <w:sz w:val="24"/>
                <w:szCs w:val="24"/>
                <w:highlight w:val="none"/>
              </w:rPr>
              <w:t xml:space="preserve"> </w:t>
            </w:r>
            <w:r>
              <w:rPr>
                <w:color w:val="auto"/>
                <w:sz w:val="24"/>
                <w:szCs w:val="24"/>
                <w:highlight w:val="none"/>
              </w:rPr>
              <w:t>3.5</w:t>
            </w:r>
            <w:r>
              <w:rPr>
                <w:color w:val="auto"/>
                <w:spacing w:val="-48"/>
                <w:sz w:val="24"/>
                <w:szCs w:val="24"/>
                <w:highlight w:val="none"/>
              </w:rPr>
              <w:t xml:space="preserve"> </w:t>
            </w:r>
            <w:r>
              <w:rPr>
                <w:color w:val="auto"/>
                <w:sz w:val="24"/>
                <w:szCs w:val="24"/>
                <w:highlight w:val="none"/>
              </w:rPr>
              <w:t>分；未提供对应项内容或内容</w:t>
            </w:r>
            <w:r>
              <w:rPr>
                <w:color w:val="auto"/>
                <w:spacing w:val="-3"/>
                <w:sz w:val="24"/>
                <w:szCs w:val="24"/>
                <w:highlight w:val="none"/>
              </w:rPr>
              <w:t>不符合该项要求的不得分。本项满分</w:t>
            </w:r>
            <w:r>
              <w:rPr>
                <w:color w:val="auto"/>
                <w:spacing w:val="-23"/>
                <w:sz w:val="24"/>
                <w:szCs w:val="24"/>
                <w:highlight w:val="none"/>
              </w:rPr>
              <w:t xml:space="preserve"> </w:t>
            </w:r>
            <w:r>
              <w:rPr>
                <w:color w:val="auto"/>
                <w:spacing w:val="-3"/>
                <w:sz w:val="24"/>
                <w:szCs w:val="24"/>
                <w:highlight w:val="none"/>
              </w:rPr>
              <w:t>15</w:t>
            </w:r>
            <w:r>
              <w:rPr>
                <w:color w:val="auto"/>
                <w:spacing w:val="-48"/>
                <w:sz w:val="24"/>
                <w:szCs w:val="24"/>
                <w:highlight w:val="none"/>
              </w:rPr>
              <w:t xml:space="preserve"> </w:t>
            </w:r>
            <w:r>
              <w:rPr>
                <w:color w:val="auto"/>
                <w:spacing w:val="-3"/>
                <w:sz w:val="24"/>
                <w:szCs w:val="24"/>
                <w:highlight w:val="none"/>
              </w:rPr>
              <w:t>分。</w:t>
            </w:r>
          </w:p>
        </w:tc>
      </w:tr>
      <w:tr w14:paraId="3B72B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4" w:hRule="atLeast"/>
        </w:trPr>
        <w:tc>
          <w:tcPr>
            <w:tcW w:w="1275" w:type="dxa"/>
            <w:gridSpan w:val="2"/>
            <w:vMerge w:val="continue"/>
            <w:tcBorders>
              <w:top w:val="nil"/>
              <w:bottom w:val="nil"/>
            </w:tcBorders>
            <w:vAlign w:val="center"/>
          </w:tcPr>
          <w:p w14:paraId="7BE8807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Arial"/>
                <w:color w:val="auto"/>
                <w:sz w:val="21"/>
                <w:highlight w:val="none"/>
              </w:rPr>
            </w:pPr>
          </w:p>
        </w:tc>
        <w:tc>
          <w:tcPr>
            <w:tcW w:w="1376" w:type="dxa"/>
            <w:gridSpan w:val="2"/>
            <w:vAlign w:val="center"/>
          </w:tcPr>
          <w:p w14:paraId="6F207945">
            <w:pPr>
              <w:pStyle w:val="12"/>
              <w:keepNext w:val="0"/>
              <w:keepLines w:val="0"/>
              <w:pageBreakBefore w:val="0"/>
              <w:widowControl/>
              <w:kinsoku w:val="0"/>
              <w:wordWrap/>
              <w:overflowPunct/>
              <w:topLinePunct w:val="0"/>
              <w:autoSpaceDE w:val="0"/>
              <w:autoSpaceDN w:val="0"/>
              <w:bidi w:val="0"/>
              <w:adjustRightInd w:val="0"/>
              <w:snapToGrid w:val="0"/>
              <w:spacing w:before="78" w:line="400" w:lineRule="exact"/>
              <w:ind w:right="6" w:rightChars="0"/>
              <w:jc w:val="center"/>
              <w:textAlignment w:val="baseline"/>
              <w:rPr>
                <w:color w:val="0000FF"/>
                <w:sz w:val="24"/>
                <w:szCs w:val="24"/>
                <w:highlight w:val="none"/>
              </w:rPr>
            </w:pPr>
            <w:r>
              <w:rPr>
                <w:color w:val="auto"/>
                <w:spacing w:val="-5"/>
                <w:sz w:val="24"/>
                <w:szCs w:val="24"/>
                <w:highlight w:val="none"/>
              </w:rPr>
              <w:t>资源配备</w:t>
            </w:r>
            <w:r>
              <w:rPr>
                <w:color w:val="auto"/>
                <w:spacing w:val="-24"/>
                <w:sz w:val="24"/>
                <w:szCs w:val="24"/>
                <w:highlight w:val="none"/>
              </w:rPr>
              <w:t>计划（6</w:t>
            </w:r>
            <w:r>
              <w:rPr>
                <w:color w:val="auto"/>
                <w:spacing w:val="-46"/>
                <w:sz w:val="24"/>
                <w:szCs w:val="24"/>
                <w:highlight w:val="none"/>
              </w:rPr>
              <w:t xml:space="preserve"> </w:t>
            </w:r>
            <w:r>
              <w:rPr>
                <w:color w:val="auto"/>
                <w:spacing w:val="-24"/>
                <w:sz w:val="24"/>
                <w:szCs w:val="24"/>
                <w:highlight w:val="none"/>
              </w:rPr>
              <w:t>分）</w:t>
            </w:r>
          </w:p>
        </w:tc>
        <w:tc>
          <w:tcPr>
            <w:tcW w:w="6666" w:type="dxa"/>
            <w:gridSpan w:val="2"/>
            <w:vAlign w:val="top"/>
          </w:tcPr>
          <w:p w14:paraId="75CEB010">
            <w:pPr>
              <w:pStyle w:val="12"/>
              <w:keepNext w:val="0"/>
              <w:keepLines w:val="0"/>
              <w:pageBreakBefore w:val="0"/>
              <w:widowControl/>
              <w:kinsoku w:val="0"/>
              <w:wordWrap/>
              <w:overflowPunct/>
              <w:topLinePunct w:val="0"/>
              <w:autoSpaceDE w:val="0"/>
              <w:autoSpaceDN w:val="0"/>
              <w:bidi w:val="0"/>
              <w:adjustRightInd w:val="0"/>
              <w:snapToGrid w:val="0"/>
              <w:spacing w:before="164" w:line="400" w:lineRule="exact"/>
              <w:ind w:left="116" w:leftChars="0" w:right="27" w:rightChars="0" w:hanging="2" w:firstLineChars="0"/>
              <w:jc w:val="both"/>
              <w:textAlignment w:val="baseline"/>
              <w:rPr>
                <w:color w:val="0000FF"/>
                <w:sz w:val="24"/>
                <w:szCs w:val="24"/>
                <w:highlight w:val="none"/>
              </w:rPr>
            </w:pPr>
            <w:r>
              <w:rPr>
                <w:color w:val="auto"/>
                <w:spacing w:val="-4"/>
                <w:sz w:val="24"/>
                <w:szCs w:val="24"/>
                <w:highlight w:val="none"/>
              </w:rPr>
              <w:t>包括：①拟投入作业工具；②拟投入劳保用品</w:t>
            </w:r>
            <w:r>
              <w:rPr>
                <w:color w:val="auto"/>
                <w:spacing w:val="-5"/>
                <w:sz w:val="24"/>
                <w:szCs w:val="24"/>
                <w:highlight w:val="none"/>
              </w:rPr>
              <w:t>；③拟投入车辆配置。</w:t>
            </w:r>
            <w:r>
              <w:rPr>
                <w:color w:val="auto"/>
                <w:spacing w:val="-7"/>
                <w:sz w:val="24"/>
                <w:szCs w:val="24"/>
                <w:highlight w:val="none"/>
              </w:rPr>
              <w:t>投标人每提供上述</w:t>
            </w:r>
            <w:r>
              <w:rPr>
                <w:color w:val="auto"/>
                <w:spacing w:val="-20"/>
                <w:sz w:val="24"/>
                <w:szCs w:val="24"/>
                <w:highlight w:val="none"/>
              </w:rPr>
              <w:t xml:space="preserve"> </w:t>
            </w:r>
            <w:r>
              <w:rPr>
                <w:color w:val="auto"/>
                <w:spacing w:val="-7"/>
                <w:sz w:val="24"/>
                <w:szCs w:val="24"/>
                <w:highlight w:val="none"/>
              </w:rPr>
              <w:t>1</w:t>
            </w:r>
            <w:r>
              <w:rPr>
                <w:color w:val="auto"/>
                <w:spacing w:val="-47"/>
                <w:sz w:val="24"/>
                <w:szCs w:val="24"/>
                <w:highlight w:val="none"/>
              </w:rPr>
              <w:t xml:space="preserve"> </w:t>
            </w:r>
            <w:r>
              <w:rPr>
                <w:color w:val="auto"/>
                <w:spacing w:val="-7"/>
                <w:sz w:val="24"/>
                <w:szCs w:val="24"/>
                <w:highlight w:val="none"/>
              </w:rPr>
              <w:t>项内容，内容完整、详细、有针对性的得</w:t>
            </w:r>
            <w:r>
              <w:rPr>
                <w:color w:val="auto"/>
                <w:spacing w:val="-48"/>
                <w:sz w:val="24"/>
                <w:szCs w:val="24"/>
                <w:highlight w:val="none"/>
              </w:rPr>
              <w:t xml:space="preserve"> </w:t>
            </w:r>
            <w:r>
              <w:rPr>
                <w:color w:val="auto"/>
                <w:spacing w:val="-7"/>
                <w:sz w:val="24"/>
                <w:szCs w:val="24"/>
                <w:highlight w:val="none"/>
              </w:rPr>
              <w:t>2</w:t>
            </w:r>
            <w:r>
              <w:rPr>
                <w:color w:val="auto"/>
                <w:spacing w:val="-48"/>
                <w:sz w:val="24"/>
                <w:szCs w:val="24"/>
                <w:highlight w:val="none"/>
              </w:rPr>
              <w:t xml:space="preserve"> </w:t>
            </w:r>
            <w:r>
              <w:rPr>
                <w:color w:val="auto"/>
                <w:spacing w:val="-7"/>
                <w:sz w:val="24"/>
                <w:szCs w:val="24"/>
                <w:highlight w:val="none"/>
              </w:rPr>
              <w:t>分，</w:t>
            </w:r>
            <w:r>
              <w:rPr>
                <w:color w:val="auto"/>
                <w:spacing w:val="-1"/>
                <w:sz w:val="24"/>
                <w:szCs w:val="24"/>
                <w:highlight w:val="none"/>
              </w:rPr>
              <w:t>内容仅有简单描述且不缺项的得</w:t>
            </w:r>
            <w:r>
              <w:rPr>
                <w:color w:val="auto"/>
                <w:spacing w:val="-15"/>
                <w:sz w:val="24"/>
                <w:szCs w:val="24"/>
                <w:highlight w:val="none"/>
              </w:rPr>
              <w:t xml:space="preserve"> </w:t>
            </w:r>
            <w:r>
              <w:rPr>
                <w:color w:val="auto"/>
                <w:spacing w:val="-1"/>
                <w:sz w:val="24"/>
                <w:szCs w:val="24"/>
                <w:highlight w:val="none"/>
              </w:rPr>
              <w:t>1.4</w:t>
            </w:r>
            <w:r>
              <w:rPr>
                <w:color w:val="auto"/>
                <w:spacing w:val="-48"/>
                <w:sz w:val="24"/>
                <w:szCs w:val="24"/>
                <w:highlight w:val="none"/>
              </w:rPr>
              <w:t xml:space="preserve"> </w:t>
            </w:r>
            <w:r>
              <w:rPr>
                <w:color w:val="auto"/>
                <w:spacing w:val="-1"/>
                <w:sz w:val="24"/>
                <w:szCs w:val="24"/>
                <w:highlight w:val="none"/>
              </w:rPr>
              <w:t>分；未提供对应项内容或内容</w:t>
            </w:r>
            <w:r>
              <w:rPr>
                <w:color w:val="auto"/>
                <w:spacing w:val="-2"/>
                <w:sz w:val="24"/>
                <w:szCs w:val="24"/>
                <w:highlight w:val="none"/>
              </w:rPr>
              <w:t>不符合该项要求的不得分。本项满分</w:t>
            </w:r>
            <w:r>
              <w:rPr>
                <w:color w:val="auto"/>
                <w:spacing w:val="-48"/>
                <w:sz w:val="24"/>
                <w:szCs w:val="24"/>
                <w:highlight w:val="none"/>
              </w:rPr>
              <w:t xml:space="preserve"> </w:t>
            </w:r>
            <w:r>
              <w:rPr>
                <w:color w:val="auto"/>
                <w:spacing w:val="-2"/>
                <w:sz w:val="24"/>
                <w:szCs w:val="24"/>
                <w:highlight w:val="none"/>
              </w:rPr>
              <w:t>6</w:t>
            </w:r>
            <w:r>
              <w:rPr>
                <w:color w:val="auto"/>
                <w:spacing w:val="-48"/>
                <w:sz w:val="24"/>
                <w:szCs w:val="24"/>
                <w:highlight w:val="none"/>
              </w:rPr>
              <w:t xml:space="preserve"> </w:t>
            </w:r>
            <w:r>
              <w:rPr>
                <w:color w:val="auto"/>
                <w:spacing w:val="-2"/>
                <w:sz w:val="24"/>
                <w:szCs w:val="24"/>
                <w:highlight w:val="none"/>
              </w:rPr>
              <w:t>分。</w:t>
            </w:r>
          </w:p>
        </w:tc>
      </w:tr>
      <w:tr w14:paraId="10D92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4" w:hRule="atLeast"/>
        </w:trPr>
        <w:tc>
          <w:tcPr>
            <w:tcW w:w="1275" w:type="dxa"/>
            <w:gridSpan w:val="2"/>
            <w:vMerge w:val="continue"/>
            <w:tcBorders>
              <w:top w:val="nil"/>
              <w:bottom w:val="nil"/>
            </w:tcBorders>
            <w:vAlign w:val="center"/>
          </w:tcPr>
          <w:p w14:paraId="7B48A41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Arial"/>
                <w:color w:val="auto"/>
                <w:sz w:val="21"/>
                <w:highlight w:val="none"/>
              </w:rPr>
            </w:pPr>
          </w:p>
        </w:tc>
        <w:tc>
          <w:tcPr>
            <w:tcW w:w="1376" w:type="dxa"/>
            <w:gridSpan w:val="2"/>
            <w:vAlign w:val="center"/>
          </w:tcPr>
          <w:p w14:paraId="25F2277C">
            <w:pPr>
              <w:pStyle w:val="12"/>
              <w:keepNext w:val="0"/>
              <w:keepLines w:val="0"/>
              <w:pageBreakBefore w:val="0"/>
              <w:widowControl/>
              <w:kinsoku w:val="0"/>
              <w:wordWrap/>
              <w:overflowPunct/>
              <w:topLinePunct w:val="0"/>
              <w:autoSpaceDE w:val="0"/>
              <w:autoSpaceDN w:val="0"/>
              <w:bidi w:val="0"/>
              <w:adjustRightInd w:val="0"/>
              <w:snapToGrid w:val="0"/>
              <w:spacing w:before="166" w:line="400" w:lineRule="exact"/>
              <w:jc w:val="center"/>
              <w:textAlignment w:val="baseline"/>
              <w:rPr>
                <w:color w:val="auto"/>
                <w:sz w:val="24"/>
                <w:szCs w:val="24"/>
                <w:highlight w:val="none"/>
              </w:rPr>
            </w:pPr>
            <w:r>
              <w:rPr>
                <w:color w:val="auto"/>
                <w:spacing w:val="-3"/>
                <w:sz w:val="24"/>
                <w:szCs w:val="24"/>
                <w:highlight w:val="none"/>
              </w:rPr>
              <w:t>质量及安全保证措</w:t>
            </w:r>
            <w:r>
              <w:rPr>
                <w:color w:val="auto"/>
                <w:sz w:val="24"/>
                <w:szCs w:val="24"/>
                <w:highlight w:val="none"/>
              </w:rPr>
              <w:t>施</w:t>
            </w:r>
          </w:p>
          <w:p w14:paraId="7AF7BDA3">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253"/>
              <w:jc w:val="center"/>
              <w:textAlignment w:val="baseline"/>
              <w:rPr>
                <w:color w:val="auto"/>
                <w:sz w:val="24"/>
                <w:szCs w:val="24"/>
                <w:highlight w:val="none"/>
              </w:rPr>
            </w:pPr>
            <w:r>
              <w:rPr>
                <w:color w:val="auto"/>
                <w:spacing w:val="-9"/>
                <w:sz w:val="24"/>
                <w:szCs w:val="24"/>
                <w:highlight w:val="none"/>
              </w:rPr>
              <w:t>（</w:t>
            </w:r>
            <w:r>
              <w:rPr>
                <w:rFonts w:hint="eastAsia"/>
                <w:color w:val="auto"/>
                <w:spacing w:val="-9"/>
                <w:sz w:val="24"/>
                <w:szCs w:val="24"/>
                <w:highlight w:val="none"/>
                <w:lang w:val="en-US" w:eastAsia="zh-CN"/>
              </w:rPr>
              <w:t>4</w:t>
            </w:r>
            <w:r>
              <w:rPr>
                <w:color w:val="auto"/>
                <w:spacing w:val="-9"/>
                <w:sz w:val="24"/>
                <w:szCs w:val="24"/>
                <w:highlight w:val="none"/>
              </w:rPr>
              <w:t>分）</w:t>
            </w:r>
          </w:p>
        </w:tc>
        <w:tc>
          <w:tcPr>
            <w:tcW w:w="6666" w:type="dxa"/>
            <w:gridSpan w:val="2"/>
            <w:vAlign w:val="top"/>
          </w:tcPr>
          <w:p w14:paraId="68F3911A">
            <w:pPr>
              <w:pStyle w:val="12"/>
              <w:keepNext w:val="0"/>
              <w:keepLines w:val="0"/>
              <w:pageBreakBefore w:val="0"/>
              <w:widowControl/>
              <w:kinsoku w:val="0"/>
              <w:wordWrap/>
              <w:overflowPunct/>
              <w:topLinePunct w:val="0"/>
              <w:autoSpaceDE w:val="0"/>
              <w:autoSpaceDN w:val="0"/>
              <w:bidi w:val="0"/>
              <w:adjustRightInd w:val="0"/>
              <w:snapToGrid w:val="0"/>
              <w:spacing w:before="164" w:line="400" w:lineRule="exact"/>
              <w:ind w:left="116" w:right="46" w:hanging="2"/>
              <w:textAlignment w:val="baseline"/>
              <w:rPr>
                <w:color w:val="auto"/>
                <w:sz w:val="24"/>
                <w:szCs w:val="24"/>
                <w:highlight w:val="none"/>
              </w:rPr>
            </w:pPr>
            <w:r>
              <w:rPr>
                <w:color w:val="auto"/>
                <w:spacing w:val="1"/>
                <w:sz w:val="24"/>
                <w:szCs w:val="24"/>
                <w:highlight w:val="none"/>
              </w:rPr>
              <w:t>包括：①服务质量保证措施；②安全保障措施</w:t>
            </w:r>
            <w:r>
              <w:rPr>
                <w:rFonts w:hint="eastAsia"/>
                <w:color w:val="auto"/>
                <w:spacing w:val="1"/>
                <w:sz w:val="24"/>
                <w:szCs w:val="24"/>
                <w:highlight w:val="none"/>
                <w:lang w:val="en-US" w:eastAsia="zh-CN"/>
              </w:rPr>
              <w:t>及</w:t>
            </w:r>
            <w:r>
              <w:rPr>
                <w:color w:val="auto"/>
                <w:sz w:val="24"/>
                <w:szCs w:val="24"/>
                <w:highlight w:val="none"/>
              </w:rPr>
              <w:t>安全培训方案。</w:t>
            </w:r>
            <w:r>
              <w:rPr>
                <w:color w:val="auto"/>
                <w:spacing w:val="-7"/>
                <w:sz w:val="24"/>
                <w:szCs w:val="24"/>
                <w:highlight w:val="none"/>
              </w:rPr>
              <w:t>投标人每提供上述</w:t>
            </w:r>
            <w:r>
              <w:rPr>
                <w:color w:val="auto"/>
                <w:spacing w:val="-33"/>
                <w:sz w:val="24"/>
                <w:szCs w:val="24"/>
                <w:highlight w:val="none"/>
              </w:rPr>
              <w:t xml:space="preserve"> </w:t>
            </w:r>
            <w:r>
              <w:rPr>
                <w:color w:val="auto"/>
                <w:spacing w:val="-7"/>
                <w:sz w:val="24"/>
                <w:szCs w:val="24"/>
                <w:highlight w:val="none"/>
              </w:rPr>
              <w:t>1</w:t>
            </w:r>
            <w:r>
              <w:rPr>
                <w:color w:val="auto"/>
                <w:spacing w:val="-47"/>
                <w:sz w:val="24"/>
                <w:szCs w:val="24"/>
                <w:highlight w:val="none"/>
              </w:rPr>
              <w:t xml:space="preserve"> </w:t>
            </w:r>
            <w:r>
              <w:rPr>
                <w:color w:val="auto"/>
                <w:spacing w:val="-7"/>
                <w:sz w:val="24"/>
                <w:szCs w:val="24"/>
                <w:highlight w:val="none"/>
              </w:rPr>
              <w:t>项内容，内容完整、详细、有针对</w:t>
            </w:r>
            <w:r>
              <w:rPr>
                <w:color w:val="auto"/>
                <w:spacing w:val="-8"/>
                <w:sz w:val="24"/>
                <w:szCs w:val="24"/>
                <w:highlight w:val="none"/>
              </w:rPr>
              <w:t>性的得</w:t>
            </w:r>
            <w:r>
              <w:rPr>
                <w:color w:val="auto"/>
                <w:spacing w:val="-48"/>
                <w:sz w:val="24"/>
                <w:szCs w:val="24"/>
                <w:highlight w:val="none"/>
              </w:rPr>
              <w:t xml:space="preserve"> </w:t>
            </w:r>
            <w:r>
              <w:rPr>
                <w:color w:val="auto"/>
                <w:spacing w:val="-8"/>
                <w:sz w:val="24"/>
                <w:szCs w:val="24"/>
                <w:highlight w:val="none"/>
              </w:rPr>
              <w:t>2</w:t>
            </w:r>
            <w:r>
              <w:rPr>
                <w:color w:val="auto"/>
                <w:spacing w:val="-47"/>
                <w:sz w:val="24"/>
                <w:szCs w:val="24"/>
                <w:highlight w:val="none"/>
              </w:rPr>
              <w:t xml:space="preserve"> </w:t>
            </w:r>
            <w:r>
              <w:rPr>
                <w:color w:val="auto"/>
                <w:spacing w:val="-8"/>
                <w:sz w:val="24"/>
                <w:szCs w:val="24"/>
                <w:highlight w:val="none"/>
              </w:rPr>
              <w:t>分，</w:t>
            </w:r>
            <w:r>
              <w:rPr>
                <w:color w:val="auto"/>
                <w:spacing w:val="-1"/>
                <w:sz w:val="24"/>
                <w:szCs w:val="24"/>
                <w:highlight w:val="none"/>
              </w:rPr>
              <w:t>内容仅有简单描述且不缺项的得</w:t>
            </w:r>
            <w:r>
              <w:rPr>
                <w:color w:val="auto"/>
                <w:spacing w:val="-15"/>
                <w:sz w:val="24"/>
                <w:szCs w:val="24"/>
                <w:highlight w:val="none"/>
              </w:rPr>
              <w:t xml:space="preserve"> </w:t>
            </w:r>
            <w:r>
              <w:rPr>
                <w:color w:val="auto"/>
                <w:spacing w:val="-1"/>
                <w:sz w:val="24"/>
                <w:szCs w:val="24"/>
                <w:highlight w:val="none"/>
              </w:rPr>
              <w:t>1.4</w:t>
            </w:r>
            <w:r>
              <w:rPr>
                <w:color w:val="auto"/>
                <w:spacing w:val="-48"/>
                <w:sz w:val="24"/>
                <w:szCs w:val="24"/>
                <w:highlight w:val="none"/>
              </w:rPr>
              <w:t xml:space="preserve"> </w:t>
            </w:r>
            <w:r>
              <w:rPr>
                <w:color w:val="auto"/>
                <w:spacing w:val="-1"/>
                <w:sz w:val="24"/>
                <w:szCs w:val="24"/>
                <w:highlight w:val="none"/>
              </w:rPr>
              <w:t>分；未提供对应项内容或内容</w:t>
            </w:r>
            <w:r>
              <w:rPr>
                <w:color w:val="auto"/>
                <w:spacing w:val="-2"/>
                <w:sz w:val="24"/>
                <w:szCs w:val="24"/>
                <w:highlight w:val="none"/>
              </w:rPr>
              <w:t>不符合该项要求的不得分。本项满分</w:t>
            </w:r>
            <w:r>
              <w:rPr>
                <w:color w:val="auto"/>
                <w:spacing w:val="-48"/>
                <w:sz w:val="24"/>
                <w:szCs w:val="24"/>
                <w:highlight w:val="none"/>
              </w:rPr>
              <w:t xml:space="preserve"> </w:t>
            </w:r>
            <w:r>
              <w:rPr>
                <w:rFonts w:hint="eastAsia"/>
                <w:color w:val="auto"/>
                <w:spacing w:val="-2"/>
                <w:sz w:val="24"/>
                <w:szCs w:val="24"/>
                <w:highlight w:val="none"/>
                <w:lang w:val="en-US" w:eastAsia="zh-CN"/>
              </w:rPr>
              <w:t>4</w:t>
            </w:r>
            <w:r>
              <w:rPr>
                <w:color w:val="auto"/>
                <w:spacing w:val="-48"/>
                <w:sz w:val="24"/>
                <w:szCs w:val="24"/>
                <w:highlight w:val="none"/>
              </w:rPr>
              <w:t xml:space="preserve"> </w:t>
            </w:r>
            <w:r>
              <w:rPr>
                <w:color w:val="auto"/>
                <w:spacing w:val="-2"/>
                <w:sz w:val="24"/>
                <w:szCs w:val="24"/>
                <w:highlight w:val="none"/>
              </w:rPr>
              <w:t>分。</w:t>
            </w:r>
          </w:p>
        </w:tc>
      </w:tr>
      <w:tr w14:paraId="0C74C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275" w:type="dxa"/>
            <w:gridSpan w:val="2"/>
            <w:vMerge w:val="continue"/>
            <w:tcBorders>
              <w:top w:val="nil"/>
              <w:bottom w:val="nil"/>
            </w:tcBorders>
            <w:vAlign w:val="top"/>
          </w:tcPr>
          <w:p w14:paraId="38CACF1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color w:val="auto"/>
                <w:sz w:val="21"/>
                <w:highlight w:val="none"/>
              </w:rPr>
            </w:pPr>
          </w:p>
        </w:tc>
        <w:tc>
          <w:tcPr>
            <w:tcW w:w="1376" w:type="dxa"/>
            <w:gridSpan w:val="2"/>
            <w:vAlign w:val="center"/>
          </w:tcPr>
          <w:p w14:paraId="3CA2F4FC">
            <w:pPr>
              <w:pStyle w:val="12"/>
              <w:keepNext w:val="0"/>
              <w:keepLines w:val="0"/>
              <w:pageBreakBefore w:val="0"/>
              <w:widowControl/>
              <w:kinsoku w:val="0"/>
              <w:wordWrap/>
              <w:overflowPunct/>
              <w:topLinePunct w:val="0"/>
              <w:autoSpaceDE w:val="0"/>
              <w:autoSpaceDN w:val="0"/>
              <w:bidi w:val="0"/>
              <w:adjustRightInd w:val="0"/>
              <w:snapToGrid w:val="0"/>
              <w:spacing w:before="78" w:line="400" w:lineRule="exact"/>
              <w:jc w:val="center"/>
              <w:textAlignment w:val="baseline"/>
              <w:rPr>
                <w:color w:val="auto"/>
                <w:sz w:val="24"/>
                <w:szCs w:val="24"/>
                <w:highlight w:val="none"/>
              </w:rPr>
            </w:pPr>
            <w:r>
              <w:rPr>
                <w:color w:val="auto"/>
                <w:spacing w:val="-4"/>
                <w:sz w:val="24"/>
                <w:szCs w:val="24"/>
                <w:highlight w:val="none"/>
              </w:rPr>
              <w:t>综合管理</w:t>
            </w:r>
            <w:r>
              <w:rPr>
                <w:color w:val="auto"/>
                <w:spacing w:val="-6"/>
                <w:sz w:val="24"/>
                <w:szCs w:val="24"/>
                <w:highlight w:val="none"/>
              </w:rPr>
              <w:t>制度</w:t>
            </w:r>
            <w:r>
              <w:rPr>
                <w:color w:val="auto"/>
                <w:spacing w:val="-7"/>
                <w:sz w:val="24"/>
                <w:szCs w:val="24"/>
                <w:highlight w:val="none"/>
              </w:rPr>
              <w:t>（14</w:t>
            </w:r>
            <w:r>
              <w:rPr>
                <w:color w:val="auto"/>
                <w:spacing w:val="-47"/>
                <w:sz w:val="24"/>
                <w:szCs w:val="24"/>
                <w:highlight w:val="none"/>
              </w:rPr>
              <w:t xml:space="preserve"> </w:t>
            </w:r>
            <w:r>
              <w:rPr>
                <w:color w:val="auto"/>
                <w:spacing w:val="-7"/>
                <w:sz w:val="24"/>
                <w:szCs w:val="24"/>
                <w:highlight w:val="none"/>
              </w:rPr>
              <w:t>分）</w:t>
            </w:r>
          </w:p>
        </w:tc>
        <w:tc>
          <w:tcPr>
            <w:tcW w:w="6666" w:type="dxa"/>
            <w:gridSpan w:val="2"/>
            <w:vAlign w:val="top"/>
          </w:tcPr>
          <w:p w14:paraId="38A5CC95">
            <w:pPr>
              <w:pStyle w:val="12"/>
              <w:keepNext w:val="0"/>
              <w:keepLines w:val="0"/>
              <w:pageBreakBefore w:val="0"/>
              <w:widowControl/>
              <w:kinsoku w:val="0"/>
              <w:wordWrap/>
              <w:overflowPunct/>
              <w:topLinePunct w:val="0"/>
              <w:autoSpaceDE w:val="0"/>
              <w:autoSpaceDN w:val="0"/>
              <w:bidi w:val="0"/>
              <w:adjustRightInd w:val="0"/>
              <w:snapToGrid w:val="0"/>
              <w:spacing w:before="166" w:line="400" w:lineRule="exact"/>
              <w:ind w:left="116" w:right="108" w:hanging="2"/>
              <w:textAlignment w:val="baseline"/>
              <w:rPr>
                <w:color w:val="auto"/>
                <w:sz w:val="24"/>
                <w:szCs w:val="24"/>
                <w:highlight w:val="none"/>
              </w:rPr>
            </w:pPr>
            <w:r>
              <w:rPr>
                <w:color w:val="auto"/>
                <w:spacing w:val="1"/>
                <w:sz w:val="24"/>
                <w:szCs w:val="24"/>
                <w:highlight w:val="none"/>
              </w:rPr>
              <w:t>包括：①日常工作制度；②操作规范；③人员管理制度；④绩效考</w:t>
            </w:r>
            <w:r>
              <w:rPr>
                <w:color w:val="auto"/>
                <w:spacing w:val="-1"/>
                <w:sz w:val="24"/>
                <w:szCs w:val="24"/>
                <w:highlight w:val="none"/>
              </w:rPr>
              <w:t>核制度；⑤奖惩激励制度；⑥财务管理制度；⑦安全管理制度。</w:t>
            </w:r>
          </w:p>
          <w:p w14:paraId="328D9183">
            <w:pPr>
              <w:pStyle w:val="12"/>
              <w:keepNext w:val="0"/>
              <w:keepLines w:val="0"/>
              <w:pageBreakBefore w:val="0"/>
              <w:widowControl/>
              <w:kinsoku w:val="0"/>
              <w:wordWrap/>
              <w:overflowPunct/>
              <w:topLinePunct w:val="0"/>
              <w:autoSpaceDE w:val="0"/>
              <w:autoSpaceDN w:val="0"/>
              <w:bidi w:val="0"/>
              <w:adjustRightInd w:val="0"/>
              <w:snapToGrid w:val="0"/>
              <w:spacing w:before="1" w:line="400" w:lineRule="exact"/>
              <w:ind w:left="117" w:right="46"/>
              <w:textAlignment w:val="baseline"/>
              <w:rPr>
                <w:color w:val="auto"/>
                <w:sz w:val="24"/>
                <w:szCs w:val="24"/>
                <w:highlight w:val="none"/>
              </w:rPr>
            </w:pPr>
            <w:r>
              <w:rPr>
                <w:color w:val="auto"/>
                <w:spacing w:val="-7"/>
                <w:sz w:val="24"/>
                <w:szCs w:val="24"/>
                <w:highlight w:val="none"/>
              </w:rPr>
              <w:t>投标人每提供上述</w:t>
            </w:r>
            <w:r>
              <w:rPr>
                <w:color w:val="auto"/>
                <w:spacing w:val="-33"/>
                <w:sz w:val="24"/>
                <w:szCs w:val="24"/>
                <w:highlight w:val="none"/>
              </w:rPr>
              <w:t xml:space="preserve"> </w:t>
            </w:r>
            <w:r>
              <w:rPr>
                <w:color w:val="auto"/>
                <w:spacing w:val="-7"/>
                <w:sz w:val="24"/>
                <w:szCs w:val="24"/>
                <w:highlight w:val="none"/>
              </w:rPr>
              <w:t>1</w:t>
            </w:r>
            <w:r>
              <w:rPr>
                <w:color w:val="auto"/>
                <w:spacing w:val="-47"/>
                <w:sz w:val="24"/>
                <w:szCs w:val="24"/>
                <w:highlight w:val="none"/>
              </w:rPr>
              <w:t xml:space="preserve"> </w:t>
            </w:r>
            <w:r>
              <w:rPr>
                <w:color w:val="auto"/>
                <w:spacing w:val="-7"/>
                <w:sz w:val="24"/>
                <w:szCs w:val="24"/>
                <w:highlight w:val="none"/>
              </w:rPr>
              <w:t>项内容，内容完整、详细、有针对</w:t>
            </w:r>
            <w:r>
              <w:rPr>
                <w:color w:val="auto"/>
                <w:spacing w:val="-8"/>
                <w:sz w:val="24"/>
                <w:szCs w:val="24"/>
                <w:highlight w:val="none"/>
              </w:rPr>
              <w:t>性的得</w:t>
            </w:r>
            <w:r>
              <w:rPr>
                <w:color w:val="auto"/>
                <w:spacing w:val="-48"/>
                <w:sz w:val="24"/>
                <w:szCs w:val="24"/>
                <w:highlight w:val="none"/>
              </w:rPr>
              <w:t xml:space="preserve"> </w:t>
            </w:r>
            <w:r>
              <w:rPr>
                <w:color w:val="auto"/>
                <w:spacing w:val="-8"/>
                <w:sz w:val="24"/>
                <w:szCs w:val="24"/>
                <w:highlight w:val="none"/>
              </w:rPr>
              <w:t>2</w:t>
            </w:r>
            <w:r>
              <w:rPr>
                <w:color w:val="auto"/>
                <w:spacing w:val="-47"/>
                <w:sz w:val="24"/>
                <w:szCs w:val="24"/>
                <w:highlight w:val="none"/>
              </w:rPr>
              <w:t xml:space="preserve"> </w:t>
            </w:r>
            <w:r>
              <w:rPr>
                <w:color w:val="auto"/>
                <w:spacing w:val="-8"/>
                <w:sz w:val="24"/>
                <w:szCs w:val="24"/>
                <w:highlight w:val="none"/>
              </w:rPr>
              <w:t>分，</w:t>
            </w:r>
            <w:r>
              <w:rPr>
                <w:color w:val="auto"/>
                <w:spacing w:val="-1"/>
                <w:sz w:val="24"/>
                <w:szCs w:val="24"/>
                <w:highlight w:val="none"/>
              </w:rPr>
              <w:t>内容仅有简单描述且不缺项的得1.4</w:t>
            </w:r>
            <w:r>
              <w:rPr>
                <w:color w:val="auto"/>
                <w:spacing w:val="-48"/>
                <w:sz w:val="24"/>
                <w:szCs w:val="24"/>
                <w:highlight w:val="none"/>
              </w:rPr>
              <w:t xml:space="preserve"> </w:t>
            </w:r>
            <w:r>
              <w:rPr>
                <w:color w:val="auto"/>
                <w:spacing w:val="-1"/>
                <w:sz w:val="24"/>
                <w:szCs w:val="24"/>
                <w:highlight w:val="none"/>
              </w:rPr>
              <w:t>分；未提供对应项内容或内容</w:t>
            </w:r>
            <w:r>
              <w:rPr>
                <w:color w:val="auto"/>
                <w:spacing w:val="-3"/>
                <w:sz w:val="24"/>
                <w:szCs w:val="24"/>
                <w:highlight w:val="none"/>
              </w:rPr>
              <w:t>不符合该项要求的不得分。本项满分14</w:t>
            </w:r>
            <w:r>
              <w:rPr>
                <w:color w:val="auto"/>
                <w:spacing w:val="-48"/>
                <w:sz w:val="24"/>
                <w:szCs w:val="24"/>
                <w:highlight w:val="none"/>
              </w:rPr>
              <w:t xml:space="preserve"> </w:t>
            </w:r>
            <w:r>
              <w:rPr>
                <w:color w:val="auto"/>
                <w:spacing w:val="-3"/>
                <w:sz w:val="24"/>
                <w:szCs w:val="24"/>
                <w:highlight w:val="none"/>
              </w:rPr>
              <w:t>分。</w:t>
            </w:r>
          </w:p>
        </w:tc>
      </w:tr>
      <w:tr w14:paraId="725DF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7" w:hRule="atLeast"/>
        </w:trPr>
        <w:tc>
          <w:tcPr>
            <w:tcW w:w="1275" w:type="dxa"/>
            <w:gridSpan w:val="2"/>
            <w:vMerge w:val="continue"/>
            <w:tcBorders>
              <w:top w:val="nil"/>
            </w:tcBorders>
            <w:vAlign w:val="top"/>
          </w:tcPr>
          <w:p w14:paraId="2A91E241">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color w:val="auto"/>
                <w:sz w:val="21"/>
                <w:highlight w:val="none"/>
              </w:rPr>
            </w:pPr>
          </w:p>
        </w:tc>
        <w:tc>
          <w:tcPr>
            <w:tcW w:w="1376" w:type="dxa"/>
            <w:gridSpan w:val="2"/>
            <w:vAlign w:val="center"/>
          </w:tcPr>
          <w:p w14:paraId="20051B3C">
            <w:pPr>
              <w:pStyle w:val="12"/>
              <w:keepNext w:val="0"/>
              <w:keepLines w:val="0"/>
              <w:pageBreakBefore w:val="0"/>
              <w:widowControl/>
              <w:kinsoku w:val="0"/>
              <w:wordWrap/>
              <w:overflowPunct/>
              <w:topLinePunct w:val="0"/>
              <w:autoSpaceDE w:val="0"/>
              <w:autoSpaceDN w:val="0"/>
              <w:bidi w:val="0"/>
              <w:adjustRightInd w:val="0"/>
              <w:snapToGrid w:val="0"/>
              <w:spacing w:before="78" w:line="400" w:lineRule="exact"/>
              <w:ind w:right="198"/>
              <w:jc w:val="center"/>
              <w:textAlignment w:val="baseline"/>
              <w:rPr>
                <w:rFonts w:hint="default" w:eastAsia="宋体"/>
                <w:color w:val="auto"/>
                <w:spacing w:val="-3"/>
                <w:sz w:val="24"/>
                <w:szCs w:val="24"/>
                <w:highlight w:val="none"/>
                <w:lang w:val="en-US" w:eastAsia="zh-CN"/>
              </w:rPr>
            </w:pPr>
            <w:r>
              <w:rPr>
                <w:color w:val="auto"/>
                <w:spacing w:val="-3"/>
                <w:sz w:val="24"/>
                <w:szCs w:val="24"/>
                <w:highlight w:val="none"/>
              </w:rPr>
              <w:t>应急</w:t>
            </w:r>
            <w:r>
              <w:rPr>
                <w:rFonts w:hint="eastAsia"/>
                <w:color w:val="auto"/>
                <w:spacing w:val="-3"/>
                <w:sz w:val="24"/>
                <w:szCs w:val="24"/>
                <w:highlight w:val="none"/>
                <w:lang w:val="en-US" w:eastAsia="zh-CN"/>
              </w:rPr>
              <w:t>预案</w:t>
            </w:r>
          </w:p>
          <w:p w14:paraId="5D13CA5C">
            <w:pPr>
              <w:pStyle w:val="12"/>
              <w:keepNext w:val="0"/>
              <w:keepLines w:val="0"/>
              <w:pageBreakBefore w:val="0"/>
              <w:widowControl/>
              <w:kinsoku w:val="0"/>
              <w:wordWrap/>
              <w:overflowPunct/>
              <w:topLinePunct w:val="0"/>
              <w:autoSpaceDE w:val="0"/>
              <w:autoSpaceDN w:val="0"/>
              <w:bidi w:val="0"/>
              <w:adjustRightInd w:val="0"/>
              <w:snapToGrid w:val="0"/>
              <w:spacing w:before="78" w:line="400" w:lineRule="exact"/>
              <w:ind w:right="198"/>
              <w:jc w:val="center"/>
              <w:textAlignment w:val="baseline"/>
              <w:rPr>
                <w:color w:val="auto"/>
                <w:sz w:val="24"/>
                <w:szCs w:val="24"/>
                <w:highlight w:val="none"/>
              </w:rPr>
            </w:pPr>
            <w:r>
              <w:rPr>
                <w:color w:val="auto"/>
                <w:spacing w:val="-11"/>
                <w:sz w:val="24"/>
                <w:szCs w:val="24"/>
                <w:highlight w:val="none"/>
              </w:rPr>
              <w:t>（10</w:t>
            </w:r>
            <w:r>
              <w:rPr>
                <w:color w:val="auto"/>
                <w:spacing w:val="-48"/>
                <w:sz w:val="24"/>
                <w:szCs w:val="24"/>
                <w:highlight w:val="none"/>
              </w:rPr>
              <w:t xml:space="preserve"> </w:t>
            </w:r>
            <w:r>
              <w:rPr>
                <w:color w:val="auto"/>
                <w:spacing w:val="-11"/>
                <w:sz w:val="24"/>
                <w:szCs w:val="24"/>
                <w:highlight w:val="none"/>
              </w:rPr>
              <w:t>分）</w:t>
            </w:r>
          </w:p>
        </w:tc>
        <w:tc>
          <w:tcPr>
            <w:tcW w:w="6666" w:type="dxa"/>
            <w:gridSpan w:val="2"/>
            <w:vAlign w:val="top"/>
          </w:tcPr>
          <w:p w14:paraId="4F1CA007">
            <w:pPr>
              <w:pStyle w:val="12"/>
              <w:keepNext w:val="0"/>
              <w:keepLines w:val="0"/>
              <w:pageBreakBefore w:val="0"/>
              <w:widowControl/>
              <w:kinsoku w:val="0"/>
              <w:wordWrap/>
              <w:overflowPunct/>
              <w:topLinePunct w:val="0"/>
              <w:autoSpaceDE w:val="0"/>
              <w:autoSpaceDN w:val="0"/>
              <w:bidi w:val="0"/>
              <w:adjustRightInd w:val="0"/>
              <w:snapToGrid w:val="0"/>
              <w:spacing w:before="167" w:line="400" w:lineRule="exact"/>
              <w:ind w:left="112" w:right="46" w:firstLine="4"/>
              <w:jc w:val="both"/>
              <w:textAlignment w:val="baseline"/>
              <w:rPr>
                <w:color w:val="auto"/>
                <w:sz w:val="24"/>
                <w:szCs w:val="24"/>
                <w:highlight w:val="none"/>
              </w:rPr>
            </w:pPr>
            <w:r>
              <w:rPr>
                <w:color w:val="auto"/>
                <w:spacing w:val="-5"/>
                <w:sz w:val="24"/>
                <w:szCs w:val="24"/>
                <w:highlight w:val="none"/>
              </w:rPr>
              <w:t>投标人针对本项目制定应急预案，包括：①重大活动；②重要节日；</w:t>
            </w:r>
            <w:r>
              <w:rPr>
                <w:color w:val="auto"/>
                <w:sz w:val="24"/>
                <w:szCs w:val="24"/>
                <w:highlight w:val="none"/>
              </w:rPr>
              <w:t xml:space="preserve"> </w:t>
            </w:r>
            <w:r>
              <w:rPr>
                <w:color w:val="auto"/>
                <w:spacing w:val="1"/>
                <w:sz w:val="24"/>
                <w:szCs w:val="24"/>
                <w:highlight w:val="none"/>
              </w:rPr>
              <w:t>③特殊天气；④突发事件（交通事故、撒漏事</w:t>
            </w:r>
            <w:r>
              <w:rPr>
                <w:color w:val="auto"/>
                <w:sz w:val="24"/>
                <w:szCs w:val="24"/>
                <w:highlight w:val="none"/>
              </w:rPr>
              <w:t>故</w:t>
            </w:r>
            <w:r>
              <w:rPr>
                <w:color w:val="auto"/>
                <w:spacing w:val="6"/>
                <w:sz w:val="24"/>
                <w:szCs w:val="24"/>
                <w:highlight w:val="none"/>
              </w:rPr>
              <w:t>）；</w:t>
            </w:r>
            <w:r>
              <w:rPr>
                <w:color w:val="auto"/>
                <w:sz w:val="24"/>
                <w:szCs w:val="24"/>
                <w:highlight w:val="none"/>
              </w:rPr>
              <w:t>⑤重要检查及</w:t>
            </w:r>
            <w:r>
              <w:rPr>
                <w:color w:val="auto"/>
                <w:spacing w:val="-6"/>
                <w:sz w:val="24"/>
                <w:szCs w:val="24"/>
                <w:highlight w:val="none"/>
              </w:rPr>
              <w:t>各级业务主管部门安排的临时性工作。投标人每提供</w:t>
            </w:r>
            <w:r>
              <w:rPr>
                <w:color w:val="auto"/>
                <w:spacing w:val="-7"/>
                <w:sz w:val="24"/>
                <w:szCs w:val="24"/>
                <w:highlight w:val="none"/>
              </w:rPr>
              <w:t>上述</w:t>
            </w:r>
            <w:r>
              <w:rPr>
                <w:color w:val="auto"/>
                <w:spacing w:val="-33"/>
                <w:sz w:val="24"/>
                <w:szCs w:val="24"/>
                <w:highlight w:val="none"/>
              </w:rPr>
              <w:t xml:space="preserve"> </w:t>
            </w:r>
            <w:r>
              <w:rPr>
                <w:color w:val="auto"/>
                <w:spacing w:val="-7"/>
                <w:sz w:val="24"/>
                <w:szCs w:val="24"/>
                <w:highlight w:val="none"/>
              </w:rPr>
              <w:t>1</w:t>
            </w:r>
            <w:r>
              <w:rPr>
                <w:color w:val="auto"/>
                <w:spacing w:val="-47"/>
                <w:sz w:val="24"/>
                <w:szCs w:val="24"/>
                <w:highlight w:val="none"/>
              </w:rPr>
              <w:t xml:space="preserve"> </w:t>
            </w:r>
            <w:r>
              <w:rPr>
                <w:color w:val="auto"/>
                <w:spacing w:val="-7"/>
                <w:sz w:val="24"/>
                <w:szCs w:val="24"/>
                <w:highlight w:val="none"/>
              </w:rPr>
              <w:t>项内容，</w:t>
            </w:r>
            <w:r>
              <w:rPr>
                <w:color w:val="auto"/>
                <w:sz w:val="24"/>
                <w:szCs w:val="24"/>
                <w:highlight w:val="none"/>
              </w:rPr>
              <w:t>内容完整、详细、有针对性的得</w:t>
            </w:r>
            <w:r>
              <w:rPr>
                <w:color w:val="auto"/>
                <w:spacing w:val="-40"/>
                <w:sz w:val="24"/>
                <w:szCs w:val="24"/>
                <w:highlight w:val="none"/>
              </w:rPr>
              <w:t xml:space="preserve"> </w:t>
            </w:r>
            <w:r>
              <w:rPr>
                <w:color w:val="auto"/>
                <w:sz w:val="24"/>
                <w:szCs w:val="24"/>
                <w:highlight w:val="none"/>
              </w:rPr>
              <w:t>2</w:t>
            </w:r>
            <w:bookmarkStart w:id="0" w:name="_GoBack"/>
            <w:bookmarkEnd w:id="0"/>
            <w:r>
              <w:rPr>
                <w:color w:val="auto"/>
                <w:spacing w:val="-48"/>
                <w:sz w:val="24"/>
                <w:szCs w:val="24"/>
                <w:highlight w:val="none"/>
              </w:rPr>
              <w:t xml:space="preserve"> </w:t>
            </w:r>
            <w:r>
              <w:rPr>
                <w:color w:val="auto"/>
                <w:sz w:val="24"/>
                <w:szCs w:val="24"/>
                <w:highlight w:val="none"/>
              </w:rPr>
              <w:t>分，内容仅有简单描述且不缺项</w:t>
            </w:r>
            <w:r>
              <w:rPr>
                <w:color w:val="auto"/>
                <w:spacing w:val="-2"/>
                <w:sz w:val="24"/>
                <w:szCs w:val="24"/>
                <w:highlight w:val="none"/>
              </w:rPr>
              <w:t>的得</w:t>
            </w:r>
            <w:r>
              <w:rPr>
                <w:color w:val="auto"/>
                <w:spacing w:val="-33"/>
                <w:sz w:val="24"/>
                <w:szCs w:val="24"/>
                <w:highlight w:val="none"/>
              </w:rPr>
              <w:t xml:space="preserve"> </w:t>
            </w:r>
            <w:r>
              <w:rPr>
                <w:color w:val="auto"/>
                <w:spacing w:val="-2"/>
                <w:sz w:val="24"/>
                <w:szCs w:val="24"/>
                <w:highlight w:val="none"/>
              </w:rPr>
              <w:t>1.4</w:t>
            </w:r>
            <w:r>
              <w:rPr>
                <w:color w:val="auto"/>
                <w:spacing w:val="-45"/>
                <w:sz w:val="24"/>
                <w:szCs w:val="24"/>
                <w:highlight w:val="none"/>
              </w:rPr>
              <w:t xml:space="preserve"> </w:t>
            </w:r>
            <w:r>
              <w:rPr>
                <w:color w:val="auto"/>
                <w:spacing w:val="-2"/>
                <w:sz w:val="24"/>
                <w:szCs w:val="24"/>
                <w:highlight w:val="none"/>
              </w:rPr>
              <w:t>分；未提供对应项内容或内容不符合</w:t>
            </w:r>
            <w:r>
              <w:rPr>
                <w:color w:val="auto"/>
                <w:spacing w:val="-3"/>
                <w:sz w:val="24"/>
                <w:szCs w:val="24"/>
                <w:highlight w:val="none"/>
              </w:rPr>
              <w:t>该项要求的不得分。</w:t>
            </w:r>
            <w:r>
              <w:rPr>
                <w:color w:val="auto"/>
                <w:spacing w:val="-7"/>
                <w:sz w:val="24"/>
                <w:szCs w:val="24"/>
                <w:highlight w:val="none"/>
              </w:rPr>
              <w:t>本项满分</w:t>
            </w:r>
            <w:r>
              <w:rPr>
                <w:color w:val="auto"/>
                <w:spacing w:val="-28"/>
                <w:sz w:val="24"/>
                <w:szCs w:val="24"/>
                <w:highlight w:val="none"/>
              </w:rPr>
              <w:t xml:space="preserve"> </w:t>
            </w:r>
            <w:r>
              <w:rPr>
                <w:color w:val="auto"/>
                <w:spacing w:val="-7"/>
                <w:sz w:val="24"/>
                <w:szCs w:val="24"/>
                <w:highlight w:val="none"/>
              </w:rPr>
              <w:t>10</w:t>
            </w:r>
            <w:r>
              <w:rPr>
                <w:color w:val="auto"/>
                <w:spacing w:val="-48"/>
                <w:sz w:val="24"/>
                <w:szCs w:val="24"/>
                <w:highlight w:val="none"/>
              </w:rPr>
              <w:t xml:space="preserve"> </w:t>
            </w:r>
            <w:r>
              <w:rPr>
                <w:color w:val="auto"/>
                <w:spacing w:val="-7"/>
                <w:sz w:val="24"/>
                <w:szCs w:val="24"/>
                <w:highlight w:val="none"/>
              </w:rPr>
              <w:t>分。</w:t>
            </w:r>
          </w:p>
        </w:tc>
      </w:tr>
    </w:tbl>
    <w:p w14:paraId="65F10E54">
      <w:pPr>
        <w:pStyle w:val="5"/>
        <w:rPr>
          <w:color w:val="auto"/>
          <w:highlight w:val="none"/>
        </w:rPr>
      </w:pPr>
    </w:p>
    <w:p w14:paraId="6782AAE5">
      <w:pPr>
        <w:spacing w:before="35" w:line="359" w:lineRule="auto"/>
        <w:ind w:left="282" w:right="269" w:firstLine="477"/>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注：评标标准中所涉及的证书及材料不需提供</w:t>
      </w:r>
      <w:r>
        <w:rPr>
          <w:rFonts w:ascii="宋体" w:hAnsi="宋体" w:eastAsia="宋体" w:cs="宋体"/>
          <w:b/>
          <w:bCs/>
          <w:color w:val="auto"/>
          <w:spacing w:val="-4"/>
          <w:sz w:val="24"/>
          <w:szCs w:val="24"/>
          <w:highlight w:val="none"/>
        </w:rPr>
        <w:t>原件，均应在电子响应文件中提供原件扫描件（或图片）。</w:t>
      </w:r>
    </w:p>
    <w:p w14:paraId="1F8D0CE1">
      <w:pPr>
        <w:spacing w:before="131" w:line="219" w:lineRule="auto"/>
        <w:ind w:firstLine="474" w:firstLineChars="200"/>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（6）评标结果汇总完成后，除下列情形外，任何</w:t>
      </w:r>
      <w:r>
        <w:rPr>
          <w:rFonts w:ascii="宋体" w:hAnsi="宋体" w:eastAsia="宋体" w:cs="宋体"/>
          <w:b/>
          <w:bCs/>
          <w:color w:val="auto"/>
          <w:spacing w:val="-3"/>
          <w:sz w:val="24"/>
          <w:szCs w:val="24"/>
          <w:highlight w:val="none"/>
        </w:rPr>
        <w:t>人不得修改评标结果：</w:t>
      </w:r>
    </w:p>
    <w:p w14:paraId="3F4E3902">
      <w:pPr>
        <w:spacing w:before="135" w:line="219" w:lineRule="auto"/>
        <w:ind w:firstLine="468" w:firstLineChars="20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1）分值汇总计算错误的；</w:t>
      </w:r>
    </w:p>
    <w:p w14:paraId="45F8534D">
      <w:pPr>
        <w:spacing w:before="134" w:line="220" w:lineRule="auto"/>
        <w:ind w:firstLine="476" w:firstLineChars="20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2）分项评分超出评分标准范围的；</w:t>
      </w:r>
    </w:p>
    <w:p w14:paraId="2B50F0BD">
      <w:pPr>
        <w:spacing w:before="140" w:line="219" w:lineRule="auto"/>
        <w:ind w:left="48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3）磋商小组成员对客观评审因素评分不一致的；</w:t>
      </w:r>
    </w:p>
    <w:p w14:paraId="38D00E03">
      <w:pPr>
        <w:spacing w:before="135" w:line="219" w:lineRule="auto"/>
        <w:ind w:left="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4）经磋商小组认定评分畸高、畸低的。</w:t>
      </w:r>
    </w:p>
    <w:p w14:paraId="49C03BA0">
      <w:pPr>
        <w:spacing w:before="135" w:line="323" w:lineRule="auto"/>
        <w:ind w:left="7" w:firstLine="473"/>
        <w:jc w:val="both"/>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评标报告签署前，经复核发现存在以上情形之一的，磋商小组应当当场修改评标结果，</w:t>
      </w:r>
      <w:r>
        <w:rPr>
          <w:rFonts w:ascii="宋体" w:hAnsi="宋体" w:eastAsia="宋体" w:cs="宋体"/>
          <w:color w:val="auto"/>
          <w:spacing w:val="-3"/>
          <w:sz w:val="24"/>
          <w:szCs w:val="24"/>
          <w:highlight w:val="none"/>
        </w:rPr>
        <w:t>并在评标报告中记载；评标报告签署后，采购人或者采</w:t>
      </w:r>
      <w:r>
        <w:rPr>
          <w:rFonts w:ascii="宋体" w:hAnsi="宋体" w:eastAsia="宋体" w:cs="宋体"/>
          <w:color w:val="auto"/>
          <w:spacing w:val="-4"/>
          <w:sz w:val="24"/>
          <w:szCs w:val="24"/>
          <w:highlight w:val="none"/>
        </w:rPr>
        <w:t>购代理机构发现存在以上情形之一</w:t>
      </w:r>
      <w:r>
        <w:rPr>
          <w:rFonts w:ascii="宋体" w:hAnsi="宋体" w:eastAsia="宋体" w:cs="宋体"/>
          <w:color w:val="auto"/>
          <w:spacing w:val="-3"/>
          <w:sz w:val="24"/>
          <w:szCs w:val="24"/>
          <w:highlight w:val="none"/>
        </w:rPr>
        <w:t>的，应当组织原磋商小组进行重新评审，重新评审改变</w:t>
      </w:r>
      <w:r>
        <w:rPr>
          <w:rFonts w:ascii="宋体" w:hAnsi="宋体" w:eastAsia="宋体" w:cs="宋体"/>
          <w:color w:val="auto"/>
          <w:spacing w:val="-4"/>
          <w:sz w:val="24"/>
          <w:szCs w:val="24"/>
          <w:highlight w:val="none"/>
        </w:rPr>
        <w:t>评标结果的，书面报告本级财政部</w:t>
      </w:r>
      <w:r>
        <w:rPr>
          <w:rFonts w:ascii="宋体" w:hAnsi="宋体" w:eastAsia="宋体" w:cs="宋体"/>
          <w:color w:val="auto"/>
          <w:spacing w:val="-8"/>
          <w:sz w:val="24"/>
          <w:szCs w:val="24"/>
          <w:highlight w:val="none"/>
        </w:rPr>
        <w:t>门。</w:t>
      </w:r>
    </w:p>
    <w:p w14:paraId="352D8843">
      <w:pPr>
        <w:spacing w:line="323" w:lineRule="auto"/>
        <w:ind w:right="61" w:firstLine="48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供应商对本条第一款情形提出质疑的，采购人或者</w:t>
      </w:r>
      <w:r>
        <w:rPr>
          <w:rFonts w:ascii="宋体" w:hAnsi="宋体" w:eastAsia="宋体" w:cs="宋体"/>
          <w:color w:val="auto"/>
          <w:spacing w:val="-4"/>
          <w:sz w:val="24"/>
          <w:szCs w:val="24"/>
          <w:highlight w:val="none"/>
        </w:rPr>
        <w:t>采购代理机构可以组织原磋商小组</w:t>
      </w:r>
      <w:r>
        <w:rPr>
          <w:rFonts w:ascii="宋体" w:hAnsi="宋体" w:eastAsia="宋体" w:cs="宋体"/>
          <w:color w:val="auto"/>
          <w:sz w:val="24"/>
          <w:szCs w:val="24"/>
          <w:highlight w:val="none"/>
        </w:rPr>
        <w:t>进行重新评审，重新评审改变评标结果的，应当书面</w:t>
      </w:r>
      <w:r>
        <w:rPr>
          <w:rFonts w:ascii="宋体" w:hAnsi="宋体" w:eastAsia="宋体" w:cs="宋体"/>
          <w:color w:val="auto"/>
          <w:spacing w:val="-1"/>
          <w:sz w:val="24"/>
          <w:szCs w:val="24"/>
          <w:highlight w:val="none"/>
        </w:rPr>
        <w:t>报告本级财政部门。</w:t>
      </w:r>
    </w:p>
    <w:p w14:paraId="20648AC2">
      <w:pPr>
        <w:spacing w:line="323" w:lineRule="auto"/>
        <w:ind w:right="61" w:firstLine="492"/>
        <w:rPr>
          <w:rFonts w:ascii="宋体" w:hAnsi="宋体" w:eastAsia="宋体" w:cs="宋体"/>
          <w:color w:val="auto"/>
          <w:sz w:val="24"/>
          <w:szCs w:val="24"/>
          <w:highlight w:val="none"/>
        </w:rPr>
      </w:pPr>
      <w:r>
        <w:rPr>
          <w:rFonts w:ascii="宋体" w:hAnsi="宋体" w:eastAsia="宋体" w:cs="宋体"/>
          <w:b/>
          <w:bCs/>
          <w:color w:val="auto"/>
          <w:sz w:val="24"/>
          <w:szCs w:val="24"/>
          <w:highlight w:val="none"/>
        </w:rPr>
        <w:t>（7）</w:t>
      </w:r>
      <w:r>
        <w:rPr>
          <w:rFonts w:ascii="宋体" w:hAnsi="宋体" w:eastAsia="宋体" w:cs="宋体"/>
          <w:color w:val="auto"/>
          <w:sz w:val="24"/>
          <w:szCs w:val="24"/>
          <w:highlight w:val="none"/>
        </w:rPr>
        <w:t xml:space="preserve"> </w:t>
      </w:r>
      <w:r>
        <w:rPr>
          <w:rFonts w:ascii="宋体" w:hAnsi="宋体" w:eastAsia="宋体" w:cs="宋体"/>
          <w:b/>
          <w:bCs/>
          <w:color w:val="auto"/>
          <w:sz w:val="24"/>
          <w:szCs w:val="24"/>
          <w:highlight w:val="none"/>
        </w:rPr>
        <w:t>按照《关于推进全流程电子化交易和在线监管工作有关问题的通知》（许公</w:t>
      </w:r>
      <w:r>
        <w:rPr>
          <w:rFonts w:ascii="宋体" w:hAnsi="宋体" w:eastAsia="宋体" w:cs="宋体"/>
          <w:b/>
          <w:bCs/>
          <w:color w:val="auto"/>
          <w:spacing w:val="-5"/>
          <w:sz w:val="24"/>
          <w:szCs w:val="24"/>
          <w:highlight w:val="none"/>
        </w:rPr>
        <w:t>管办〔2019〕3</w:t>
      </w:r>
      <w:r>
        <w:rPr>
          <w:rFonts w:ascii="宋体" w:hAnsi="宋体" w:eastAsia="宋体" w:cs="宋体"/>
          <w:color w:val="auto"/>
          <w:spacing w:val="-45"/>
          <w:sz w:val="24"/>
          <w:szCs w:val="24"/>
          <w:highlight w:val="none"/>
        </w:rPr>
        <w:t xml:space="preserve"> </w:t>
      </w:r>
      <w:r>
        <w:rPr>
          <w:rFonts w:ascii="宋体" w:hAnsi="宋体" w:eastAsia="宋体" w:cs="宋体"/>
          <w:b/>
          <w:bCs/>
          <w:color w:val="auto"/>
          <w:spacing w:val="-5"/>
          <w:sz w:val="24"/>
          <w:szCs w:val="24"/>
          <w:highlight w:val="none"/>
        </w:rPr>
        <w:t>号）规定：评标专家应严格按照要求查看“</w:t>
      </w:r>
      <w:r>
        <w:rPr>
          <w:rFonts w:ascii="宋体" w:hAnsi="宋体" w:eastAsia="宋体" w:cs="宋体"/>
          <w:b/>
          <w:bCs/>
          <w:color w:val="auto"/>
          <w:spacing w:val="-6"/>
          <w:sz w:val="24"/>
          <w:szCs w:val="24"/>
          <w:highlight w:val="none"/>
        </w:rPr>
        <w:t>硬件特征码</w:t>
      </w:r>
      <w:r>
        <w:rPr>
          <w:rFonts w:ascii="宋体" w:hAnsi="宋体" w:eastAsia="宋体" w:cs="宋体"/>
          <w:color w:val="auto"/>
          <w:spacing w:val="-88"/>
          <w:sz w:val="24"/>
          <w:szCs w:val="24"/>
          <w:highlight w:val="none"/>
        </w:rPr>
        <w:t xml:space="preserve"> </w:t>
      </w:r>
      <w:r>
        <w:rPr>
          <w:rFonts w:ascii="宋体" w:hAnsi="宋体" w:eastAsia="宋体" w:cs="宋体"/>
          <w:b/>
          <w:bCs/>
          <w:color w:val="auto"/>
          <w:spacing w:val="-6"/>
          <w:sz w:val="24"/>
          <w:szCs w:val="24"/>
          <w:highlight w:val="none"/>
        </w:rPr>
        <w:t>”相关信息并进行</w:t>
      </w:r>
      <w:r>
        <w:rPr>
          <w:rFonts w:ascii="宋体" w:hAnsi="宋体" w:eastAsia="宋体" w:cs="宋体"/>
          <w:b/>
          <w:bCs/>
          <w:color w:val="auto"/>
          <w:spacing w:val="-1"/>
          <w:sz w:val="24"/>
          <w:szCs w:val="24"/>
          <w:highlight w:val="none"/>
        </w:rPr>
        <w:t>评审，在评审报告中显示“不同供应商电子响应文件制作硬件特征码</w:t>
      </w:r>
      <w:r>
        <w:rPr>
          <w:rFonts w:ascii="宋体" w:hAnsi="宋体" w:eastAsia="宋体" w:cs="宋体"/>
          <w:color w:val="auto"/>
          <w:spacing w:val="-65"/>
          <w:sz w:val="24"/>
          <w:szCs w:val="24"/>
          <w:highlight w:val="none"/>
        </w:rPr>
        <w:t xml:space="preserve"> </w:t>
      </w:r>
      <w:r>
        <w:rPr>
          <w:rFonts w:ascii="宋体" w:hAnsi="宋体" w:eastAsia="宋体" w:cs="宋体"/>
          <w:b/>
          <w:bCs/>
          <w:color w:val="auto"/>
          <w:spacing w:val="-1"/>
          <w:sz w:val="24"/>
          <w:szCs w:val="24"/>
          <w:highlight w:val="none"/>
        </w:rPr>
        <w:t>”是否雷同的分析</w:t>
      </w:r>
      <w:r>
        <w:rPr>
          <w:rFonts w:ascii="宋体" w:hAnsi="宋体" w:eastAsia="宋体" w:cs="宋体"/>
          <w:b/>
          <w:bCs/>
          <w:color w:val="auto"/>
          <w:spacing w:val="-4"/>
          <w:sz w:val="24"/>
          <w:szCs w:val="24"/>
          <w:highlight w:val="none"/>
        </w:rPr>
        <w:t>及判定结果。</w:t>
      </w:r>
    </w:p>
    <w:p w14:paraId="78D55B75">
      <w:pPr>
        <w:spacing w:line="218" w:lineRule="auto"/>
        <w:ind w:left="493"/>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（8）推荐成交候选供应商</w:t>
      </w:r>
    </w:p>
    <w:p w14:paraId="1C740763">
      <w:pPr>
        <w:spacing w:before="136" w:line="323" w:lineRule="auto"/>
        <w:ind w:left="1" w:right="61" w:firstLine="479"/>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磋商小组应当根据综合评分情况，按照评审得分由高到低顺序推荐</w:t>
      </w:r>
      <w:r>
        <w:rPr>
          <w:rFonts w:ascii="宋体" w:hAnsi="宋体" w:eastAsia="宋体" w:cs="宋体"/>
          <w:color w:val="auto"/>
          <w:spacing w:val="-45"/>
          <w:sz w:val="24"/>
          <w:szCs w:val="24"/>
          <w:highlight w:val="none"/>
        </w:rPr>
        <w:t xml:space="preserve"> </w:t>
      </w:r>
      <w:r>
        <w:rPr>
          <w:rFonts w:ascii="宋体" w:hAnsi="宋体" w:eastAsia="宋体" w:cs="宋体"/>
          <w:color w:val="auto"/>
          <w:spacing w:val="-4"/>
          <w:sz w:val="24"/>
          <w:szCs w:val="24"/>
          <w:highlight w:val="none"/>
        </w:rPr>
        <w:t>3</w:t>
      </w:r>
      <w:r>
        <w:rPr>
          <w:rFonts w:ascii="宋体" w:hAnsi="宋体" w:eastAsia="宋体" w:cs="宋体"/>
          <w:color w:val="auto"/>
          <w:spacing w:val="-48"/>
          <w:sz w:val="24"/>
          <w:szCs w:val="24"/>
          <w:highlight w:val="none"/>
        </w:rPr>
        <w:t xml:space="preserve"> </w:t>
      </w:r>
      <w:r>
        <w:rPr>
          <w:rFonts w:ascii="宋体" w:hAnsi="宋体" w:eastAsia="宋体" w:cs="宋体"/>
          <w:color w:val="auto"/>
          <w:spacing w:val="-4"/>
          <w:sz w:val="24"/>
          <w:szCs w:val="24"/>
          <w:highlight w:val="none"/>
        </w:rPr>
        <w:t>名以上</w:t>
      </w:r>
      <w:r>
        <w:rPr>
          <w:rFonts w:ascii="宋体" w:hAnsi="宋体" w:eastAsia="宋体" w:cs="宋体"/>
          <w:color w:val="auto"/>
          <w:spacing w:val="-5"/>
          <w:sz w:val="24"/>
          <w:szCs w:val="24"/>
          <w:highlight w:val="none"/>
        </w:rPr>
        <w:t>成交候选</w:t>
      </w:r>
      <w:r>
        <w:rPr>
          <w:rFonts w:ascii="宋体" w:hAnsi="宋体" w:eastAsia="宋体" w:cs="宋体"/>
          <w:color w:val="auto"/>
          <w:spacing w:val="-3"/>
          <w:sz w:val="24"/>
          <w:szCs w:val="24"/>
          <w:highlight w:val="none"/>
        </w:rPr>
        <w:t>供应商，并编写评审报告。符合《政府采购竞争性磋商采购方式管理</w:t>
      </w:r>
      <w:r>
        <w:rPr>
          <w:rFonts w:ascii="宋体" w:hAnsi="宋体" w:eastAsia="宋体" w:cs="宋体"/>
          <w:color w:val="auto"/>
          <w:spacing w:val="-4"/>
          <w:sz w:val="24"/>
          <w:szCs w:val="24"/>
          <w:highlight w:val="none"/>
        </w:rPr>
        <w:t>暂行办法》【（财库</w:t>
      </w:r>
      <w:r>
        <w:rPr>
          <w:rFonts w:ascii="宋体" w:hAnsi="宋体" w:eastAsia="宋体" w:cs="宋体"/>
          <w:color w:val="auto"/>
          <w:spacing w:val="-2"/>
          <w:sz w:val="24"/>
          <w:szCs w:val="24"/>
          <w:highlight w:val="none"/>
        </w:rPr>
        <w:t>2014）214</w:t>
      </w:r>
      <w:r>
        <w:rPr>
          <w:rFonts w:ascii="宋体" w:hAnsi="宋体" w:eastAsia="宋体" w:cs="宋体"/>
          <w:color w:val="auto"/>
          <w:spacing w:val="-45"/>
          <w:sz w:val="24"/>
          <w:szCs w:val="24"/>
          <w:highlight w:val="none"/>
        </w:rPr>
        <w:t xml:space="preserve"> </w:t>
      </w:r>
      <w:r>
        <w:rPr>
          <w:rFonts w:ascii="宋体" w:hAnsi="宋体" w:eastAsia="宋体" w:cs="宋体"/>
          <w:color w:val="auto"/>
          <w:spacing w:val="-2"/>
          <w:sz w:val="24"/>
          <w:szCs w:val="24"/>
          <w:highlight w:val="none"/>
        </w:rPr>
        <w:t>号】第二十一条第三款情形的</w:t>
      </w:r>
      <w:r>
        <w:rPr>
          <w:rFonts w:ascii="宋体" w:hAnsi="宋体" w:eastAsia="宋体" w:cs="宋体"/>
          <w:color w:val="auto"/>
          <w:spacing w:val="-3"/>
          <w:sz w:val="24"/>
          <w:szCs w:val="24"/>
          <w:highlight w:val="none"/>
        </w:rPr>
        <w:t>，可以推荐</w:t>
      </w:r>
      <w:r>
        <w:rPr>
          <w:rFonts w:ascii="宋体" w:hAnsi="宋体" w:eastAsia="宋体" w:cs="宋体"/>
          <w:color w:val="auto"/>
          <w:spacing w:val="-47"/>
          <w:sz w:val="24"/>
          <w:szCs w:val="24"/>
          <w:highlight w:val="none"/>
        </w:rPr>
        <w:t xml:space="preserve"> </w:t>
      </w:r>
      <w:r>
        <w:rPr>
          <w:rFonts w:ascii="宋体" w:hAnsi="宋体" w:eastAsia="宋体" w:cs="宋体"/>
          <w:color w:val="auto"/>
          <w:spacing w:val="-3"/>
          <w:sz w:val="24"/>
          <w:szCs w:val="24"/>
          <w:highlight w:val="none"/>
        </w:rPr>
        <w:t>2</w:t>
      </w:r>
      <w:r>
        <w:rPr>
          <w:rFonts w:ascii="宋体" w:hAnsi="宋体" w:eastAsia="宋体" w:cs="宋体"/>
          <w:color w:val="auto"/>
          <w:spacing w:val="-49"/>
          <w:sz w:val="24"/>
          <w:szCs w:val="24"/>
          <w:highlight w:val="none"/>
        </w:rPr>
        <w:t xml:space="preserve"> </w:t>
      </w:r>
      <w:r>
        <w:rPr>
          <w:rFonts w:ascii="宋体" w:hAnsi="宋体" w:eastAsia="宋体" w:cs="宋体"/>
          <w:color w:val="auto"/>
          <w:spacing w:val="-3"/>
          <w:sz w:val="24"/>
          <w:szCs w:val="24"/>
          <w:highlight w:val="none"/>
        </w:rPr>
        <w:t>家成交候选供应商。评审得分相同的，按照最后报价由低到高的顺序推荐。评审得分且最后报价相同的</w:t>
      </w:r>
      <w:r>
        <w:rPr>
          <w:rFonts w:ascii="宋体" w:hAnsi="宋体" w:eastAsia="宋体" w:cs="宋体"/>
          <w:color w:val="auto"/>
          <w:spacing w:val="-4"/>
          <w:sz w:val="24"/>
          <w:szCs w:val="24"/>
          <w:highlight w:val="none"/>
        </w:rPr>
        <w:t>，按照技术指标优劣</w:t>
      </w:r>
      <w:r>
        <w:rPr>
          <w:rFonts w:ascii="宋体" w:hAnsi="宋体" w:eastAsia="宋体" w:cs="宋体"/>
          <w:color w:val="auto"/>
          <w:spacing w:val="-2"/>
          <w:sz w:val="24"/>
          <w:szCs w:val="24"/>
          <w:highlight w:val="none"/>
        </w:rPr>
        <w:t>顺序推荐。</w:t>
      </w:r>
    </w:p>
    <w:p w14:paraId="33C5EEF9">
      <w:pPr>
        <w:spacing w:line="219" w:lineRule="auto"/>
        <w:ind w:left="493"/>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（9）磋商小组争议处理</w:t>
      </w:r>
    </w:p>
    <w:p w14:paraId="0BEBC175">
      <w:pPr>
        <w:spacing w:before="136" w:line="323" w:lineRule="auto"/>
        <w:ind w:right="61" w:firstLine="48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评审报告应当由磋商小组全体人员签字认可。磋商小</w:t>
      </w:r>
      <w:r>
        <w:rPr>
          <w:rFonts w:ascii="宋体" w:hAnsi="宋体" w:eastAsia="宋体" w:cs="宋体"/>
          <w:color w:val="auto"/>
          <w:spacing w:val="-4"/>
          <w:sz w:val="24"/>
          <w:szCs w:val="24"/>
          <w:highlight w:val="none"/>
        </w:rPr>
        <w:t>组成员对评审报告有异议的，磋</w:t>
      </w:r>
      <w:r>
        <w:rPr>
          <w:rFonts w:ascii="宋体" w:hAnsi="宋体" w:eastAsia="宋体" w:cs="宋体"/>
          <w:color w:val="auto"/>
          <w:spacing w:val="-3"/>
          <w:sz w:val="24"/>
          <w:szCs w:val="24"/>
          <w:highlight w:val="none"/>
        </w:rPr>
        <w:t>商小组按照少数服从多数的原则推荐成交候选供应商，采购程序继续进行</w:t>
      </w:r>
      <w:r>
        <w:rPr>
          <w:rFonts w:ascii="宋体" w:hAnsi="宋体" w:eastAsia="宋体" w:cs="宋体"/>
          <w:color w:val="auto"/>
          <w:spacing w:val="-4"/>
          <w:sz w:val="24"/>
          <w:szCs w:val="24"/>
          <w:highlight w:val="none"/>
        </w:rPr>
        <w:t>。对评审报告有</w:t>
      </w:r>
      <w:r>
        <w:rPr>
          <w:rFonts w:ascii="宋体" w:hAnsi="宋体" w:eastAsia="宋体" w:cs="宋体"/>
          <w:color w:val="auto"/>
          <w:spacing w:val="-3"/>
          <w:sz w:val="24"/>
          <w:szCs w:val="24"/>
          <w:highlight w:val="none"/>
        </w:rPr>
        <w:t>异议的磋商小组成员，应当在报告上签署不同意见并说明理由，由磋商小</w:t>
      </w:r>
      <w:r>
        <w:rPr>
          <w:rFonts w:ascii="宋体" w:hAnsi="宋体" w:eastAsia="宋体" w:cs="宋体"/>
          <w:color w:val="auto"/>
          <w:spacing w:val="-4"/>
          <w:sz w:val="24"/>
          <w:szCs w:val="24"/>
          <w:highlight w:val="none"/>
        </w:rPr>
        <w:t>组书面记录相关</w:t>
      </w:r>
      <w:r>
        <w:rPr>
          <w:rFonts w:ascii="宋体" w:hAnsi="宋体" w:eastAsia="宋体" w:cs="宋体"/>
          <w:color w:val="auto"/>
          <w:spacing w:val="-3"/>
          <w:sz w:val="24"/>
          <w:szCs w:val="24"/>
          <w:highlight w:val="none"/>
        </w:rPr>
        <w:t>情况。磋商小组成员拒绝在报告上签字又不书面说明其不同意见和理由的</w:t>
      </w:r>
      <w:r>
        <w:rPr>
          <w:rFonts w:ascii="宋体" w:hAnsi="宋体" w:eastAsia="宋体" w:cs="宋体"/>
          <w:color w:val="auto"/>
          <w:spacing w:val="-4"/>
          <w:sz w:val="24"/>
          <w:szCs w:val="24"/>
          <w:highlight w:val="none"/>
        </w:rPr>
        <w:t>，视为同意评审</w:t>
      </w:r>
      <w:r>
        <w:rPr>
          <w:rFonts w:ascii="宋体" w:hAnsi="宋体" w:eastAsia="宋体" w:cs="宋体"/>
          <w:color w:val="auto"/>
          <w:spacing w:val="-3"/>
          <w:sz w:val="24"/>
          <w:szCs w:val="24"/>
          <w:highlight w:val="none"/>
        </w:rPr>
        <w:t>报告。</w:t>
      </w:r>
    </w:p>
    <w:p w14:paraId="641BB76D">
      <w:pPr>
        <w:numPr>
          <w:ilvl w:val="0"/>
          <w:numId w:val="2"/>
        </w:numPr>
        <w:spacing w:line="360" w:lineRule="auto"/>
        <w:ind w:left="486"/>
        <w:rPr>
          <w:rFonts w:ascii="宋体" w:hAnsi="宋体" w:eastAsia="宋体" w:cs="宋体"/>
          <w:b/>
          <w:bCs/>
          <w:color w:val="auto"/>
          <w:spacing w:val="-1"/>
          <w:sz w:val="24"/>
          <w:szCs w:val="24"/>
          <w:highlight w:val="none"/>
        </w:rPr>
      </w:pPr>
      <w:r>
        <w:rPr>
          <w:rFonts w:ascii="宋体" w:hAnsi="宋体" w:eastAsia="宋体" w:cs="宋体"/>
          <w:b/>
          <w:bCs/>
          <w:color w:val="auto"/>
          <w:spacing w:val="-2"/>
          <w:sz w:val="24"/>
          <w:szCs w:val="24"/>
          <w:highlight w:val="none"/>
        </w:rPr>
        <w:t>确定中标候选人名单，以及根据采购人委托直</w:t>
      </w:r>
      <w:r>
        <w:rPr>
          <w:rFonts w:ascii="宋体" w:hAnsi="宋体" w:eastAsia="宋体" w:cs="宋体"/>
          <w:b/>
          <w:bCs/>
          <w:color w:val="auto"/>
          <w:spacing w:val="-3"/>
          <w:sz w:val="24"/>
          <w:szCs w:val="24"/>
          <w:highlight w:val="none"/>
        </w:rPr>
        <w:t>接确定中标人。</w:t>
      </w:r>
      <w:r>
        <w:rPr>
          <w:rFonts w:ascii="宋体" w:hAnsi="宋体" w:eastAsia="宋体" w:cs="宋体"/>
          <w:b/>
          <w:bCs/>
          <w:color w:val="auto"/>
          <w:sz w:val="24"/>
          <w:szCs w:val="24"/>
          <w:highlight w:val="none"/>
        </w:rPr>
        <w:t>评</w:t>
      </w:r>
      <w:r>
        <w:rPr>
          <w:rFonts w:ascii="宋体" w:hAnsi="宋体" w:eastAsia="宋体" w:cs="宋体"/>
          <w:b/>
          <w:bCs/>
          <w:color w:val="auto"/>
          <w:spacing w:val="-1"/>
          <w:sz w:val="24"/>
          <w:szCs w:val="24"/>
          <w:highlight w:val="none"/>
        </w:rPr>
        <w:t>标委员会按照得</w:t>
      </w:r>
    </w:p>
    <w:p w14:paraId="1AAD499F">
      <w:pPr>
        <w:numPr>
          <w:ilvl w:val="0"/>
          <w:numId w:val="0"/>
        </w:numPr>
        <w:spacing w:line="360" w:lineRule="auto"/>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分由高到低的顺序推荐</w:t>
      </w:r>
      <w:r>
        <w:rPr>
          <w:rFonts w:ascii="宋体" w:hAnsi="宋体" w:eastAsia="宋体" w:cs="宋体"/>
          <w:color w:val="auto"/>
          <w:spacing w:val="-45"/>
          <w:sz w:val="24"/>
          <w:szCs w:val="24"/>
          <w:highlight w:val="none"/>
        </w:rPr>
        <w:t xml:space="preserve"> </w:t>
      </w:r>
      <w:r>
        <w:rPr>
          <w:rFonts w:ascii="宋体" w:hAnsi="宋体" w:eastAsia="宋体" w:cs="宋体"/>
          <w:b/>
          <w:bCs/>
          <w:color w:val="auto"/>
          <w:spacing w:val="-4"/>
          <w:sz w:val="24"/>
          <w:szCs w:val="24"/>
          <w:highlight w:val="none"/>
        </w:rPr>
        <w:t>3</w:t>
      </w:r>
      <w:r>
        <w:rPr>
          <w:rFonts w:ascii="宋体" w:hAnsi="宋体" w:eastAsia="宋体" w:cs="宋体"/>
          <w:color w:val="auto"/>
          <w:spacing w:val="-48"/>
          <w:sz w:val="24"/>
          <w:szCs w:val="24"/>
          <w:highlight w:val="none"/>
        </w:rPr>
        <w:t xml:space="preserve"> </w:t>
      </w:r>
      <w:r>
        <w:rPr>
          <w:rFonts w:ascii="宋体" w:hAnsi="宋体" w:eastAsia="宋体" w:cs="宋体"/>
          <w:b/>
          <w:bCs/>
          <w:color w:val="auto"/>
          <w:spacing w:val="-4"/>
          <w:sz w:val="24"/>
          <w:szCs w:val="24"/>
          <w:highlight w:val="none"/>
        </w:rPr>
        <w:t>名中标候选人。</w:t>
      </w:r>
    </w:p>
    <w:p w14:paraId="4B836FE4">
      <w:pPr>
        <w:spacing w:line="218" w:lineRule="auto"/>
        <w:rPr>
          <w:rFonts w:ascii="宋体" w:hAnsi="宋体" w:eastAsia="宋体" w:cs="宋体"/>
          <w:color w:val="auto"/>
          <w:sz w:val="24"/>
          <w:szCs w:val="24"/>
          <w:highlight w:val="none"/>
        </w:rPr>
        <w:sectPr>
          <w:footerReference r:id="rId39" w:type="default"/>
          <w:pgSz w:w="11906" w:h="16839"/>
          <w:pgMar w:top="1431" w:right="1013" w:bottom="1443" w:left="1593" w:header="0" w:footer="1202" w:gutter="0"/>
          <w:pgNumType w:fmt="decimal"/>
          <w:cols w:space="720" w:num="1"/>
        </w:sectPr>
      </w:pPr>
    </w:p>
    <w:p w14:paraId="5BD0C110">
      <w:pPr>
        <w:spacing w:before="139" w:line="224" w:lineRule="auto"/>
        <w:ind w:left="2653"/>
        <w:rPr>
          <w:rFonts w:ascii="宋体" w:hAnsi="宋体" w:eastAsia="宋体" w:cs="宋体"/>
          <w:color w:val="auto"/>
          <w:sz w:val="35"/>
          <w:szCs w:val="35"/>
          <w:highlight w:val="none"/>
        </w:rPr>
      </w:pPr>
      <w:r>
        <w:rPr>
          <w:rFonts w:ascii="宋体" w:hAnsi="宋体" w:eastAsia="宋体" w:cs="宋体"/>
          <w:b/>
          <w:bCs/>
          <w:color w:val="auto"/>
          <w:spacing w:val="6"/>
          <w:sz w:val="35"/>
          <w:szCs w:val="35"/>
          <w:highlight w:val="none"/>
        </w:rPr>
        <w:t>第七章</w:t>
      </w:r>
      <w:r>
        <w:rPr>
          <w:rFonts w:ascii="宋体" w:hAnsi="宋体" w:eastAsia="宋体" w:cs="宋体"/>
          <w:color w:val="auto"/>
          <w:spacing w:val="6"/>
          <w:sz w:val="35"/>
          <w:szCs w:val="35"/>
          <w:highlight w:val="none"/>
        </w:rPr>
        <w:t xml:space="preserve">   </w:t>
      </w:r>
      <w:r>
        <w:rPr>
          <w:rFonts w:ascii="宋体" w:hAnsi="宋体" w:eastAsia="宋体" w:cs="宋体"/>
          <w:b/>
          <w:bCs/>
          <w:color w:val="auto"/>
          <w:spacing w:val="6"/>
          <w:sz w:val="35"/>
          <w:szCs w:val="35"/>
          <w:highlight w:val="none"/>
        </w:rPr>
        <w:t>合同条款及格式</w:t>
      </w:r>
    </w:p>
    <w:p w14:paraId="66A9A646">
      <w:pPr>
        <w:pStyle w:val="5"/>
        <w:spacing w:line="284" w:lineRule="auto"/>
        <w:rPr>
          <w:color w:val="auto"/>
          <w:highlight w:val="none"/>
        </w:rPr>
      </w:pPr>
    </w:p>
    <w:p w14:paraId="08CC98C5">
      <w:pPr>
        <w:spacing w:before="78" w:line="219" w:lineRule="auto"/>
        <w:jc w:val="right"/>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（以下合同格式仅供参考，以最终采购人与中标人签订的合同条款为准进行公示，最</w:t>
      </w:r>
    </w:p>
    <w:p w14:paraId="15591EC9">
      <w:pPr>
        <w:spacing w:before="184" w:line="219" w:lineRule="auto"/>
        <w:ind w:left="1786"/>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终签订合同的主要条款不能与招标文件有冲突。）</w:t>
      </w:r>
    </w:p>
    <w:p w14:paraId="4B9E5D70">
      <w:pPr>
        <w:pStyle w:val="5"/>
        <w:spacing w:line="284" w:lineRule="auto"/>
        <w:rPr>
          <w:color w:val="auto"/>
          <w:highlight w:val="none"/>
        </w:rPr>
      </w:pPr>
    </w:p>
    <w:p w14:paraId="1B6BCF57">
      <w:pPr>
        <w:pStyle w:val="5"/>
        <w:spacing w:line="284" w:lineRule="auto"/>
        <w:rPr>
          <w:color w:val="auto"/>
          <w:highlight w:val="none"/>
        </w:rPr>
      </w:pPr>
    </w:p>
    <w:p w14:paraId="25FE6BA4">
      <w:pPr>
        <w:spacing w:before="78" w:line="219" w:lineRule="auto"/>
        <w:ind w:left="5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甲方</w:t>
      </w:r>
      <w:r>
        <w:rPr>
          <w:rFonts w:ascii="宋体" w:hAnsi="宋体" w:eastAsia="宋体" w:cs="宋体"/>
          <w:color w:val="auto"/>
          <w:spacing w:val="-17"/>
          <w:sz w:val="24"/>
          <w:szCs w:val="24"/>
          <w:highlight w:val="none"/>
        </w:rPr>
        <w:t>：（</w:t>
      </w:r>
      <w:r>
        <w:rPr>
          <w:rFonts w:ascii="宋体" w:hAnsi="宋体" w:eastAsia="宋体" w:cs="宋体"/>
          <w:color w:val="auto"/>
          <w:spacing w:val="-1"/>
          <w:sz w:val="24"/>
          <w:szCs w:val="24"/>
          <w:highlight w:val="none"/>
        </w:rPr>
        <w:t>采购人全称）</w:t>
      </w:r>
    </w:p>
    <w:p w14:paraId="26E05E6E">
      <w:pPr>
        <w:spacing w:before="184" w:line="220" w:lineRule="auto"/>
        <w:ind w:left="46"/>
        <w:rPr>
          <w:rFonts w:ascii="宋体" w:hAnsi="宋体" w:eastAsia="宋体" w:cs="宋体"/>
          <w:color w:val="auto"/>
          <w:sz w:val="24"/>
          <w:szCs w:val="24"/>
          <w:highlight w:val="none"/>
        </w:rPr>
      </w:pPr>
      <w:r>
        <w:rPr>
          <w:rFonts w:ascii="宋体" w:hAnsi="宋体" w:eastAsia="宋体" w:cs="宋体"/>
          <w:color w:val="auto"/>
          <w:sz w:val="24"/>
          <w:szCs w:val="24"/>
          <w:highlight w:val="none"/>
        </w:rPr>
        <w:t>乙方</w:t>
      </w:r>
      <w:r>
        <w:rPr>
          <w:rFonts w:ascii="宋体" w:hAnsi="宋体" w:eastAsia="宋体" w:cs="宋体"/>
          <w:color w:val="auto"/>
          <w:spacing w:val="-17"/>
          <w:sz w:val="24"/>
          <w:szCs w:val="24"/>
          <w:highlight w:val="none"/>
        </w:rPr>
        <w:t>：（</w:t>
      </w:r>
      <w:r>
        <w:rPr>
          <w:rFonts w:ascii="宋体" w:hAnsi="宋体" w:eastAsia="宋体" w:cs="宋体"/>
          <w:color w:val="auto"/>
          <w:sz w:val="24"/>
          <w:szCs w:val="24"/>
          <w:highlight w:val="none"/>
        </w:rPr>
        <w:t>中标人全称）</w:t>
      </w:r>
    </w:p>
    <w:p w14:paraId="469C791C">
      <w:pPr>
        <w:spacing w:before="182" w:line="360" w:lineRule="auto"/>
        <w:ind w:left="29" w:firstLine="474"/>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根据招标编号为的（填写“项目名称</w:t>
      </w:r>
      <w:r>
        <w:rPr>
          <w:rFonts w:ascii="宋体" w:hAnsi="宋体" w:eastAsia="宋体" w:cs="宋体"/>
          <w:color w:val="auto"/>
          <w:spacing w:val="-83"/>
          <w:sz w:val="24"/>
          <w:szCs w:val="24"/>
          <w:highlight w:val="none"/>
        </w:rPr>
        <w:t xml:space="preserve"> </w:t>
      </w:r>
      <w:r>
        <w:rPr>
          <w:rFonts w:ascii="宋体" w:hAnsi="宋体" w:eastAsia="宋体" w:cs="宋体"/>
          <w:color w:val="auto"/>
          <w:spacing w:val="-4"/>
          <w:sz w:val="24"/>
          <w:szCs w:val="24"/>
          <w:highlight w:val="none"/>
        </w:rPr>
        <w:t>”）项目（以下简称：“本项目</w:t>
      </w:r>
      <w:r>
        <w:rPr>
          <w:rFonts w:ascii="宋体" w:hAnsi="宋体" w:eastAsia="宋体" w:cs="宋体"/>
          <w:color w:val="auto"/>
          <w:spacing w:val="-88"/>
          <w:sz w:val="24"/>
          <w:szCs w:val="24"/>
          <w:highlight w:val="none"/>
        </w:rPr>
        <w:t xml:space="preserve"> </w:t>
      </w:r>
      <w:r>
        <w:rPr>
          <w:rFonts w:ascii="宋体" w:hAnsi="宋体" w:eastAsia="宋体" w:cs="宋体"/>
          <w:color w:val="auto"/>
          <w:spacing w:val="-4"/>
          <w:sz w:val="24"/>
          <w:szCs w:val="24"/>
          <w:highlight w:val="none"/>
        </w:rPr>
        <w:t>”）的招标</w:t>
      </w:r>
      <w:r>
        <w:rPr>
          <w:rFonts w:ascii="宋体" w:hAnsi="宋体" w:eastAsia="宋体" w:cs="宋体"/>
          <w:color w:val="auto"/>
          <w:spacing w:val="-2"/>
          <w:sz w:val="24"/>
          <w:szCs w:val="24"/>
          <w:highlight w:val="none"/>
        </w:rPr>
        <w:t>结果，乙方为中标人。现经甲乙双方友好协商，就以下事项达成一致并签订本</w:t>
      </w:r>
      <w:r>
        <w:rPr>
          <w:rFonts w:ascii="宋体" w:hAnsi="宋体" w:eastAsia="宋体" w:cs="宋体"/>
          <w:color w:val="auto"/>
          <w:spacing w:val="-3"/>
          <w:sz w:val="24"/>
          <w:szCs w:val="24"/>
          <w:highlight w:val="none"/>
        </w:rPr>
        <w:t>合同：</w:t>
      </w:r>
    </w:p>
    <w:p w14:paraId="37C50D98">
      <w:pPr>
        <w:spacing w:line="218" w:lineRule="auto"/>
        <w:ind w:left="52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1、下列合同文件是构成本合同不可分割的部分：</w:t>
      </w:r>
    </w:p>
    <w:p w14:paraId="30F75918">
      <w:pPr>
        <w:spacing w:before="185" w:line="219" w:lineRule="auto"/>
        <w:ind w:left="521"/>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1.1</w:t>
      </w:r>
      <w:r>
        <w:rPr>
          <w:rFonts w:ascii="宋体" w:hAnsi="宋体" w:eastAsia="宋体" w:cs="宋体"/>
          <w:color w:val="auto"/>
          <w:spacing w:val="-49"/>
          <w:sz w:val="24"/>
          <w:szCs w:val="24"/>
          <w:highlight w:val="none"/>
        </w:rPr>
        <w:t xml:space="preserve"> </w:t>
      </w:r>
      <w:r>
        <w:rPr>
          <w:rFonts w:ascii="宋体" w:hAnsi="宋体" w:eastAsia="宋体" w:cs="宋体"/>
          <w:color w:val="auto"/>
          <w:spacing w:val="-5"/>
          <w:sz w:val="24"/>
          <w:szCs w:val="24"/>
          <w:highlight w:val="none"/>
        </w:rPr>
        <w:t>合同条款；</w:t>
      </w:r>
    </w:p>
    <w:p w14:paraId="6AEE1A12">
      <w:pPr>
        <w:spacing w:before="183" w:line="219" w:lineRule="auto"/>
        <w:ind w:left="52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1.2</w:t>
      </w:r>
      <w:r>
        <w:rPr>
          <w:rFonts w:ascii="宋体" w:hAnsi="宋体" w:eastAsia="宋体" w:cs="宋体"/>
          <w:color w:val="auto"/>
          <w:spacing w:val="-41"/>
          <w:sz w:val="24"/>
          <w:szCs w:val="24"/>
          <w:highlight w:val="none"/>
        </w:rPr>
        <w:t xml:space="preserve"> </w:t>
      </w:r>
      <w:r>
        <w:rPr>
          <w:rFonts w:ascii="宋体" w:hAnsi="宋体" w:eastAsia="宋体" w:cs="宋体"/>
          <w:color w:val="auto"/>
          <w:spacing w:val="-3"/>
          <w:sz w:val="24"/>
          <w:szCs w:val="24"/>
          <w:highlight w:val="none"/>
        </w:rPr>
        <w:t>招标文件、乙方的投标文件；</w:t>
      </w:r>
    </w:p>
    <w:p w14:paraId="50D6F6B5">
      <w:pPr>
        <w:spacing w:before="182" w:line="219" w:lineRule="auto"/>
        <w:ind w:left="52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1.3</w:t>
      </w:r>
      <w:r>
        <w:rPr>
          <w:rFonts w:ascii="宋体" w:hAnsi="宋体" w:eastAsia="宋体" w:cs="宋体"/>
          <w:color w:val="auto"/>
          <w:spacing w:val="-49"/>
          <w:sz w:val="24"/>
          <w:szCs w:val="24"/>
          <w:highlight w:val="none"/>
        </w:rPr>
        <w:t xml:space="preserve"> </w:t>
      </w:r>
      <w:r>
        <w:rPr>
          <w:rFonts w:ascii="宋体" w:hAnsi="宋体" w:eastAsia="宋体" w:cs="宋体"/>
          <w:color w:val="auto"/>
          <w:spacing w:val="-3"/>
          <w:sz w:val="24"/>
          <w:szCs w:val="24"/>
          <w:highlight w:val="none"/>
        </w:rPr>
        <w:t>其他文件或材料：</w:t>
      </w:r>
      <w:r>
        <w:rPr>
          <w:rFonts w:ascii="宋体" w:hAnsi="宋体" w:eastAsia="宋体" w:cs="宋体"/>
          <w:color w:val="auto"/>
          <w:spacing w:val="-87"/>
          <w:sz w:val="24"/>
          <w:szCs w:val="24"/>
          <w:highlight w:val="none"/>
        </w:rPr>
        <w:t xml:space="preserve"> </w:t>
      </w:r>
      <w:r>
        <w:rPr>
          <w:rFonts w:ascii="宋体" w:hAnsi="宋体" w:eastAsia="宋体" w:cs="宋体"/>
          <w:color w:val="auto"/>
          <w:spacing w:val="-3"/>
          <w:sz w:val="24"/>
          <w:szCs w:val="24"/>
          <w:highlight w:val="none"/>
        </w:rPr>
        <w:t>□无。</w:t>
      </w:r>
      <w:r>
        <w:rPr>
          <w:rFonts w:ascii="宋体" w:hAnsi="宋体" w:eastAsia="宋体" w:cs="宋体"/>
          <w:color w:val="auto"/>
          <w:spacing w:val="-86"/>
          <w:sz w:val="24"/>
          <w:szCs w:val="24"/>
          <w:highlight w:val="none"/>
        </w:rPr>
        <w:t xml:space="preserve"> </w:t>
      </w:r>
      <w:r>
        <w:rPr>
          <w:rFonts w:ascii="宋体" w:hAnsi="宋体" w:eastAsia="宋体" w:cs="宋体"/>
          <w:color w:val="auto"/>
          <w:spacing w:val="-3"/>
          <w:sz w:val="24"/>
          <w:szCs w:val="24"/>
          <w:highlight w:val="none"/>
          <w:u w:val="single" w:color="auto"/>
        </w:rPr>
        <w:t>□（按照实际情况编制填写需要增加的内容</w:t>
      </w:r>
      <w:r>
        <w:rPr>
          <w:rFonts w:ascii="宋体" w:hAnsi="宋体" w:eastAsia="宋体" w:cs="宋体"/>
          <w:color w:val="auto"/>
          <w:spacing w:val="-4"/>
          <w:sz w:val="24"/>
          <w:szCs w:val="24"/>
          <w:highlight w:val="none"/>
          <w:u w:val="single" w:color="auto"/>
        </w:rPr>
        <w:t>）</w:t>
      </w:r>
      <w:r>
        <w:rPr>
          <w:rFonts w:ascii="宋体" w:hAnsi="宋体" w:eastAsia="宋体" w:cs="宋体"/>
          <w:color w:val="auto"/>
          <w:spacing w:val="-4"/>
          <w:sz w:val="24"/>
          <w:szCs w:val="24"/>
          <w:highlight w:val="none"/>
        </w:rPr>
        <w:t>。</w:t>
      </w:r>
    </w:p>
    <w:p w14:paraId="258C2CA0">
      <w:pPr>
        <w:spacing w:before="184" w:line="220" w:lineRule="auto"/>
        <w:ind w:left="50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2、合同标的</w:t>
      </w:r>
    </w:p>
    <w:p w14:paraId="16314D23">
      <w:pPr>
        <w:tabs>
          <w:tab w:val="left" w:pos="629"/>
        </w:tabs>
        <w:spacing w:before="183" w:line="219" w:lineRule="auto"/>
        <w:ind w:left="494"/>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6"/>
          <w:sz w:val="24"/>
          <w:szCs w:val="24"/>
          <w:highlight w:val="none"/>
          <w:u w:val="single" w:color="auto"/>
        </w:rPr>
        <w:t>（按照实际情况编制填写，可以是表格或文字描述）</w:t>
      </w:r>
      <w:r>
        <w:rPr>
          <w:rFonts w:ascii="宋体" w:hAnsi="宋体" w:eastAsia="宋体" w:cs="宋体"/>
          <w:color w:val="auto"/>
          <w:spacing w:val="-6"/>
          <w:sz w:val="24"/>
          <w:szCs w:val="24"/>
          <w:highlight w:val="none"/>
        </w:rPr>
        <w:t>。</w:t>
      </w:r>
    </w:p>
    <w:p w14:paraId="4625D75C">
      <w:pPr>
        <w:spacing w:before="183" w:line="219" w:lineRule="auto"/>
        <w:ind w:left="50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3、合同总金额</w:t>
      </w:r>
    </w:p>
    <w:p w14:paraId="7A37583A">
      <w:pPr>
        <w:spacing w:before="182" w:line="219" w:lineRule="auto"/>
        <w:ind w:left="50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3.1</w:t>
      </w:r>
      <w:r>
        <w:rPr>
          <w:rFonts w:ascii="宋体" w:hAnsi="宋体" w:eastAsia="宋体" w:cs="宋体"/>
          <w:color w:val="auto"/>
          <w:spacing w:val="-32"/>
          <w:sz w:val="24"/>
          <w:szCs w:val="24"/>
          <w:highlight w:val="none"/>
        </w:rPr>
        <w:t xml:space="preserve"> </w:t>
      </w:r>
      <w:r>
        <w:rPr>
          <w:rFonts w:ascii="宋体" w:hAnsi="宋体" w:eastAsia="宋体" w:cs="宋体"/>
          <w:color w:val="auto"/>
          <w:spacing w:val="-2"/>
          <w:sz w:val="24"/>
          <w:szCs w:val="24"/>
          <w:highlight w:val="none"/>
        </w:rPr>
        <w:t>合同总金额为人民币大写：元 (￥) 。</w:t>
      </w:r>
    </w:p>
    <w:p w14:paraId="5D6009CE">
      <w:pPr>
        <w:spacing w:before="184" w:line="219" w:lineRule="auto"/>
        <w:ind w:left="50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4、合同标的交付时间、地点和条件</w:t>
      </w:r>
    </w:p>
    <w:p w14:paraId="2404AF2C">
      <w:pPr>
        <w:spacing w:before="184" w:line="219" w:lineRule="auto"/>
        <w:ind w:left="50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4.1</w:t>
      </w:r>
      <w:r>
        <w:rPr>
          <w:rFonts w:ascii="宋体" w:hAnsi="宋体" w:eastAsia="宋体" w:cs="宋体"/>
          <w:color w:val="auto"/>
          <w:spacing w:val="-46"/>
          <w:sz w:val="24"/>
          <w:szCs w:val="24"/>
          <w:highlight w:val="none"/>
        </w:rPr>
        <w:t xml:space="preserve"> </w:t>
      </w:r>
      <w:r>
        <w:rPr>
          <w:rFonts w:ascii="宋体" w:hAnsi="宋体" w:eastAsia="宋体" w:cs="宋体"/>
          <w:color w:val="auto"/>
          <w:spacing w:val="-3"/>
          <w:sz w:val="24"/>
          <w:szCs w:val="24"/>
          <w:highlight w:val="none"/>
        </w:rPr>
        <w:t>交付时间：</w:t>
      </w:r>
    </w:p>
    <w:p w14:paraId="3D33671B">
      <w:pPr>
        <w:spacing w:before="183" w:line="219" w:lineRule="auto"/>
        <w:ind w:left="50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4.2</w:t>
      </w:r>
      <w:r>
        <w:rPr>
          <w:rFonts w:ascii="宋体" w:hAnsi="宋体" w:eastAsia="宋体" w:cs="宋体"/>
          <w:color w:val="auto"/>
          <w:spacing w:val="-46"/>
          <w:sz w:val="24"/>
          <w:szCs w:val="24"/>
          <w:highlight w:val="none"/>
        </w:rPr>
        <w:t xml:space="preserve"> </w:t>
      </w:r>
      <w:r>
        <w:rPr>
          <w:rFonts w:ascii="宋体" w:hAnsi="宋体" w:eastAsia="宋体" w:cs="宋体"/>
          <w:color w:val="auto"/>
          <w:spacing w:val="-3"/>
          <w:sz w:val="24"/>
          <w:szCs w:val="24"/>
          <w:highlight w:val="none"/>
        </w:rPr>
        <w:t>交付地点：</w:t>
      </w:r>
    </w:p>
    <w:p w14:paraId="08F732D3">
      <w:pPr>
        <w:spacing w:before="183" w:line="219" w:lineRule="auto"/>
        <w:ind w:left="50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4.3</w:t>
      </w:r>
      <w:r>
        <w:rPr>
          <w:rFonts w:ascii="宋体" w:hAnsi="宋体" w:eastAsia="宋体" w:cs="宋体"/>
          <w:color w:val="auto"/>
          <w:spacing w:val="-46"/>
          <w:sz w:val="24"/>
          <w:szCs w:val="24"/>
          <w:highlight w:val="none"/>
        </w:rPr>
        <w:t xml:space="preserve"> </w:t>
      </w:r>
      <w:r>
        <w:rPr>
          <w:rFonts w:ascii="宋体" w:hAnsi="宋体" w:eastAsia="宋体" w:cs="宋体"/>
          <w:color w:val="auto"/>
          <w:spacing w:val="-3"/>
          <w:sz w:val="24"/>
          <w:szCs w:val="24"/>
          <w:highlight w:val="none"/>
        </w:rPr>
        <w:t>交付条件：</w:t>
      </w:r>
    </w:p>
    <w:p w14:paraId="7CD90D1F">
      <w:pPr>
        <w:tabs>
          <w:tab w:val="left" w:pos="629"/>
        </w:tabs>
        <w:spacing w:before="183" w:line="360" w:lineRule="auto"/>
        <w:ind w:left="494" w:right="840" w:firstLine="1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5、合同标的应符合招标文件、乙方投标文件</w:t>
      </w:r>
      <w:r>
        <w:rPr>
          <w:rFonts w:ascii="宋体" w:hAnsi="宋体" w:eastAsia="宋体" w:cs="宋体"/>
          <w:color w:val="auto"/>
          <w:spacing w:val="-3"/>
          <w:sz w:val="24"/>
          <w:szCs w:val="24"/>
          <w:highlight w:val="none"/>
        </w:rPr>
        <w:t>的规定或约定，具体如下：</w:t>
      </w:r>
      <w:r>
        <w:rPr>
          <w:rFonts w:ascii="宋体" w:hAnsi="宋体" w:eastAsia="宋体" w:cs="宋体"/>
          <w:color w:val="auto"/>
          <w:sz w:val="24"/>
          <w:szCs w:val="24"/>
          <w:highlight w:val="none"/>
          <w:u w:val="single" w:color="auto"/>
        </w:rPr>
        <w:tab/>
      </w:r>
      <w:r>
        <w:rPr>
          <w:rFonts w:ascii="宋体" w:hAnsi="宋体" w:eastAsia="宋体" w:cs="宋体"/>
          <w:color w:val="auto"/>
          <w:spacing w:val="-6"/>
          <w:sz w:val="24"/>
          <w:szCs w:val="24"/>
          <w:highlight w:val="none"/>
          <w:u w:val="single" w:color="auto"/>
        </w:rPr>
        <w:t>（按照实际情况编制填写，可以是表格或文字描述）</w:t>
      </w:r>
      <w:r>
        <w:rPr>
          <w:rFonts w:ascii="宋体" w:hAnsi="宋体" w:eastAsia="宋体" w:cs="宋体"/>
          <w:color w:val="auto"/>
          <w:spacing w:val="-6"/>
          <w:sz w:val="24"/>
          <w:szCs w:val="24"/>
          <w:highlight w:val="none"/>
        </w:rPr>
        <w:t>。</w:t>
      </w:r>
    </w:p>
    <w:p w14:paraId="64296BD4">
      <w:pPr>
        <w:spacing w:before="1" w:line="219" w:lineRule="auto"/>
        <w:ind w:left="50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6、验收</w:t>
      </w:r>
    </w:p>
    <w:p w14:paraId="3DEFC4E1">
      <w:pPr>
        <w:tabs>
          <w:tab w:val="left" w:pos="629"/>
        </w:tabs>
        <w:spacing w:before="183" w:line="360" w:lineRule="auto"/>
        <w:ind w:left="494" w:right="780" w:firstLine="1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6.1</w:t>
      </w:r>
      <w:r>
        <w:rPr>
          <w:rFonts w:ascii="宋体" w:hAnsi="宋体" w:eastAsia="宋体" w:cs="宋体"/>
          <w:color w:val="auto"/>
          <w:spacing w:val="-34"/>
          <w:sz w:val="24"/>
          <w:szCs w:val="24"/>
          <w:highlight w:val="none"/>
        </w:rPr>
        <w:t xml:space="preserve"> </w:t>
      </w:r>
      <w:r>
        <w:rPr>
          <w:rFonts w:ascii="宋体" w:hAnsi="宋体" w:eastAsia="宋体" w:cs="宋体"/>
          <w:color w:val="auto"/>
          <w:spacing w:val="-3"/>
          <w:sz w:val="24"/>
          <w:szCs w:val="24"/>
          <w:highlight w:val="none"/>
        </w:rPr>
        <w:t>验收应按照招标文件、乙方投标文件的规定或约定进行，具体如下：</w:t>
      </w:r>
      <w:r>
        <w:rPr>
          <w:rFonts w:ascii="宋体" w:hAnsi="宋体" w:eastAsia="宋体" w:cs="宋体"/>
          <w:color w:val="auto"/>
          <w:sz w:val="24"/>
          <w:szCs w:val="24"/>
          <w:highlight w:val="none"/>
          <w:u w:val="single" w:color="auto"/>
        </w:rPr>
        <w:tab/>
      </w:r>
      <w:r>
        <w:rPr>
          <w:rFonts w:ascii="宋体" w:hAnsi="宋体" w:eastAsia="宋体" w:cs="宋体"/>
          <w:color w:val="auto"/>
          <w:spacing w:val="-6"/>
          <w:sz w:val="24"/>
          <w:szCs w:val="24"/>
          <w:highlight w:val="none"/>
          <w:u w:val="single" w:color="auto"/>
        </w:rPr>
        <w:t>（按照实际情况编制填写，可以是表格或文字描述）</w:t>
      </w:r>
      <w:r>
        <w:rPr>
          <w:rFonts w:ascii="宋体" w:hAnsi="宋体" w:eastAsia="宋体" w:cs="宋体"/>
          <w:color w:val="auto"/>
          <w:spacing w:val="-6"/>
          <w:sz w:val="24"/>
          <w:szCs w:val="24"/>
          <w:highlight w:val="none"/>
        </w:rPr>
        <w:t>。</w:t>
      </w:r>
    </w:p>
    <w:p w14:paraId="6E973018">
      <w:pPr>
        <w:spacing w:line="218" w:lineRule="auto"/>
        <w:ind w:left="50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6.2</w:t>
      </w:r>
      <w:r>
        <w:rPr>
          <w:rFonts w:ascii="宋体" w:hAnsi="宋体" w:eastAsia="宋体" w:cs="宋体"/>
          <w:color w:val="auto"/>
          <w:spacing w:val="-33"/>
          <w:sz w:val="24"/>
          <w:szCs w:val="24"/>
          <w:highlight w:val="none"/>
        </w:rPr>
        <w:t xml:space="preserve"> </w:t>
      </w:r>
      <w:r>
        <w:rPr>
          <w:rFonts w:ascii="宋体" w:hAnsi="宋体" w:eastAsia="宋体" w:cs="宋体"/>
          <w:color w:val="auto"/>
          <w:spacing w:val="-2"/>
          <w:sz w:val="24"/>
          <w:szCs w:val="24"/>
          <w:highlight w:val="none"/>
        </w:rPr>
        <w:t>本项目是否邀请其他投标人参与验收：</w:t>
      </w:r>
    </w:p>
    <w:p w14:paraId="72E834B6">
      <w:pPr>
        <w:spacing w:before="185" w:line="219" w:lineRule="auto"/>
        <w:ind w:left="52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□不邀请。</w:t>
      </w:r>
      <w:r>
        <w:rPr>
          <w:rFonts w:ascii="宋体" w:hAnsi="宋体" w:eastAsia="宋体" w:cs="宋体"/>
          <w:color w:val="auto"/>
          <w:spacing w:val="-85"/>
          <w:sz w:val="24"/>
          <w:szCs w:val="24"/>
          <w:highlight w:val="none"/>
        </w:rPr>
        <w:t xml:space="preserve"> </w:t>
      </w:r>
      <w:r>
        <w:rPr>
          <w:rFonts w:ascii="宋体" w:hAnsi="宋体" w:eastAsia="宋体" w:cs="宋体"/>
          <w:color w:val="auto"/>
          <w:spacing w:val="-2"/>
          <w:sz w:val="24"/>
          <w:szCs w:val="24"/>
          <w:highlight w:val="none"/>
        </w:rPr>
        <w:t>□邀请，具体如下</w:t>
      </w:r>
      <w:r>
        <w:rPr>
          <w:rFonts w:ascii="宋体" w:hAnsi="宋体" w:eastAsia="宋体" w:cs="宋体"/>
          <w:color w:val="auto"/>
          <w:spacing w:val="-10"/>
          <w:sz w:val="24"/>
          <w:szCs w:val="24"/>
          <w:highlight w:val="none"/>
        </w:rPr>
        <w:t>：</w:t>
      </w:r>
      <w:r>
        <w:rPr>
          <w:rFonts w:ascii="宋体" w:hAnsi="宋体" w:eastAsia="宋体" w:cs="宋体"/>
          <w:color w:val="auto"/>
          <w:spacing w:val="-10"/>
          <w:sz w:val="24"/>
          <w:szCs w:val="24"/>
          <w:highlight w:val="none"/>
          <w:u w:val="single" w:color="auto"/>
        </w:rPr>
        <w:t>（</w:t>
      </w:r>
      <w:r>
        <w:rPr>
          <w:rFonts w:ascii="宋体" w:hAnsi="宋体" w:eastAsia="宋体" w:cs="宋体"/>
          <w:color w:val="auto"/>
          <w:spacing w:val="-2"/>
          <w:sz w:val="24"/>
          <w:szCs w:val="24"/>
          <w:highlight w:val="none"/>
          <w:u w:val="single" w:color="auto"/>
        </w:rPr>
        <w:t>按照招标文件规定填写）</w:t>
      </w:r>
      <w:r>
        <w:rPr>
          <w:rFonts w:ascii="宋体" w:hAnsi="宋体" w:eastAsia="宋体" w:cs="宋体"/>
          <w:color w:val="auto"/>
          <w:spacing w:val="-2"/>
          <w:sz w:val="24"/>
          <w:szCs w:val="24"/>
          <w:highlight w:val="none"/>
        </w:rPr>
        <w:t>。</w:t>
      </w:r>
    </w:p>
    <w:p w14:paraId="3D9E7E61">
      <w:pPr>
        <w:spacing w:before="183" w:line="219" w:lineRule="auto"/>
        <w:ind w:left="50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7、合同款项的支付应按照招标文件的规定进行，具体如下：</w:t>
      </w:r>
    </w:p>
    <w:p w14:paraId="165B6211">
      <w:pPr>
        <w:spacing w:line="219" w:lineRule="auto"/>
        <w:rPr>
          <w:rFonts w:ascii="宋体" w:hAnsi="宋体" w:eastAsia="宋体" w:cs="宋体"/>
          <w:color w:val="auto"/>
          <w:sz w:val="24"/>
          <w:szCs w:val="24"/>
          <w:highlight w:val="none"/>
        </w:rPr>
        <w:sectPr>
          <w:footerReference r:id="rId40" w:type="default"/>
          <w:pgSz w:w="11906" w:h="16838"/>
          <w:pgMar w:top="1431" w:right="1285" w:bottom="400" w:left="1785" w:header="0" w:footer="0" w:gutter="0"/>
          <w:pgNumType w:fmt="decimal"/>
          <w:cols w:space="720" w:num="1"/>
        </w:sectPr>
      </w:pPr>
    </w:p>
    <w:p w14:paraId="3CB54BB9">
      <w:pPr>
        <w:tabs>
          <w:tab w:val="left" w:pos="629"/>
        </w:tabs>
        <w:spacing w:before="122" w:line="360" w:lineRule="auto"/>
        <w:ind w:left="25" w:right="20" w:firstLine="468"/>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6"/>
          <w:sz w:val="24"/>
          <w:szCs w:val="24"/>
          <w:highlight w:val="none"/>
          <w:u w:val="single" w:color="auto"/>
        </w:rPr>
        <w:t>（按照实际情况编制填写，可以是表格或文字描述，包括一次性支付或分期支付</w:t>
      </w:r>
      <w:r>
        <w:rPr>
          <w:rFonts w:ascii="宋体" w:hAnsi="宋体" w:eastAsia="宋体" w:cs="宋体"/>
          <w:color w:val="auto"/>
          <w:spacing w:val="-4"/>
          <w:sz w:val="24"/>
          <w:szCs w:val="24"/>
          <w:highlight w:val="none"/>
          <w:u w:val="single" w:color="auto"/>
        </w:rPr>
        <w:t>等）</w:t>
      </w:r>
      <w:r>
        <w:rPr>
          <w:rFonts w:ascii="宋体" w:hAnsi="宋体" w:eastAsia="宋体" w:cs="宋体"/>
          <w:color w:val="auto"/>
          <w:spacing w:val="-4"/>
          <w:sz w:val="24"/>
          <w:szCs w:val="24"/>
          <w:highlight w:val="none"/>
        </w:rPr>
        <w:t>。</w:t>
      </w:r>
    </w:p>
    <w:p w14:paraId="68CF6261">
      <w:pPr>
        <w:spacing w:line="220" w:lineRule="auto"/>
        <w:ind w:left="50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8、履约保证金</w:t>
      </w:r>
    </w:p>
    <w:p w14:paraId="15CF3040">
      <w:pPr>
        <w:spacing w:before="182" w:line="219" w:lineRule="auto"/>
        <w:ind w:left="52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□无。</w:t>
      </w:r>
      <w:r>
        <w:rPr>
          <w:rFonts w:ascii="宋体" w:hAnsi="宋体" w:eastAsia="宋体" w:cs="宋体"/>
          <w:color w:val="auto"/>
          <w:spacing w:val="-85"/>
          <w:sz w:val="24"/>
          <w:szCs w:val="24"/>
          <w:highlight w:val="none"/>
        </w:rPr>
        <w:t xml:space="preserve"> </w:t>
      </w:r>
      <w:r>
        <w:rPr>
          <w:rFonts w:ascii="宋体" w:hAnsi="宋体" w:eastAsia="宋体" w:cs="宋体"/>
          <w:color w:val="auto"/>
          <w:spacing w:val="-2"/>
          <w:sz w:val="24"/>
          <w:szCs w:val="24"/>
          <w:highlight w:val="none"/>
        </w:rPr>
        <w:t>□有，具体如下</w:t>
      </w:r>
      <w:r>
        <w:rPr>
          <w:rFonts w:ascii="宋体" w:hAnsi="宋体" w:eastAsia="宋体" w:cs="宋体"/>
          <w:color w:val="auto"/>
          <w:spacing w:val="-13"/>
          <w:sz w:val="24"/>
          <w:szCs w:val="24"/>
          <w:highlight w:val="none"/>
        </w:rPr>
        <w:t>：</w:t>
      </w:r>
      <w:r>
        <w:rPr>
          <w:rFonts w:ascii="宋体" w:hAnsi="宋体" w:eastAsia="宋体" w:cs="宋体"/>
          <w:color w:val="auto"/>
          <w:spacing w:val="-13"/>
          <w:sz w:val="24"/>
          <w:szCs w:val="24"/>
          <w:highlight w:val="none"/>
          <w:u w:val="single" w:color="auto"/>
        </w:rPr>
        <w:t>（</w:t>
      </w:r>
      <w:r>
        <w:rPr>
          <w:rFonts w:ascii="宋体" w:hAnsi="宋体" w:eastAsia="宋体" w:cs="宋体"/>
          <w:color w:val="auto"/>
          <w:spacing w:val="-2"/>
          <w:sz w:val="24"/>
          <w:szCs w:val="24"/>
          <w:highlight w:val="none"/>
          <w:u w:val="single" w:color="auto"/>
        </w:rPr>
        <w:t>按照招标文件规定填写）</w:t>
      </w:r>
      <w:r>
        <w:rPr>
          <w:rFonts w:ascii="宋体" w:hAnsi="宋体" w:eastAsia="宋体" w:cs="宋体"/>
          <w:color w:val="auto"/>
          <w:spacing w:val="-2"/>
          <w:sz w:val="24"/>
          <w:szCs w:val="24"/>
          <w:highlight w:val="none"/>
        </w:rPr>
        <w:t>。</w:t>
      </w:r>
    </w:p>
    <w:p w14:paraId="543FFDCC">
      <w:pPr>
        <w:spacing w:before="182" w:line="220" w:lineRule="auto"/>
        <w:ind w:left="50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9、合同有效期</w:t>
      </w:r>
    </w:p>
    <w:p w14:paraId="398B26E4">
      <w:pPr>
        <w:tabs>
          <w:tab w:val="left" w:pos="629"/>
        </w:tabs>
        <w:spacing w:before="182" w:line="219" w:lineRule="auto"/>
        <w:ind w:left="494"/>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6"/>
          <w:sz w:val="24"/>
          <w:szCs w:val="24"/>
          <w:highlight w:val="none"/>
          <w:u w:val="single" w:color="auto"/>
        </w:rPr>
        <w:t>（按照实际情况编制填写，可以是表格或文字描述）</w:t>
      </w:r>
      <w:r>
        <w:rPr>
          <w:rFonts w:ascii="宋体" w:hAnsi="宋体" w:eastAsia="宋体" w:cs="宋体"/>
          <w:color w:val="auto"/>
          <w:spacing w:val="-6"/>
          <w:sz w:val="24"/>
          <w:szCs w:val="24"/>
          <w:highlight w:val="none"/>
        </w:rPr>
        <w:t>。</w:t>
      </w:r>
    </w:p>
    <w:p w14:paraId="1DB763A1">
      <w:pPr>
        <w:spacing w:before="183" w:line="219" w:lineRule="auto"/>
        <w:ind w:left="52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10、违约责任</w:t>
      </w:r>
    </w:p>
    <w:p w14:paraId="26E11F0C">
      <w:pPr>
        <w:tabs>
          <w:tab w:val="left" w:pos="629"/>
        </w:tabs>
        <w:spacing w:before="184" w:line="219" w:lineRule="auto"/>
        <w:ind w:left="494"/>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6"/>
          <w:sz w:val="24"/>
          <w:szCs w:val="24"/>
          <w:highlight w:val="none"/>
          <w:u w:val="single" w:color="auto"/>
        </w:rPr>
        <w:t>（按照实际情况编制填写，可以是表格或文字描述）</w:t>
      </w:r>
      <w:r>
        <w:rPr>
          <w:rFonts w:ascii="宋体" w:hAnsi="宋体" w:eastAsia="宋体" w:cs="宋体"/>
          <w:color w:val="auto"/>
          <w:spacing w:val="-6"/>
          <w:sz w:val="24"/>
          <w:szCs w:val="24"/>
          <w:highlight w:val="none"/>
        </w:rPr>
        <w:t>。</w:t>
      </w:r>
    </w:p>
    <w:p w14:paraId="12E9458B">
      <w:pPr>
        <w:spacing w:before="183" w:line="219" w:lineRule="auto"/>
        <w:ind w:left="52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11、知识产权</w:t>
      </w:r>
    </w:p>
    <w:p w14:paraId="211248A6">
      <w:pPr>
        <w:spacing w:before="183" w:line="360" w:lineRule="auto"/>
        <w:ind w:left="22" w:right="18" w:firstLine="49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11.1</w:t>
      </w:r>
      <w:r>
        <w:rPr>
          <w:rFonts w:ascii="宋体" w:hAnsi="宋体" w:eastAsia="宋体" w:cs="宋体"/>
          <w:color w:val="auto"/>
          <w:spacing w:val="-7"/>
          <w:sz w:val="24"/>
          <w:szCs w:val="24"/>
          <w:highlight w:val="none"/>
        </w:rPr>
        <w:t xml:space="preserve"> </w:t>
      </w:r>
      <w:r>
        <w:rPr>
          <w:rFonts w:ascii="宋体" w:hAnsi="宋体" w:eastAsia="宋体" w:cs="宋体"/>
          <w:color w:val="auto"/>
          <w:spacing w:val="1"/>
          <w:sz w:val="24"/>
          <w:szCs w:val="24"/>
          <w:highlight w:val="none"/>
        </w:rPr>
        <w:t>乙方提供的采购标的应符合国家知识产权法律、法规的规定且非假冒伪劣</w:t>
      </w:r>
      <w:r>
        <w:rPr>
          <w:rFonts w:ascii="宋体" w:hAnsi="宋体" w:eastAsia="宋体" w:cs="宋体"/>
          <w:color w:val="auto"/>
          <w:spacing w:val="-2"/>
          <w:sz w:val="24"/>
          <w:szCs w:val="24"/>
          <w:highlight w:val="none"/>
        </w:rPr>
        <w:t>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w:t>
      </w:r>
      <w:r>
        <w:rPr>
          <w:rFonts w:ascii="宋体" w:hAnsi="宋体" w:eastAsia="宋体" w:cs="宋体"/>
          <w:color w:val="auto"/>
          <w:spacing w:val="-1"/>
          <w:sz w:val="24"/>
          <w:szCs w:val="24"/>
          <w:highlight w:val="none"/>
        </w:rPr>
        <w:t>则乙方应赔偿该损失。</w:t>
      </w:r>
    </w:p>
    <w:p w14:paraId="0A950C5C">
      <w:pPr>
        <w:spacing w:before="4" w:line="359" w:lineRule="auto"/>
        <w:ind w:left="22" w:right="20" w:firstLine="49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11.2</w:t>
      </w:r>
      <w:r>
        <w:rPr>
          <w:rFonts w:ascii="宋体" w:hAnsi="宋体" w:eastAsia="宋体" w:cs="宋体"/>
          <w:color w:val="auto"/>
          <w:spacing w:val="-50"/>
          <w:sz w:val="24"/>
          <w:szCs w:val="24"/>
          <w:highlight w:val="none"/>
        </w:rPr>
        <w:t xml:space="preserve"> </w:t>
      </w:r>
      <w:r>
        <w:rPr>
          <w:rFonts w:ascii="宋体" w:hAnsi="宋体" w:eastAsia="宋体" w:cs="宋体"/>
          <w:color w:val="auto"/>
          <w:spacing w:val="-4"/>
          <w:sz w:val="24"/>
          <w:szCs w:val="24"/>
          <w:highlight w:val="none"/>
        </w:rPr>
        <w:t>若乙方提供的采购标的不符合国家知识产权法律、</w:t>
      </w:r>
      <w:r>
        <w:rPr>
          <w:rFonts w:ascii="宋体" w:hAnsi="宋体" w:eastAsia="宋体" w:cs="宋体"/>
          <w:color w:val="auto"/>
          <w:spacing w:val="-5"/>
          <w:sz w:val="24"/>
          <w:szCs w:val="24"/>
          <w:highlight w:val="none"/>
        </w:rPr>
        <w:t>法规的规定或被有关主管</w:t>
      </w:r>
      <w:r>
        <w:rPr>
          <w:rFonts w:ascii="宋体" w:hAnsi="宋体" w:eastAsia="宋体" w:cs="宋体"/>
          <w:color w:val="auto"/>
          <w:spacing w:val="-2"/>
          <w:sz w:val="24"/>
          <w:szCs w:val="24"/>
          <w:highlight w:val="none"/>
        </w:rPr>
        <w:t>机关认定为假冒伪劣品，则乙方中标资格将被取消；甲方还将按照有关法律、法规和</w:t>
      </w:r>
      <w:r>
        <w:rPr>
          <w:rFonts w:ascii="宋体" w:hAnsi="宋体" w:eastAsia="宋体" w:cs="宋体"/>
          <w:color w:val="auto"/>
          <w:spacing w:val="1"/>
          <w:sz w:val="24"/>
          <w:szCs w:val="24"/>
          <w:highlight w:val="none"/>
        </w:rPr>
        <w:t>规章的规定进行处理，具体如下</w:t>
      </w:r>
      <w:r>
        <w:rPr>
          <w:rFonts w:ascii="宋体" w:hAnsi="宋体" w:eastAsia="宋体" w:cs="宋体"/>
          <w:color w:val="auto"/>
          <w:spacing w:val="-18"/>
          <w:sz w:val="24"/>
          <w:szCs w:val="24"/>
          <w:highlight w:val="none"/>
        </w:rPr>
        <w:t>：（</w:t>
      </w:r>
      <w:r>
        <w:rPr>
          <w:rFonts w:ascii="宋体" w:hAnsi="宋体" w:eastAsia="宋体" w:cs="宋体"/>
          <w:color w:val="auto"/>
          <w:spacing w:val="1"/>
          <w:sz w:val="24"/>
          <w:szCs w:val="24"/>
          <w:highlight w:val="none"/>
        </w:rPr>
        <w:t>按照实际情况编制填写）。</w:t>
      </w:r>
    </w:p>
    <w:p w14:paraId="452C03CF">
      <w:pPr>
        <w:spacing w:line="219" w:lineRule="auto"/>
        <w:ind w:left="52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12、解决争议的方法</w:t>
      </w:r>
    </w:p>
    <w:p w14:paraId="0D940B2F">
      <w:pPr>
        <w:spacing w:before="183" w:line="219" w:lineRule="auto"/>
        <w:ind w:left="521"/>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12.1 甲、乙双方协商解决。</w:t>
      </w:r>
    </w:p>
    <w:p w14:paraId="3D9A71F1">
      <w:pPr>
        <w:spacing w:before="184" w:line="219" w:lineRule="auto"/>
        <w:ind w:left="52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12.2</w:t>
      </w:r>
      <w:r>
        <w:rPr>
          <w:rFonts w:ascii="宋体" w:hAnsi="宋体" w:eastAsia="宋体" w:cs="宋体"/>
          <w:color w:val="auto"/>
          <w:spacing w:val="-41"/>
          <w:sz w:val="24"/>
          <w:szCs w:val="24"/>
          <w:highlight w:val="none"/>
        </w:rPr>
        <w:t xml:space="preserve"> </w:t>
      </w:r>
      <w:r>
        <w:rPr>
          <w:rFonts w:ascii="宋体" w:hAnsi="宋体" w:eastAsia="宋体" w:cs="宋体"/>
          <w:color w:val="auto"/>
          <w:spacing w:val="-2"/>
          <w:sz w:val="24"/>
          <w:szCs w:val="24"/>
          <w:highlight w:val="none"/>
        </w:rPr>
        <w:t>若协商解决不成，则通过下列途径之一解决：</w:t>
      </w:r>
    </w:p>
    <w:p w14:paraId="598AC2EF">
      <w:pPr>
        <w:spacing w:before="182" w:line="219" w:lineRule="auto"/>
        <w:ind w:left="527"/>
        <w:rPr>
          <w:rFonts w:ascii="宋体" w:hAnsi="宋体" w:eastAsia="宋体" w:cs="宋体"/>
          <w:color w:val="auto"/>
          <w:sz w:val="24"/>
          <w:szCs w:val="24"/>
          <w:highlight w:val="none"/>
        </w:rPr>
      </w:pPr>
      <w:r>
        <w:rPr>
          <w:rFonts w:ascii="宋体" w:hAnsi="宋体" w:eastAsia="宋体" w:cs="宋体"/>
          <w:color w:val="auto"/>
          <w:sz w:val="24"/>
          <w:szCs w:val="24"/>
          <w:highlight w:val="none"/>
        </w:rPr>
        <w:t>□提交仲裁委员会仲裁，具体如下</w:t>
      </w:r>
      <w:r>
        <w:rPr>
          <w:rFonts w:ascii="宋体" w:hAnsi="宋体" w:eastAsia="宋体" w:cs="宋体"/>
          <w:color w:val="auto"/>
          <w:spacing w:val="-18"/>
          <w:sz w:val="24"/>
          <w:szCs w:val="24"/>
          <w:highlight w:val="none"/>
        </w:rPr>
        <w:t>：</w:t>
      </w:r>
      <w:r>
        <w:rPr>
          <w:rFonts w:ascii="宋体" w:hAnsi="宋体" w:eastAsia="宋体" w:cs="宋体"/>
          <w:color w:val="auto"/>
          <w:spacing w:val="-18"/>
          <w:sz w:val="24"/>
          <w:szCs w:val="24"/>
          <w:highlight w:val="none"/>
          <w:u w:val="single" w:color="auto"/>
        </w:rPr>
        <w:t>（</w:t>
      </w:r>
      <w:r>
        <w:rPr>
          <w:rFonts w:ascii="宋体" w:hAnsi="宋体" w:eastAsia="宋体" w:cs="宋体"/>
          <w:color w:val="auto"/>
          <w:sz w:val="24"/>
          <w:szCs w:val="24"/>
          <w:highlight w:val="none"/>
          <w:u w:val="single" w:color="auto"/>
        </w:rPr>
        <w:t>按照实际情况编制填写）</w:t>
      </w:r>
      <w:r>
        <w:rPr>
          <w:rFonts w:ascii="宋体" w:hAnsi="宋体" w:eastAsia="宋体" w:cs="宋体"/>
          <w:color w:val="auto"/>
          <w:sz w:val="24"/>
          <w:szCs w:val="24"/>
          <w:highlight w:val="none"/>
        </w:rPr>
        <w:t>。</w:t>
      </w:r>
    </w:p>
    <w:p w14:paraId="73275076">
      <w:pPr>
        <w:spacing w:before="184" w:line="219" w:lineRule="auto"/>
        <w:ind w:left="527"/>
        <w:rPr>
          <w:rFonts w:ascii="宋体" w:hAnsi="宋体" w:eastAsia="宋体" w:cs="宋体"/>
          <w:color w:val="auto"/>
          <w:sz w:val="24"/>
          <w:szCs w:val="24"/>
          <w:highlight w:val="none"/>
        </w:rPr>
      </w:pPr>
      <w:r>
        <w:rPr>
          <w:rFonts w:ascii="宋体" w:hAnsi="宋体" w:eastAsia="宋体" w:cs="宋体"/>
          <w:color w:val="auto"/>
          <w:sz w:val="24"/>
          <w:szCs w:val="24"/>
          <w:highlight w:val="none"/>
        </w:rPr>
        <w:t>□向人民法院提起诉讼，具体如下</w:t>
      </w:r>
      <w:r>
        <w:rPr>
          <w:rFonts w:ascii="宋体" w:hAnsi="宋体" w:eastAsia="宋体" w:cs="宋体"/>
          <w:color w:val="auto"/>
          <w:spacing w:val="-18"/>
          <w:sz w:val="24"/>
          <w:szCs w:val="24"/>
          <w:highlight w:val="none"/>
        </w:rPr>
        <w:t>：</w:t>
      </w:r>
      <w:r>
        <w:rPr>
          <w:rFonts w:ascii="宋体" w:hAnsi="宋体" w:eastAsia="宋体" w:cs="宋体"/>
          <w:color w:val="auto"/>
          <w:spacing w:val="-18"/>
          <w:sz w:val="24"/>
          <w:szCs w:val="24"/>
          <w:highlight w:val="none"/>
          <w:u w:val="single" w:color="auto"/>
        </w:rPr>
        <w:t>（</w:t>
      </w:r>
      <w:r>
        <w:rPr>
          <w:rFonts w:ascii="宋体" w:hAnsi="宋体" w:eastAsia="宋体" w:cs="宋体"/>
          <w:color w:val="auto"/>
          <w:sz w:val="24"/>
          <w:szCs w:val="24"/>
          <w:highlight w:val="none"/>
          <w:u w:val="single" w:color="auto"/>
        </w:rPr>
        <w:t>按照实际情况编制填写）</w:t>
      </w:r>
      <w:r>
        <w:rPr>
          <w:rFonts w:ascii="宋体" w:hAnsi="宋体" w:eastAsia="宋体" w:cs="宋体"/>
          <w:color w:val="auto"/>
          <w:sz w:val="24"/>
          <w:szCs w:val="24"/>
          <w:highlight w:val="none"/>
        </w:rPr>
        <w:t>。</w:t>
      </w:r>
    </w:p>
    <w:p w14:paraId="3C80E386">
      <w:pPr>
        <w:spacing w:before="184" w:line="219" w:lineRule="auto"/>
        <w:ind w:left="52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13、不可抗力</w:t>
      </w:r>
    </w:p>
    <w:p w14:paraId="313D6828">
      <w:pPr>
        <w:spacing w:before="182" w:line="360" w:lineRule="auto"/>
        <w:ind w:left="23" w:firstLine="497"/>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13.1</w:t>
      </w:r>
      <w:r>
        <w:rPr>
          <w:rFonts w:ascii="宋体" w:hAnsi="宋体" w:eastAsia="宋体" w:cs="宋体"/>
          <w:color w:val="auto"/>
          <w:spacing w:val="-24"/>
          <w:sz w:val="24"/>
          <w:szCs w:val="24"/>
          <w:highlight w:val="none"/>
        </w:rPr>
        <w:t xml:space="preserve"> </w:t>
      </w:r>
      <w:r>
        <w:rPr>
          <w:rFonts w:ascii="宋体" w:hAnsi="宋体" w:eastAsia="宋体" w:cs="宋体"/>
          <w:color w:val="auto"/>
          <w:spacing w:val="-5"/>
          <w:sz w:val="24"/>
          <w:szCs w:val="24"/>
          <w:highlight w:val="none"/>
        </w:rPr>
        <w:t>因不可抗力造成违约的，遭受不可抗力一方应及时向对方通报不能履行或不</w:t>
      </w:r>
      <w:r>
        <w:rPr>
          <w:rFonts w:ascii="宋体" w:hAnsi="宋体" w:eastAsia="宋体" w:cs="宋体"/>
          <w:color w:val="auto"/>
          <w:spacing w:val="-1"/>
          <w:sz w:val="24"/>
          <w:szCs w:val="24"/>
          <w:highlight w:val="none"/>
        </w:rPr>
        <w:t>能完全履行的理由，并在随后取得有关主管机关证明后的</w:t>
      </w:r>
      <w:r>
        <w:rPr>
          <w:rFonts w:ascii="宋体" w:hAnsi="宋体" w:eastAsia="宋体" w:cs="宋体"/>
          <w:color w:val="auto"/>
          <w:spacing w:val="-32"/>
          <w:sz w:val="24"/>
          <w:szCs w:val="24"/>
          <w:highlight w:val="none"/>
        </w:rPr>
        <w:t xml:space="preserve"> </w:t>
      </w:r>
      <w:r>
        <w:rPr>
          <w:rFonts w:ascii="宋体" w:hAnsi="宋体" w:eastAsia="宋体" w:cs="宋体"/>
          <w:color w:val="auto"/>
          <w:spacing w:val="-1"/>
          <w:sz w:val="24"/>
          <w:szCs w:val="24"/>
          <w:highlight w:val="none"/>
        </w:rPr>
        <w:t>15 日内向另一方提</w:t>
      </w:r>
      <w:r>
        <w:rPr>
          <w:rFonts w:ascii="宋体" w:hAnsi="宋体" w:eastAsia="宋体" w:cs="宋体"/>
          <w:color w:val="auto"/>
          <w:spacing w:val="-2"/>
          <w:sz w:val="24"/>
          <w:szCs w:val="24"/>
          <w:highlight w:val="none"/>
        </w:rPr>
        <w:t>供不可</w:t>
      </w:r>
      <w:r>
        <w:rPr>
          <w:rFonts w:ascii="宋体" w:hAnsi="宋体" w:eastAsia="宋体" w:cs="宋体"/>
          <w:color w:val="auto"/>
          <w:spacing w:val="-1"/>
          <w:sz w:val="24"/>
          <w:szCs w:val="24"/>
          <w:highlight w:val="none"/>
        </w:rPr>
        <w:t>抗力发生及持续期间的充分证据。基于以上行为，允</w:t>
      </w:r>
      <w:r>
        <w:rPr>
          <w:rFonts w:ascii="宋体" w:hAnsi="宋体" w:eastAsia="宋体" w:cs="宋体"/>
          <w:color w:val="auto"/>
          <w:spacing w:val="-2"/>
          <w:sz w:val="24"/>
          <w:szCs w:val="24"/>
          <w:highlight w:val="none"/>
        </w:rPr>
        <w:t>许遭受不可抗力一方延期履行、</w:t>
      </w:r>
      <w:r>
        <w:rPr>
          <w:rFonts w:ascii="宋体" w:hAnsi="宋体" w:eastAsia="宋体" w:cs="宋体"/>
          <w:color w:val="auto"/>
          <w:sz w:val="24"/>
          <w:szCs w:val="24"/>
          <w:highlight w:val="none"/>
        </w:rPr>
        <w:t>部分履行或不履行合同，并根据情况可部分或</w:t>
      </w:r>
      <w:r>
        <w:rPr>
          <w:rFonts w:ascii="宋体" w:hAnsi="宋体" w:eastAsia="宋体" w:cs="宋体"/>
          <w:color w:val="auto"/>
          <w:spacing w:val="-1"/>
          <w:sz w:val="24"/>
          <w:szCs w:val="24"/>
          <w:highlight w:val="none"/>
        </w:rPr>
        <w:t>全部免于承担违约责任。</w:t>
      </w:r>
    </w:p>
    <w:p w14:paraId="6E42A4C2">
      <w:pPr>
        <w:spacing w:before="2" w:line="361" w:lineRule="auto"/>
        <w:ind w:left="27" w:right="20" w:firstLine="493"/>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13.2</w:t>
      </w:r>
      <w:r>
        <w:rPr>
          <w:rFonts w:ascii="宋体" w:hAnsi="宋体" w:eastAsia="宋体" w:cs="宋体"/>
          <w:color w:val="auto"/>
          <w:spacing w:val="-50"/>
          <w:sz w:val="24"/>
          <w:szCs w:val="24"/>
          <w:highlight w:val="none"/>
        </w:rPr>
        <w:t xml:space="preserve"> </w:t>
      </w:r>
      <w:r>
        <w:rPr>
          <w:rFonts w:ascii="宋体" w:hAnsi="宋体" w:eastAsia="宋体" w:cs="宋体"/>
          <w:color w:val="auto"/>
          <w:spacing w:val="-4"/>
          <w:sz w:val="24"/>
          <w:szCs w:val="24"/>
          <w:highlight w:val="none"/>
        </w:rPr>
        <w:t>本合同中的不可抗力指不能预见、不能避免、不能</w:t>
      </w:r>
      <w:r>
        <w:rPr>
          <w:rFonts w:ascii="宋体" w:hAnsi="宋体" w:eastAsia="宋体" w:cs="宋体"/>
          <w:color w:val="auto"/>
          <w:spacing w:val="-5"/>
          <w:sz w:val="24"/>
          <w:szCs w:val="24"/>
          <w:highlight w:val="none"/>
        </w:rPr>
        <w:t>克服的客观情况，包括但</w:t>
      </w:r>
      <w:r>
        <w:rPr>
          <w:rFonts w:ascii="宋体" w:hAnsi="宋体" w:eastAsia="宋体" w:cs="宋体"/>
          <w:color w:val="auto"/>
          <w:spacing w:val="-2"/>
          <w:sz w:val="24"/>
          <w:szCs w:val="24"/>
          <w:highlight w:val="none"/>
        </w:rPr>
        <w:t>不限于：自然灾害如地震、台风、洪水、火灾及政府行为、法律规定或其适用的变化</w:t>
      </w:r>
    </w:p>
    <w:p w14:paraId="2F0946AF">
      <w:pPr>
        <w:spacing w:line="361" w:lineRule="auto"/>
        <w:rPr>
          <w:rFonts w:ascii="宋体" w:hAnsi="宋体" w:eastAsia="宋体" w:cs="宋体"/>
          <w:color w:val="auto"/>
          <w:sz w:val="24"/>
          <w:szCs w:val="24"/>
          <w:highlight w:val="none"/>
        </w:rPr>
        <w:sectPr>
          <w:footerReference r:id="rId41" w:type="default"/>
          <w:pgSz w:w="11906" w:h="16838"/>
          <w:pgMar w:top="1431" w:right="1265" w:bottom="1156" w:left="1785" w:header="0" w:footer="994" w:gutter="0"/>
          <w:pgNumType w:fmt="decimal"/>
          <w:cols w:space="720" w:num="1"/>
        </w:sectPr>
      </w:pPr>
    </w:p>
    <w:p w14:paraId="3F8680C1">
      <w:pPr>
        <w:spacing w:before="123" w:line="219" w:lineRule="auto"/>
        <w:ind w:left="2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或其他任何无法预见、避免或控制的事件。</w:t>
      </w:r>
    </w:p>
    <w:p w14:paraId="38B48359">
      <w:pPr>
        <w:spacing w:before="183" w:line="219" w:lineRule="auto"/>
        <w:ind w:left="52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14、合同条款</w:t>
      </w:r>
    </w:p>
    <w:p w14:paraId="39AE363D">
      <w:pPr>
        <w:tabs>
          <w:tab w:val="left" w:pos="629"/>
        </w:tabs>
        <w:spacing w:before="182" w:line="360" w:lineRule="auto"/>
        <w:ind w:left="25" w:right="80" w:firstLine="468"/>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6"/>
          <w:sz w:val="24"/>
          <w:szCs w:val="24"/>
          <w:highlight w:val="none"/>
          <w:u w:val="single" w:color="auto"/>
        </w:rPr>
        <w:t>（按照实际情况编制填写。招标文件已有规定的，双方均不得变更或调整；招标</w:t>
      </w:r>
      <w:r>
        <w:rPr>
          <w:rFonts w:ascii="宋体" w:hAnsi="宋体" w:eastAsia="宋体" w:cs="宋体"/>
          <w:color w:val="auto"/>
          <w:spacing w:val="-1"/>
          <w:sz w:val="24"/>
          <w:szCs w:val="24"/>
          <w:highlight w:val="none"/>
          <w:u w:val="single" w:color="auto"/>
        </w:rPr>
        <w:t>文件未作规定的，双方可通过友好协商进行约定）</w:t>
      </w:r>
      <w:r>
        <w:rPr>
          <w:rFonts w:ascii="宋体" w:hAnsi="宋体" w:eastAsia="宋体" w:cs="宋体"/>
          <w:color w:val="auto"/>
          <w:spacing w:val="-1"/>
          <w:sz w:val="24"/>
          <w:szCs w:val="24"/>
          <w:highlight w:val="none"/>
        </w:rPr>
        <w:t>。</w:t>
      </w:r>
    </w:p>
    <w:p w14:paraId="3DDA2E5C">
      <w:pPr>
        <w:spacing w:line="220" w:lineRule="auto"/>
        <w:ind w:left="52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15、其他约定</w:t>
      </w:r>
    </w:p>
    <w:p w14:paraId="11CA67AF">
      <w:pPr>
        <w:spacing w:before="181" w:line="219" w:lineRule="auto"/>
        <w:ind w:left="52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15.1</w:t>
      </w:r>
      <w:r>
        <w:rPr>
          <w:rFonts w:ascii="宋体" w:hAnsi="宋体" w:eastAsia="宋体" w:cs="宋体"/>
          <w:color w:val="auto"/>
          <w:spacing w:val="-47"/>
          <w:sz w:val="24"/>
          <w:szCs w:val="24"/>
          <w:highlight w:val="none"/>
        </w:rPr>
        <w:t xml:space="preserve"> </w:t>
      </w:r>
      <w:r>
        <w:rPr>
          <w:rFonts w:ascii="宋体" w:hAnsi="宋体" w:eastAsia="宋体" w:cs="宋体"/>
          <w:color w:val="auto"/>
          <w:spacing w:val="-2"/>
          <w:sz w:val="24"/>
          <w:szCs w:val="24"/>
          <w:highlight w:val="none"/>
        </w:rPr>
        <w:t>合同文件与本合同具有同等法律效力。</w:t>
      </w:r>
    </w:p>
    <w:p w14:paraId="5B784758">
      <w:pPr>
        <w:spacing w:before="183" w:line="219" w:lineRule="auto"/>
        <w:ind w:left="52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15.2</w:t>
      </w:r>
      <w:r>
        <w:rPr>
          <w:rFonts w:ascii="宋体" w:hAnsi="宋体" w:eastAsia="宋体" w:cs="宋体"/>
          <w:color w:val="auto"/>
          <w:spacing w:val="-49"/>
          <w:sz w:val="24"/>
          <w:szCs w:val="24"/>
          <w:highlight w:val="none"/>
        </w:rPr>
        <w:t xml:space="preserve"> </w:t>
      </w:r>
      <w:r>
        <w:rPr>
          <w:rFonts w:ascii="宋体" w:hAnsi="宋体" w:eastAsia="宋体" w:cs="宋体"/>
          <w:color w:val="auto"/>
          <w:spacing w:val="-2"/>
          <w:sz w:val="24"/>
          <w:szCs w:val="24"/>
          <w:highlight w:val="none"/>
        </w:rPr>
        <w:t>本合同未尽事宜，双方可另行补充。</w:t>
      </w:r>
    </w:p>
    <w:p w14:paraId="2BCBBD11">
      <w:pPr>
        <w:spacing w:before="184" w:line="220" w:lineRule="auto"/>
        <w:ind w:left="521"/>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15.3</w:t>
      </w:r>
      <w:r>
        <w:rPr>
          <w:rFonts w:ascii="宋体" w:hAnsi="宋体" w:eastAsia="宋体" w:cs="宋体"/>
          <w:color w:val="auto"/>
          <w:spacing w:val="-47"/>
          <w:sz w:val="24"/>
          <w:szCs w:val="24"/>
          <w:highlight w:val="none"/>
        </w:rPr>
        <w:t xml:space="preserve"> </w:t>
      </w:r>
      <w:r>
        <w:rPr>
          <w:rFonts w:ascii="宋体" w:hAnsi="宋体" w:eastAsia="宋体" w:cs="宋体"/>
          <w:color w:val="auto"/>
          <w:spacing w:val="-5"/>
          <w:sz w:val="24"/>
          <w:szCs w:val="24"/>
          <w:highlight w:val="none"/>
        </w:rPr>
        <w:t>合同生效：</w:t>
      </w:r>
      <w:r>
        <w:rPr>
          <w:rFonts w:ascii="宋体" w:hAnsi="宋体" w:eastAsia="宋体" w:cs="宋体"/>
          <w:color w:val="auto"/>
          <w:spacing w:val="-72"/>
          <w:sz w:val="24"/>
          <w:szCs w:val="24"/>
          <w:highlight w:val="none"/>
        </w:rPr>
        <w:t xml:space="preserve"> </w:t>
      </w:r>
      <w:r>
        <w:rPr>
          <w:rFonts w:ascii="宋体" w:hAnsi="宋体" w:eastAsia="宋体" w:cs="宋体"/>
          <w:color w:val="auto"/>
          <w:spacing w:val="-5"/>
          <w:sz w:val="24"/>
          <w:szCs w:val="24"/>
          <w:highlight w:val="none"/>
        </w:rPr>
        <w:t>自签订之日起生效。</w:t>
      </w:r>
    </w:p>
    <w:p w14:paraId="0F8EEC5D">
      <w:pPr>
        <w:spacing w:before="181" w:line="360" w:lineRule="auto"/>
        <w:ind w:left="23" w:firstLine="497"/>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15.4</w:t>
      </w:r>
      <w:r>
        <w:rPr>
          <w:rFonts w:ascii="宋体" w:hAnsi="宋体" w:eastAsia="宋体" w:cs="宋体"/>
          <w:color w:val="auto"/>
          <w:spacing w:val="-49"/>
          <w:sz w:val="24"/>
          <w:szCs w:val="24"/>
          <w:highlight w:val="none"/>
        </w:rPr>
        <w:t xml:space="preserve"> </w:t>
      </w:r>
      <w:r>
        <w:rPr>
          <w:rFonts w:ascii="宋体" w:hAnsi="宋体" w:eastAsia="宋体" w:cs="宋体"/>
          <w:color w:val="auto"/>
          <w:spacing w:val="-8"/>
          <w:sz w:val="24"/>
          <w:szCs w:val="24"/>
          <w:highlight w:val="none"/>
        </w:rPr>
        <w:t>本合同一式</w:t>
      </w:r>
      <w:r>
        <w:rPr>
          <w:rFonts w:ascii="宋体" w:hAnsi="宋体" w:eastAsia="宋体" w:cs="宋体"/>
          <w:color w:val="auto"/>
          <w:spacing w:val="-8"/>
          <w:sz w:val="24"/>
          <w:szCs w:val="24"/>
          <w:highlight w:val="none"/>
          <w:u w:val="single" w:color="auto"/>
        </w:rPr>
        <w:t>（填写具体份数）</w:t>
      </w:r>
      <w:r>
        <w:rPr>
          <w:rFonts w:ascii="宋体" w:hAnsi="宋体" w:eastAsia="宋体" w:cs="宋体"/>
          <w:color w:val="auto"/>
          <w:spacing w:val="-8"/>
          <w:sz w:val="24"/>
          <w:szCs w:val="24"/>
          <w:highlight w:val="none"/>
        </w:rPr>
        <w:t>份，经双方授</w:t>
      </w:r>
      <w:r>
        <w:rPr>
          <w:rFonts w:ascii="宋体" w:hAnsi="宋体" w:eastAsia="宋体" w:cs="宋体"/>
          <w:color w:val="auto"/>
          <w:spacing w:val="-9"/>
          <w:sz w:val="24"/>
          <w:szCs w:val="24"/>
          <w:highlight w:val="none"/>
        </w:rPr>
        <w:t>权代表签字并盖章后生效。甲方、</w:t>
      </w:r>
      <w:r>
        <w:rPr>
          <w:rFonts w:ascii="宋体" w:hAnsi="宋体" w:eastAsia="宋体" w:cs="宋体"/>
          <w:color w:val="auto"/>
          <w:spacing w:val="-2"/>
          <w:sz w:val="24"/>
          <w:szCs w:val="24"/>
          <w:highlight w:val="none"/>
        </w:rPr>
        <w:t>乙方各执</w:t>
      </w:r>
      <w:r>
        <w:rPr>
          <w:rFonts w:ascii="宋体" w:hAnsi="宋体" w:eastAsia="宋体" w:cs="宋体"/>
          <w:color w:val="auto"/>
          <w:spacing w:val="-2"/>
          <w:sz w:val="24"/>
          <w:szCs w:val="24"/>
          <w:highlight w:val="none"/>
          <w:u w:val="single" w:color="auto"/>
        </w:rPr>
        <w:t>（填写具体份数）</w:t>
      </w:r>
      <w:r>
        <w:rPr>
          <w:rFonts w:ascii="宋体" w:hAnsi="宋体" w:eastAsia="宋体" w:cs="宋体"/>
          <w:color w:val="auto"/>
          <w:spacing w:val="-2"/>
          <w:sz w:val="24"/>
          <w:szCs w:val="24"/>
          <w:highlight w:val="none"/>
        </w:rPr>
        <w:t>份，送</w:t>
      </w:r>
      <w:r>
        <w:rPr>
          <w:rFonts w:ascii="宋体" w:hAnsi="宋体" w:eastAsia="宋体" w:cs="宋体"/>
          <w:color w:val="auto"/>
          <w:spacing w:val="-2"/>
          <w:sz w:val="24"/>
          <w:szCs w:val="24"/>
          <w:highlight w:val="none"/>
          <w:u w:val="single" w:color="auto"/>
        </w:rPr>
        <w:t>（填写需要备案的监管部门的全称）</w:t>
      </w:r>
      <w:r>
        <w:rPr>
          <w:rFonts w:ascii="宋体" w:hAnsi="宋体" w:eastAsia="宋体" w:cs="宋体"/>
          <w:color w:val="auto"/>
          <w:spacing w:val="-2"/>
          <w:sz w:val="24"/>
          <w:szCs w:val="24"/>
          <w:highlight w:val="none"/>
        </w:rPr>
        <w:t>备案</w:t>
      </w:r>
      <w:r>
        <w:rPr>
          <w:rFonts w:ascii="宋体" w:hAnsi="宋体" w:eastAsia="宋体" w:cs="宋体"/>
          <w:color w:val="auto"/>
          <w:spacing w:val="-2"/>
          <w:sz w:val="24"/>
          <w:szCs w:val="24"/>
          <w:highlight w:val="none"/>
          <w:u w:val="single" w:color="auto"/>
        </w:rPr>
        <w:t>（填写具</w:t>
      </w:r>
      <w:r>
        <w:rPr>
          <w:rFonts w:ascii="宋体" w:hAnsi="宋体" w:eastAsia="宋体" w:cs="宋体"/>
          <w:color w:val="auto"/>
          <w:spacing w:val="-1"/>
          <w:sz w:val="24"/>
          <w:szCs w:val="24"/>
          <w:highlight w:val="none"/>
          <w:u w:val="single" w:color="auto"/>
        </w:rPr>
        <w:t>体份数）</w:t>
      </w:r>
      <w:r>
        <w:rPr>
          <w:rFonts w:ascii="宋体" w:hAnsi="宋体" w:eastAsia="宋体" w:cs="宋体"/>
          <w:color w:val="auto"/>
          <w:spacing w:val="-1"/>
          <w:sz w:val="24"/>
          <w:szCs w:val="24"/>
          <w:highlight w:val="none"/>
        </w:rPr>
        <w:t>份，具有同等效力。</w:t>
      </w:r>
    </w:p>
    <w:p w14:paraId="697AF2C9">
      <w:pPr>
        <w:spacing w:before="1" w:line="219" w:lineRule="auto"/>
        <w:ind w:left="52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15.5</w:t>
      </w:r>
      <w:r>
        <w:rPr>
          <w:rFonts w:ascii="宋体" w:hAnsi="宋体" w:eastAsia="宋体" w:cs="宋体"/>
          <w:color w:val="auto"/>
          <w:spacing w:val="-32"/>
          <w:sz w:val="24"/>
          <w:szCs w:val="24"/>
          <w:highlight w:val="none"/>
        </w:rPr>
        <w:t xml:space="preserve"> </w:t>
      </w:r>
      <w:r>
        <w:rPr>
          <w:rFonts w:ascii="宋体" w:hAnsi="宋体" w:eastAsia="宋体" w:cs="宋体"/>
          <w:color w:val="auto"/>
          <w:spacing w:val="-4"/>
          <w:sz w:val="24"/>
          <w:szCs w:val="24"/>
          <w:highlight w:val="none"/>
        </w:rPr>
        <w:t>其他：</w:t>
      </w:r>
      <w:r>
        <w:rPr>
          <w:rFonts w:ascii="宋体" w:hAnsi="宋体" w:eastAsia="宋体" w:cs="宋体"/>
          <w:color w:val="auto"/>
          <w:spacing w:val="-87"/>
          <w:sz w:val="24"/>
          <w:szCs w:val="24"/>
          <w:highlight w:val="none"/>
        </w:rPr>
        <w:t xml:space="preserve"> </w:t>
      </w:r>
      <w:r>
        <w:rPr>
          <w:rFonts w:ascii="宋体" w:hAnsi="宋体" w:eastAsia="宋体" w:cs="宋体"/>
          <w:color w:val="auto"/>
          <w:spacing w:val="-4"/>
          <w:sz w:val="24"/>
          <w:szCs w:val="24"/>
          <w:highlight w:val="none"/>
        </w:rPr>
        <w:t>□无。</w:t>
      </w:r>
      <w:r>
        <w:rPr>
          <w:rFonts w:ascii="宋体" w:hAnsi="宋体" w:eastAsia="宋体" w:cs="宋体"/>
          <w:color w:val="auto"/>
          <w:spacing w:val="-86"/>
          <w:sz w:val="24"/>
          <w:szCs w:val="24"/>
          <w:highlight w:val="none"/>
        </w:rPr>
        <w:t xml:space="preserve"> </w:t>
      </w:r>
      <w:r>
        <w:rPr>
          <w:rFonts w:ascii="宋体" w:hAnsi="宋体" w:eastAsia="宋体" w:cs="宋体"/>
          <w:color w:val="auto"/>
          <w:spacing w:val="-4"/>
          <w:sz w:val="24"/>
          <w:szCs w:val="24"/>
          <w:highlight w:val="none"/>
        </w:rPr>
        <w:t>□</w:t>
      </w:r>
      <w:r>
        <w:rPr>
          <w:rFonts w:ascii="宋体" w:hAnsi="宋体" w:eastAsia="宋体" w:cs="宋体"/>
          <w:color w:val="auto"/>
          <w:spacing w:val="-4"/>
          <w:sz w:val="24"/>
          <w:szCs w:val="24"/>
          <w:highlight w:val="none"/>
          <w:u w:val="single" w:color="auto"/>
        </w:rPr>
        <w:t>（按照实际情况编制填写需要增加的内容）</w:t>
      </w:r>
      <w:r>
        <w:rPr>
          <w:rFonts w:ascii="宋体" w:hAnsi="宋体" w:eastAsia="宋体" w:cs="宋体"/>
          <w:color w:val="auto"/>
          <w:spacing w:val="-4"/>
          <w:sz w:val="24"/>
          <w:szCs w:val="24"/>
          <w:highlight w:val="none"/>
        </w:rPr>
        <w:t>。</w:t>
      </w:r>
    </w:p>
    <w:p w14:paraId="10E4F329">
      <w:pPr>
        <w:pStyle w:val="5"/>
        <w:spacing w:line="284" w:lineRule="auto"/>
        <w:rPr>
          <w:color w:val="auto"/>
          <w:highlight w:val="none"/>
        </w:rPr>
      </w:pPr>
    </w:p>
    <w:p w14:paraId="05D9DDC0">
      <w:pPr>
        <w:pStyle w:val="5"/>
        <w:spacing w:line="285" w:lineRule="auto"/>
        <w:rPr>
          <w:color w:val="auto"/>
          <w:highlight w:val="none"/>
        </w:rPr>
      </w:pPr>
    </w:p>
    <w:p w14:paraId="22C8B8BE">
      <w:pPr>
        <w:spacing w:before="78" w:line="221" w:lineRule="auto"/>
        <w:ind w:left="534"/>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甲方：</w:t>
      </w:r>
      <w:r>
        <w:rPr>
          <w:rFonts w:ascii="宋体" w:hAnsi="宋体" w:eastAsia="宋体" w:cs="宋体"/>
          <w:color w:val="auto"/>
          <w:spacing w:val="1"/>
          <w:sz w:val="24"/>
          <w:szCs w:val="24"/>
          <w:highlight w:val="none"/>
        </w:rPr>
        <w:t xml:space="preserve">                          </w:t>
      </w:r>
      <w:r>
        <w:rPr>
          <w:rFonts w:ascii="宋体" w:hAnsi="宋体" w:eastAsia="宋体" w:cs="宋体"/>
          <w:color w:val="auto"/>
          <w:spacing w:val="-13"/>
          <w:sz w:val="24"/>
          <w:szCs w:val="24"/>
          <w:highlight w:val="none"/>
        </w:rPr>
        <w:t>乙方：</w:t>
      </w:r>
    </w:p>
    <w:p w14:paraId="17031B29">
      <w:pPr>
        <w:spacing w:before="181" w:line="219" w:lineRule="auto"/>
        <w:ind w:left="50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法定代表人（单位负责人</w:t>
      </w:r>
      <w:r>
        <w:rPr>
          <w:rFonts w:ascii="宋体" w:hAnsi="宋体" w:eastAsia="宋体" w:cs="宋体"/>
          <w:color w:val="auto"/>
          <w:sz w:val="24"/>
          <w:szCs w:val="24"/>
          <w:highlight w:val="none"/>
        </w:rPr>
        <w:t>）：</w:t>
      </w:r>
      <w:r>
        <w:rPr>
          <w:rFonts w:ascii="宋体" w:hAnsi="宋体" w:eastAsia="宋体" w:cs="宋体"/>
          <w:color w:val="auto"/>
          <w:spacing w:val="1"/>
          <w:sz w:val="24"/>
          <w:szCs w:val="24"/>
          <w:highlight w:val="none"/>
        </w:rPr>
        <w:t xml:space="preserve">      </w:t>
      </w:r>
      <w:r>
        <w:rPr>
          <w:rFonts w:ascii="宋体" w:hAnsi="宋体" w:eastAsia="宋体" w:cs="宋体"/>
          <w:color w:val="auto"/>
          <w:spacing w:val="-1"/>
          <w:sz w:val="24"/>
          <w:szCs w:val="24"/>
          <w:highlight w:val="none"/>
        </w:rPr>
        <w:t>法定代表人（单位负责人</w:t>
      </w:r>
      <w:r>
        <w:rPr>
          <w:rFonts w:ascii="宋体" w:hAnsi="宋体" w:eastAsia="宋体" w:cs="宋体"/>
          <w:color w:val="auto"/>
          <w:sz w:val="24"/>
          <w:szCs w:val="24"/>
          <w:highlight w:val="none"/>
        </w:rPr>
        <w:t>）：</w:t>
      </w:r>
    </w:p>
    <w:p w14:paraId="10206E9F">
      <w:pPr>
        <w:spacing w:before="183" w:line="221" w:lineRule="auto"/>
        <w:ind w:left="504"/>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联系方法：               </w:t>
      </w:r>
      <w:r>
        <w:rPr>
          <w:rFonts w:ascii="宋体" w:hAnsi="宋体" w:eastAsia="宋体" w:cs="宋体"/>
          <w:color w:val="auto"/>
          <w:spacing w:val="-1"/>
          <w:sz w:val="24"/>
          <w:szCs w:val="24"/>
          <w:highlight w:val="none"/>
        </w:rPr>
        <w:t xml:space="preserve">       联系方法：</w:t>
      </w:r>
    </w:p>
    <w:p w14:paraId="2F469140">
      <w:pPr>
        <w:pStyle w:val="5"/>
        <w:spacing w:line="258" w:lineRule="auto"/>
        <w:rPr>
          <w:color w:val="auto"/>
          <w:highlight w:val="none"/>
        </w:rPr>
      </w:pPr>
    </w:p>
    <w:p w14:paraId="15CA4284">
      <w:pPr>
        <w:pStyle w:val="5"/>
        <w:spacing w:line="258" w:lineRule="auto"/>
        <w:rPr>
          <w:color w:val="auto"/>
          <w:highlight w:val="none"/>
        </w:rPr>
      </w:pPr>
    </w:p>
    <w:p w14:paraId="1BFE0438">
      <w:pPr>
        <w:pStyle w:val="5"/>
        <w:spacing w:line="258" w:lineRule="auto"/>
        <w:rPr>
          <w:color w:val="auto"/>
          <w:highlight w:val="none"/>
        </w:rPr>
      </w:pPr>
    </w:p>
    <w:p w14:paraId="6D785C73">
      <w:pPr>
        <w:pStyle w:val="5"/>
        <w:spacing w:line="258" w:lineRule="auto"/>
        <w:rPr>
          <w:color w:val="auto"/>
          <w:highlight w:val="none"/>
        </w:rPr>
      </w:pPr>
    </w:p>
    <w:p w14:paraId="5094BF8F">
      <w:pPr>
        <w:spacing w:before="79" w:line="222" w:lineRule="auto"/>
        <w:ind w:left="50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签订地点：</w:t>
      </w:r>
    </w:p>
    <w:p w14:paraId="17931C3D">
      <w:pPr>
        <w:spacing w:line="219" w:lineRule="auto"/>
        <w:rPr>
          <w:rFonts w:ascii="宋体" w:hAnsi="宋体" w:eastAsia="宋体" w:cs="宋体"/>
          <w:color w:val="auto"/>
          <w:spacing w:val="-3"/>
          <w:sz w:val="24"/>
          <w:szCs w:val="24"/>
          <w:highlight w:val="none"/>
        </w:rPr>
      </w:pPr>
    </w:p>
    <w:p w14:paraId="39A4B343">
      <w:pPr>
        <w:spacing w:line="219" w:lineRule="auto"/>
        <w:ind w:firstLine="702" w:firstLineChars="300"/>
        <w:rPr>
          <w:rFonts w:ascii="宋体" w:hAnsi="宋体" w:eastAsia="宋体" w:cs="宋体"/>
          <w:color w:val="auto"/>
          <w:sz w:val="24"/>
          <w:szCs w:val="24"/>
          <w:highlight w:val="none"/>
        </w:rPr>
        <w:sectPr>
          <w:footerReference r:id="rId42" w:type="default"/>
          <w:pgSz w:w="11906" w:h="16839"/>
          <w:pgMar w:top="1431" w:right="1785" w:bottom="1443" w:left="1785" w:header="0" w:footer="1202" w:gutter="0"/>
          <w:pgNumType w:fmt="decimal"/>
          <w:cols w:space="720" w:num="1"/>
        </w:sectPr>
      </w:pPr>
      <w:r>
        <w:rPr>
          <w:rFonts w:ascii="宋体" w:hAnsi="宋体" w:eastAsia="宋体" w:cs="宋体"/>
          <w:color w:val="auto"/>
          <w:spacing w:val="-3"/>
          <w:sz w:val="24"/>
          <w:szCs w:val="24"/>
          <w:highlight w:val="none"/>
        </w:rPr>
        <w:t>签订日期：    年</w:t>
      </w:r>
      <w:r>
        <w:rPr>
          <w:rFonts w:ascii="宋体" w:hAnsi="宋体" w:eastAsia="宋体" w:cs="宋体"/>
          <w:color w:val="auto"/>
          <w:spacing w:val="8"/>
          <w:sz w:val="24"/>
          <w:szCs w:val="24"/>
          <w:highlight w:val="none"/>
        </w:rPr>
        <w:t xml:space="preserve">   </w:t>
      </w:r>
      <w:r>
        <w:rPr>
          <w:rFonts w:ascii="宋体" w:hAnsi="宋体" w:eastAsia="宋体" w:cs="宋体"/>
          <w:color w:val="auto"/>
          <w:spacing w:val="-3"/>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3"/>
          <w:sz w:val="24"/>
          <w:szCs w:val="24"/>
          <w:highlight w:val="none"/>
        </w:rPr>
        <w:t>日</w:t>
      </w:r>
    </w:p>
    <w:p w14:paraId="38402329">
      <w:pPr>
        <w:spacing w:before="139" w:line="224" w:lineRule="auto"/>
        <w:ind w:left="1921"/>
        <w:rPr>
          <w:rFonts w:ascii="宋体" w:hAnsi="宋体" w:eastAsia="宋体" w:cs="宋体"/>
          <w:color w:val="auto"/>
          <w:sz w:val="35"/>
          <w:szCs w:val="35"/>
          <w:highlight w:val="none"/>
        </w:rPr>
      </w:pPr>
      <w:r>
        <w:rPr>
          <w:rFonts w:ascii="宋体" w:hAnsi="宋体" w:eastAsia="宋体" w:cs="宋体"/>
          <w:b/>
          <w:bCs/>
          <w:color w:val="auto"/>
          <w:spacing w:val="3"/>
          <w:sz w:val="35"/>
          <w:szCs w:val="35"/>
          <w:highlight w:val="none"/>
        </w:rPr>
        <w:t>第八章</w:t>
      </w:r>
      <w:r>
        <w:rPr>
          <w:rFonts w:ascii="宋体" w:hAnsi="宋体" w:eastAsia="宋体" w:cs="宋体"/>
          <w:color w:val="auto"/>
          <w:spacing w:val="17"/>
          <w:sz w:val="35"/>
          <w:szCs w:val="35"/>
          <w:highlight w:val="none"/>
        </w:rPr>
        <w:t xml:space="preserve">   </w:t>
      </w:r>
      <w:r>
        <w:rPr>
          <w:rFonts w:ascii="宋体" w:hAnsi="宋体" w:eastAsia="宋体" w:cs="宋体"/>
          <w:b/>
          <w:bCs/>
          <w:color w:val="auto"/>
          <w:spacing w:val="3"/>
          <w:sz w:val="35"/>
          <w:szCs w:val="35"/>
          <w:highlight w:val="none"/>
        </w:rPr>
        <w:t>响应文件有关格式</w:t>
      </w:r>
    </w:p>
    <w:p w14:paraId="1BB8772E">
      <w:pPr>
        <w:pStyle w:val="5"/>
        <w:spacing w:line="292" w:lineRule="auto"/>
        <w:rPr>
          <w:color w:val="auto"/>
          <w:highlight w:val="none"/>
        </w:rPr>
      </w:pPr>
    </w:p>
    <w:p w14:paraId="3F1619C9">
      <w:pPr>
        <w:pStyle w:val="5"/>
        <w:spacing w:line="293" w:lineRule="auto"/>
        <w:rPr>
          <w:color w:val="auto"/>
          <w:highlight w:val="none"/>
        </w:rPr>
      </w:pPr>
    </w:p>
    <w:p w14:paraId="553E56AD">
      <w:pPr>
        <w:spacing w:before="101" w:line="225" w:lineRule="auto"/>
        <w:ind w:left="2578"/>
        <w:rPr>
          <w:rFonts w:ascii="宋体" w:hAnsi="宋体" w:eastAsia="宋体" w:cs="宋体"/>
          <w:color w:val="auto"/>
          <w:sz w:val="31"/>
          <w:szCs w:val="31"/>
          <w:highlight w:val="none"/>
        </w:rPr>
      </w:pPr>
      <w:r>
        <w:rPr>
          <w:rFonts w:ascii="宋体" w:hAnsi="宋体" w:eastAsia="宋体" w:cs="宋体"/>
          <w:b/>
          <w:bCs/>
          <w:color w:val="auto"/>
          <w:spacing w:val="5"/>
          <w:sz w:val="31"/>
          <w:szCs w:val="31"/>
          <w:highlight w:val="none"/>
        </w:rPr>
        <w:t>一、响应文件封面格式</w:t>
      </w:r>
    </w:p>
    <w:p w14:paraId="24124A0D">
      <w:pPr>
        <w:pStyle w:val="5"/>
        <w:spacing w:line="287" w:lineRule="auto"/>
        <w:rPr>
          <w:color w:val="auto"/>
          <w:highlight w:val="none"/>
        </w:rPr>
      </w:pPr>
    </w:p>
    <w:p w14:paraId="40C6933C">
      <w:pPr>
        <w:pStyle w:val="5"/>
        <w:spacing w:line="287" w:lineRule="auto"/>
        <w:rPr>
          <w:color w:val="auto"/>
          <w:highlight w:val="none"/>
        </w:rPr>
      </w:pPr>
    </w:p>
    <w:p w14:paraId="46D126BC">
      <w:pPr>
        <w:spacing w:before="114" w:line="225" w:lineRule="auto"/>
        <w:ind w:left="5274"/>
        <w:rPr>
          <w:rFonts w:ascii="宋体" w:hAnsi="宋体" w:eastAsia="宋体" w:cs="宋体"/>
          <w:color w:val="auto"/>
          <w:sz w:val="35"/>
          <w:szCs w:val="35"/>
          <w:highlight w:val="none"/>
        </w:rPr>
      </w:pPr>
      <w:r>
        <w:rPr>
          <w:color w:val="auto"/>
          <w:highlight w:val="none"/>
        </w:rPr>
        <w:pict>
          <v:shape id="_x0000_s1027" o:spid="_x0000_s1027" style="position:absolute;left:0pt;margin-left:46.3pt;margin-top:22.85pt;height:0.85pt;width:324pt;z-index:251661312;mso-width-relative:page;mso-height-relative:page;" filled="f" stroked="t" coordsize="6480,17" path="m0,8l6480,8e">
            <v:fill on="f" focussize="0,0"/>
            <v:stroke weight="0.84pt" color="#000000" miterlimit="2" joinstyle="bevel"/>
            <v:imagedata o:title=""/>
            <o:lock v:ext="edit"/>
          </v:shape>
        </w:pict>
      </w:r>
      <w:r>
        <w:rPr>
          <w:rFonts w:ascii="宋体" w:hAnsi="宋体" w:eastAsia="宋体" w:cs="宋体"/>
          <w:color w:val="auto"/>
          <w:spacing w:val="3"/>
          <w:sz w:val="35"/>
          <w:szCs w:val="35"/>
          <w:highlight w:val="none"/>
        </w:rPr>
        <w:t>（项目名称）</w:t>
      </w:r>
    </w:p>
    <w:p w14:paraId="43C1D51E">
      <w:pPr>
        <w:pStyle w:val="5"/>
        <w:spacing w:line="251" w:lineRule="auto"/>
        <w:rPr>
          <w:color w:val="auto"/>
          <w:highlight w:val="none"/>
        </w:rPr>
      </w:pPr>
    </w:p>
    <w:p w14:paraId="48A9419B">
      <w:pPr>
        <w:pStyle w:val="5"/>
        <w:spacing w:line="251" w:lineRule="auto"/>
        <w:rPr>
          <w:color w:val="auto"/>
          <w:highlight w:val="none"/>
        </w:rPr>
      </w:pPr>
    </w:p>
    <w:p w14:paraId="09C4AB1C">
      <w:pPr>
        <w:pStyle w:val="5"/>
        <w:spacing w:line="251" w:lineRule="auto"/>
        <w:rPr>
          <w:color w:val="auto"/>
          <w:highlight w:val="none"/>
        </w:rPr>
      </w:pPr>
    </w:p>
    <w:p w14:paraId="1CF23E80">
      <w:pPr>
        <w:pStyle w:val="5"/>
        <w:spacing w:line="251" w:lineRule="auto"/>
        <w:rPr>
          <w:color w:val="auto"/>
          <w:highlight w:val="none"/>
        </w:rPr>
      </w:pPr>
    </w:p>
    <w:p w14:paraId="180C24E8">
      <w:pPr>
        <w:pStyle w:val="5"/>
        <w:spacing w:line="251" w:lineRule="auto"/>
        <w:rPr>
          <w:color w:val="auto"/>
          <w:highlight w:val="none"/>
        </w:rPr>
      </w:pPr>
    </w:p>
    <w:p w14:paraId="6F74D9B6">
      <w:pPr>
        <w:pStyle w:val="5"/>
        <w:spacing w:line="251" w:lineRule="auto"/>
        <w:rPr>
          <w:color w:val="auto"/>
          <w:highlight w:val="none"/>
        </w:rPr>
      </w:pPr>
    </w:p>
    <w:p w14:paraId="4F967D21">
      <w:pPr>
        <w:pStyle w:val="5"/>
        <w:spacing w:line="251" w:lineRule="auto"/>
        <w:rPr>
          <w:color w:val="auto"/>
          <w:highlight w:val="none"/>
        </w:rPr>
      </w:pPr>
    </w:p>
    <w:p w14:paraId="2BF82F9C">
      <w:pPr>
        <w:pStyle w:val="5"/>
        <w:spacing w:line="252" w:lineRule="auto"/>
        <w:rPr>
          <w:color w:val="auto"/>
          <w:highlight w:val="none"/>
        </w:rPr>
      </w:pPr>
    </w:p>
    <w:p w14:paraId="13D77CC0">
      <w:pPr>
        <w:pStyle w:val="5"/>
        <w:spacing w:line="252" w:lineRule="auto"/>
        <w:rPr>
          <w:color w:val="auto"/>
          <w:highlight w:val="none"/>
        </w:rPr>
      </w:pPr>
    </w:p>
    <w:p w14:paraId="70921C1D">
      <w:pPr>
        <w:pStyle w:val="5"/>
        <w:spacing w:line="252" w:lineRule="auto"/>
        <w:rPr>
          <w:color w:val="auto"/>
          <w:highlight w:val="none"/>
        </w:rPr>
      </w:pPr>
    </w:p>
    <w:p w14:paraId="66DB54FD">
      <w:pPr>
        <w:pStyle w:val="5"/>
        <w:spacing w:line="252" w:lineRule="auto"/>
        <w:rPr>
          <w:color w:val="auto"/>
          <w:highlight w:val="none"/>
        </w:rPr>
      </w:pPr>
    </w:p>
    <w:p w14:paraId="49876623">
      <w:pPr>
        <w:pStyle w:val="5"/>
        <w:spacing w:line="252" w:lineRule="auto"/>
        <w:rPr>
          <w:color w:val="auto"/>
          <w:highlight w:val="none"/>
        </w:rPr>
      </w:pPr>
    </w:p>
    <w:p w14:paraId="11C1A1FD">
      <w:pPr>
        <w:spacing w:before="230" w:line="222" w:lineRule="auto"/>
        <w:ind w:left="2243"/>
        <w:rPr>
          <w:rFonts w:ascii="宋体" w:hAnsi="宋体" w:eastAsia="宋体" w:cs="宋体"/>
          <w:color w:val="auto"/>
          <w:sz w:val="71"/>
          <w:szCs w:val="71"/>
          <w:highlight w:val="none"/>
        </w:rPr>
      </w:pPr>
      <w:r>
        <w:rPr>
          <w:rFonts w:ascii="宋体" w:hAnsi="宋体" w:eastAsia="宋体" w:cs="宋体"/>
          <w:b/>
          <w:bCs/>
          <w:color w:val="auto"/>
          <w:spacing w:val="-32"/>
          <w:sz w:val="71"/>
          <w:szCs w:val="71"/>
          <w:highlight w:val="none"/>
        </w:rPr>
        <w:t>响</w:t>
      </w:r>
      <w:r>
        <w:rPr>
          <w:rFonts w:ascii="宋体" w:hAnsi="宋体" w:eastAsia="宋体" w:cs="宋体"/>
          <w:color w:val="auto"/>
          <w:spacing w:val="38"/>
          <w:sz w:val="71"/>
          <w:szCs w:val="71"/>
          <w:highlight w:val="none"/>
        </w:rPr>
        <w:t xml:space="preserve"> </w:t>
      </w:r>
      <w:r>
        <w:rPr>
          <w:rFonts w:ascii="宋体" w:hAnsi="宋体" w:eastAsia="宋体" w:cs="宋体"/>
          <w:b/>
          <w:bCs/>
          <w:color w:val="auto"/>
          <w:spacing w:val="-32"/>
          <w:sz w:val="71"/>
          <w:szCs w:val="71"/>
          <w:highlight w:val="none"/>
        </w:rPr>
        <w:t>应</w:t>
      </w:r>
      <w:r>
        <w:rPr>
          <w:rFonts w:ascii="宋体" w:hAnsi="宋体" w:eastAsia="宋体" w:cs="宋体"/>
          <w:color w:val="auto"/>
          <w:spacing w:val="41"/>
          <w:sz w:val="71"/>
          <w:szCs w:val="71"/>
          <w:highlight w:val="none"/>
        </w:rPr>
        <w:t xml:space="preserve"> </w:t>
      </w:r>
      <w:r>
        <w:rPr>
          <w:rFonts w:ascii="宋体" w:hAnsi="宋体" w:eastAsia="宋体" w:cs="宋体"/>
          <w:b/>
          <w:bCs/>
          <w:color w:val="auto"/>
          <w:spacing w:val="-32"/>
          <w:sz w:val="71"/>
          <w:szCs w:val="71"/>
          <w:highlight w:val="none"/>
        </w:rPr>
        <w:t>文</w:t>
      </w:r>
      <w:r>
        <w:rPr>
          <w:rFonts w:ascii="宋体" w:hAnsi="宋体" w:eastAsia="宋体" w:cs="宋体"/>
          <w:color w:val="auto"/>
          <w:spacing w:val="35"/>
          <w:sz w:val="71"/>
          <w:szCs w:val="71"/>
          <w:highlight w:val="none"/>
        </w:rPr>
        <w:t xml:space="preserve"> </w:t>
      </w:r>
      <w:r>
        <w:rPr>
          <w:rFonts w:ascii="宋体" w:hAnsi="宋体" w:eastAsia="宋体" w:cs="宋体"/>
          <w:b/>
          <w:bCs/>
          <w:color w:val="auto"/>
          <w:spacing w:val="-32"/>
          <w:sz w:val="71"/>
          <w:szCs w:val="71"/>
          <w:highlight w:val="none"/>
        </w:rPr>
        <w:t>件</w:t>
      </w:r>
    </w:p>
    <w:p w14:paraId="255CF724">
      <w:pPr>
        <w:pStyle w:val="5"/>
        <w:spacing w:line="371" w:lineRule="auto"/>
        <w:rPr>
          <w:color w:val="auto"/>
          <w:highlight w:val="none"/>
        </w:rPr>
      </w:pPr>
    </w:p>
    <w:p w14:paraId="36674BB8">
      <w:pPr>
        <w:spacing w:before="79" w:line="219" w:lineRule="auto"/>
        <w:ind w:left="357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项目编号：</w:t>
      </w:r>
    </w:p>
    <w:p w14:paraId="02472E9A">
      <w:pPr>
        <w:pStyle w:val="5"/>
        <w:spacing w:line="247" w:lineRule="auto"/>
        <w:rPr>
          <w:color w:val="auto"/>
          <w:highlight w:val="none"/>
        </w:rPr>
      </w:pPr>
    </w:p>
    <w:p w14:paraId="562B7CCB">
      <w:pPr>
        <w:pStyle w:val="5"/>
        <w:spacing w:line="247" w:lineRule="auto"/>
        <w:rPr>
          <w:color w:val="auto"/>
          <w:highlight w:val="none"/>
        </w:rPr>
      </w:pPr>
    </w:p>
    <w:p w14:paraId="240A96D4">
      <w:pPr>
        <w:pStyle w:val="5"/>
        <w:spacing w:line="247" w:lineRule="auto"/>
        <w:rPr>
          <w:color w:val="auto"/>
          <w:highlight w:val="none"/>
        </w:rPr>
      </w:pPr>
    </w:p>
    <w:p w14:paraId="65D93EC3">
      <w:pPr>
        <w:pStyle w:val="5"/>
        <w:spacing w:line="247" w:lineRule="auto"/>
        <w:rPr>
          <w:color w:val="auto"/>
          <w:highlight w:val="none"/>
        </w:rPr>
      </w:pPr>
    </w:p>
    <w:p w14:paraId="147CC738">
      <w:pPr>
        <w:pStyle w:val="5"/>
        <w:spacing w:line="247" w:lineRule="auto"/>
        <w:rPr>
          <w:color w:val="auto"/>
          <w:highlight w:val="none"/>
        </w:rPr>
      </w:pPr>
    </w:p>
    <w:p w14:paraId="072A7005">
      <w:pPr>
        <w:pStyle w:val="5"/>
        <w:spacing w:line="247" w:lineRule="auto"/>
        <w:rPr>
          <w:color w:val="auto"/>
          <w:highlight w:val="none"/>
        </w:rPr>
      </w:pPr>
    </w:p>
    <w:p w14:paraId="45290A2A">
      <w:pPr>
        <w:pStyle w:val="5"/>
        <w:spacing w:line="247" w:lineRule="auto"/>
        <w:rPr>
          <w:color w:val="auto"/>
          <w:highlight w:val="none"/>
        </w:rPr>
      </w:pPr>
    </w:p>
    <w:p w14:paraId="28804EAB">
      <w:pPr>
        <w:pStyle w:val="5"/>
        <w:spacing w:line="247" w:lineRule="auto"/>
        <w:rPr>
          <w:color w:val="auto"/>
          <w:highlight w:val="none"/>
        </w:rPr>
      </w:pPr>
    </w:p>
    <w:p w14:paraId="398EC895">
      <w:pPr>
        <w:pStyle w:val="5"/>
        <w:spacing w:line="247" w:lineRule="auto"/>
        <w:rPr>
          <w:color w:val="auto"/>
          <w:highlight w:val="none"/>
        </w:rPr>
      </w:pPr>
    </w:p>
    <w:p w14:paraId="3EBFC7D0">
      <w:pPr>
        <w:pStyle w:val="5"/>
        <w:spacing w:line="247" w:lineRule="auto"/>
        <w:rPr>
          <w:color w:val="auto"/>
          <w:highlight w:val="none"/>
        </w:rPr>
      </w:pPr>
    </w:p>
    <w:p w14:paraId="046113E7">
      <w:pPr>
        <w:pStyle w:val="5"/>
        <w:spacing w:line="247" w:lineRule="auto"/>
        <w:rPr>
          <w:color w:val="auto"/>
          <w:highlight w:val="none"/>
        </w:rPr>
      </w:pPr>
    </w:p>
    <w:p w14:paraId="31ABBDBC">
      <w:pPr>
        <w:pStyle w:val="5"/>
        <w:spacing w:line="247" w:lineRule="auto"/>
        <w:rPr>
          <w:color w:val="auto"/>
          <w:highlight w:val="none"/>
        </w:rPr>
      </w:pPr>
    </w:p>
    <w:p w14:paraId="30562F19">
      <w:pPr>
        <w:pStyle w:val="5"/>
        <w:spacing w:line="248" w:lineRule="auto"/>
        <w:rPr>
          <w:color w:val="auto"/>
          <w:highlight w:val="none"/>
        </w:rPr>
      </w:pPr>
    </w:p>
    <w:p w14:paraId="3C3FC7DA">
      <w:pPr>
        <w:pStyle w:val="5"/>
        <w:spacing w:line="248" w:lineRule="auto"/>
        <w:rPr>
          <w:color w:val="auto"/>
          <w:highlight w:val="none"/>
        </w:rPr>
      </w:pPr>
    </w:p>
    <w:p w14:paraId="0DBDA614">
      <w:pPr>
        <w:spacing w:before="91" w:line="219" w:lineRule="auto"/>
        <w:ind w:left="373"/>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供应商名称（全称并加盖公章</w:t>
      </w:r>
      <w:r>
        <w:rPr>
          <w:rFonts w:ascii="宋体" w:hAnsi="宋体" w:eastAsia="宋体" w:cs="宋体"/>
          <w:color w:val="auto"/>
          <w:sz w:val="28"/>
          <w:szCs w:val="28"/>
          <w:highlight w:val="none"/>
        </w:rPr>
        <w:t>）：</w:t>
      </w:r>
    </w:p>
    <w:p w14:paraId="26EE6C1F">
      <w:pPr>
        <w:spacing w:before="292" w:line="219" w:lineRule="auto"/>
        <w:ind w:left="374"/>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法定代表人或委托代理人（签字或盖章</w:t>
      </w:r>
      <w:r>
        <w:rPr>
          <w:rFonts w:ascii="宋体" w:hAnsi="宋体" w:eastAsia="宋体" w:cs="宋体"/>
          <w:color w:val="auto"/>
          <w:spacing w:val="1"/>
          <w:sz w:val="28"/>
          <w:szCs w:val="28"/>
          <w:highlight w:val="none"/>
        </w:rPr>
        <w:t>）：</w:t>
      </w:r>
    </w:p>
    <w:p w14:paraId="7D47C6B9">
      <w:pPr>
        <w:spacing w:before="292" w:line="220" w:lineRule="auto"/>
        <w:ind w:left="421"/>
        <w:rPr>
          <w:rFonts w:ascii="宋体" w:hAnsi="宋体" w:eastAsia="宋体" w:cs="宋体"/>
          <w:color w:val="auto"/>
          <w:sz w:val="28"/>
          <w:szCs w:val="28"/>
          <w:highlight w:val="none"/>
        </w:rPr>
      </w:pPr>
      <w:r>
        <w:rPr>
          <w:rFonts w:ascii="宋体" w:hAnsi="宋体" w:eastAsia="宋体" w:cs="宋体"/>
          <w:color w:val="auto"/>
          <w:spacing w:val="-17"/>
          <w:sz w:val="28"/>
          <w:szCs w:val="28"/>
          <w:highlight w:val="none"/>
        </w:rPr>
        <w:t>日</w:t>
      </w:r>
      <w:r>
        <w:rPr>
          <w:rFonts w:ascii="宋体" w:hAnsi="宋体" w:eastAsia="宋体" w:cs="宋体"/>
          <w:color w:val="auto"/>
          <w:spacing w:val="3"/>
          <w:sz w:val="28"/>
          <w:szCs w:val="28"/>
          <w:highlight w:val="none"/>
        </w:rPr>
        <w:t xml:space="preserve">    </w:t>
      </w:r>
      <w:r>
        <w:rPr>
          <w:rFonts w:ascii="宋体" w:hAnsi="宋体" w:eastAsia="宋体" w:cs="宋体"/>
          <w:color w:val="auto"/>
          <w:spacing w:val="-17"/>
          <w:sz w:val="28"/>
          <w:szCs w:val="28"/>
          <w:highlight w:val="none"/>
        </w:rPr>
        <w:t>期：</w:t>
      </w:r>
      <w:r>
        <w:rPr>
          <w:rFonts w:ascii="宋体" w:hAnsi="宋体" w:eastAsia="宋体" w:cs="宋体"/>
          <w:color w:val="auto"/>
          <w:spacing w:val="12"/>
          <w:sz w:val="28"/>
          <w:szCs w:val="28"/>
          <w:highlight w:val="none"/>
        </w:rPr>
        <w:t xml:space="preserve"> </w:t>
      </w:r>
      <w:r>
        <w:rPr>
          <w:rFonts w:ascii="宋体" w:hAnsi="宋体" w:eastAsia="宋体" w:cs="宋体"/>
          <w:color w:val="auto"/>
          <w:spacing w:val="-17"/>
          <w:sz w:val="28"/>
          <w:szCs w:val="28"/>
          <w:highlight w:val="none"/>
        </w:rPr>
        <w:t>年</w:t>
      </w:r>
      <w:r>
        <w:rPr>
          <w:rFonts w:ascii="宋体" w:hAnsi="宋体" w:eastAsia="宋体" w:cs="宋体"/>
          <w:color w:val="auto"/>
          <w:spacing w:val="17"/>
          <w:sz w:val="28"/>
          <w:szCs w:val="28"/>
          <w:highlight w:val="none"/>
        </w:rPr>
        <w:t xml:space="preserve"> </w:t>
      </w:r>
      <w:r>
        <w:rPr>
          <w:rFonts w:ascii="宋体" w:hAnsi="宋体" w:eastAsia="宋体" w:cs="宋体"/>
          <w:color w:val="auto"/>
          <w:spacing w:val="-17"/>
          <w:sz w:val="28"/>
          <w:szCs w:val="28"/>
          <w:highlight w:val="none"/>
        </w:rPr>
        <w:t>月</w:t>
      </w:r>
      <w:r>
        <w:rPr>
          <w:rFonts w:ascii="宋体" w:hAnsi="宋体" w:eastAsia="宋体" w:cs="宋体"/>
          <w:color w:val="auto"/>
          <w:spacing w:val="58"/>
          <w:sz w:val="28"/>
          <w:szCs w:val="28"/>
          <w:highlight w:val="none"/>
        </w:rPr>
        <w:t xml:space="preserve"> </w:t>
      </w:r>
      <w:r>
        <w:rPr>
          <w:rFonts w:ascii="宋体" w:hAnsi="宋体" w:eastAsia="宋体" w:cs="宋体"/>
          <w:color w:val="auto"/>
          <w:spacing w:val="-17"/>
          <w:sz w:val="28"/>
          <w:szCs w:val="28"/>
          <w:highlight w:val="none"/>
        </w:rPr>
        <w:t>日</w:t>
      </w:r>
    </w:p>
    <w:p w14:paraId="2A627E2F">
      <w:pPr>
        <w:spacing w:line="220" w:lineRule="auto"/>
        <w:rPr>
          <w:rFonts w:ascii="宋体" w:hAnsi="宋体" w:eastAsia="宋体" w:cs="宋体"/>
          <w:color w:val="auto"/>
          <w:sz w:val="28"/>
          <w:szCs w:val="28"/>
          <w:highlight w:val="none"/>
        </w:rPr>
        <w:sectPr>
          <w:footerReference r:id="rId43" w:type="default"/>
          <w:pgSz w:w="11906" w:h="16839"/>
          <w:pgMar w:top="1431" w:right="1785" w:bottom="1443" w:left="1785" w:header="0" w:footer="1202" w:gutter="0"/>
          <w:pgNumType w:fmt="decimal"/>
          <w:cols w:space="720" w:num="1"/>
        </w:sectPr>
      </w:pPr>
    </w:p>
    <w:p w14:paraId="5BA784AA">
      <w:pPr>
        <w:spacing w:before="163" w:line="223" w:lineRule="auto"/>
        <w:ind w:left="3374"/>
        <w:rPr>
          <w:rFonts w:ascii="宋体" w:hAnsi="宋体" w:eastAsia="宋体" w:cs="宋体"/>
          <w:color w:val="auto"/>
          <w:sz w:val="31"/>
          <w:szCs w:val="31"/>
          <w:highlight w:val="none"/>
        </w:rPr>
      </w:pPr>
      <w:r>
        <w:rPr>
          <w:rFonts w:ascii="宋体" w:hAnsi="宋体" w:eastAsia="宋体" w:cs="宋体"/>
          <w:b/>
          <w:bCs/>
          <w:color w:val="auto"/>
          <w:spacing w:val="5"/>
          <w:sz w:val="31"/>
          <w:szCs w:val="31"/>
          <w:highlight w:val="none"/>
        </w:rPr>
        <w:t>二、报价一览表</w:t>
      </w:r>
    </w:p>
    <w:p w14:paraId="701B8B57">
      <w:pPr>
        <w:pStyle w:val="5"/>
        <w:spacing w:line="322" w:lineRule="auto"/>
        <w:rPr>
          <w:color w:val="auto"/>
          <w:highlight w:val="none"/>
        </w:rPr>
      </w:pPr>
    </w:p>
    <w:p w14:paraId="162DEC9A">
      <w:pPr>
        <w:pStyle w:val="5"/>
        <w:spacing w:line="323" w:lineRule="auto"/>
        <w:rPr>
          <w:color w:val="auto"/>
          <w:highlight w:val="none"/>
        </w:rPr>
      </w:pPr>
    </w:p>
    <w:p w14:paraId="174FC185">
      <w:pPr>
        <w:spacing w:before="78" w:line="219" w:lineRule="auto"/>
        <w:ind w:left="12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项目编号：</w:t>
      </w:r>
    </w:p>
    <w:p w14:paraId="076A1D18">
      <w:pPr>
        <w:spacing w:before="182" w:line="219" w:lineRule="auto"/>
        <w:ind w:left="127"/>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项目名称：                           </w:t>
      </w:r>
      <w:r>
        <w:rPr>
          <w:rFonts w:ascii="宋体" w:hAnsi="宋体" w:eastAsia="宋体" w:cs="宋体"/>
          <w:color w:val="auto"/>
          <w:spacing w:val="-1"/>
          <w:sz w:val="24"/>
          <w:szCs w:val="24"/>
          <w:highlight w:val="none"/>
        </w:rPr>
        <w:t xml:space="preserve">                 单位：</w:t>
      </w:r>
      <w:r>
        <w:rPr>
          <w:rFonts w:ascii="宋体" w:hAnsi="宋体" w:eastAsia="宋体" w:cs="宋体"/>
          <w:color w:val="auto"/>
          <w:spacing w:val="11"/>
          <w:sz w:val="24"/>
          <w:szCs w:val="24"/>
          <w:highlight w:val="none"/>
        </w:rPr>
        <w:t xml:space="preserve"> </w:t>
      </w:r>
      <w:r>
        <w:rPr>
          <w:rFonts w:ascii="宋体" w:hAnsi="宋体" w:eastAsia="宋体" w:cs="宋体"/>
          <w:color w:val="auto"/>
          <w:spacing w:val="-1"/>
          <w:sz w:val="24"/>
          <w:szCs w:val="24"/>
          <w:highlight w:val="none"/>
        </w:rPr>
        <w:t>元（人民币）</w:t>
      </w:r>
    </w:p>
    <w:p w14:paraId="5980DC64">
      <w:pPr>
        <w:spacing w:line="69" w:lineRule="exact"/>
        <w:rPr>
          <w:color w:val="auto"/>
          <w:highlight w:val="none"/>
        </w:rPr>
      </w:pPr>
    </w:p>
    <w:tbl>
      <w:tblPr>
        <w:tblStyle w:val="11"/>
        <w:tblW w:w="918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5"/>
        <w:gridCol w:w="1841"/>
        <w:gridCol w:w="3681"/>
        <w:gridCol w:w="1841"/>
        <w:gridCol w:w="856"/>
      </w:tblGrid>
      <w:tr w14:paraId="63DC4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965" w:type="dxa"/>
            <w:shd w:val="clear" w:color="auto" w:fill="F2F2F2"/>
            <w:vAlign w:val="top"/>
          </w:tcPr>
          <w:p w14:paraId="05C2F904">
            <w:pPr>
              <w:spacing w:line="288" w:lineRule="auto"/>
              <w:rPr>
                <w:rFonts w:ascii="Arial"/>
                <w:color w:val="auto"/>
                <w:sz w:val="21"/>
                <w:highlight w:val="none"/>
              </w:rPr>
            </w:pPr>
          </w:p>
          <w:p w14:paraId="414B5F94">
            <w:pPr>
              <w:pStyle w:val="12"/>
              <w:spacing w:before="78" w:line="220" w:lineRule="auto"/>
              <w:ind w:left="244"/>
              <w:rPr>
                <w:color w:val="auto"/>
                <w:highlight w:val="none"/>
              </w:rPr>
            </w:pPr>
            <w:r>
              <w:rPr>
                <w:b/>
                <w:bCs/>
                <w:color w:val="auto"/>
                <w:spacing w:val="-8"/>
                <w:highlight w:val="none"/>
              </w:rPr>
              <w:t>标段</w:t>
            </w:r>
          </w:p>
        </w:tc>
        <w:tc>
          <w:tcPr>
            <w:tcW w:w="1841" w:type="dxa"/>
            <w:shd w:val="clear" w:color="auto" w:fill="F2F2F2"/>
            <w:vAlign w:val="top"/>
          </w:tcPr>
          <w:p w14:paraId="0CA51856">
            <w:pPr>
              <w:spacing w:line="288" w:lineRule="auto"/>
              <w:rPr>
                <w:rFonts w:ascii="Arial"/>
                <w:color w:val="auto"/>
                <w:sz w:val="21"/>
                <w:highlight w:val="none"/>
              </w:rPr>
            </w:pPr>
          </w:p>
          <w:p w14:paraId="5BA8F584">
            <w:pPr>
              <w:pStyle w:val="12"/>
              <w:spacing w:before="78" w:line="220" w:lineRule="auto"/>
              <w:ind w:left="444"/>
              <w:rPr>
                <w:color w:val="auto"/>
                <w:highlight w:val="none"/>
              </w:rPr>
            </w:pPr>
            <w:r>
              <w:rPr>
                <w:b/>
                <w:bCs/>
                <w:color w:val="auto"/>
                <w:spacing w:val="-6"/>
                <w:highlight w:val="none"/>
              </w:rPr>
              <w:t>项目名称</w:t>
            </w:r>
          </w:p>
        </w:tc>
        <w:tc>
          <w:tcPr>
            <w:tcW w:w="3681" w:type="dxa"/>
            <w:shd w:val="clear" w:color="auto" w:fill="F2F2F2"/>
            <w:vAlign w:val="top"/>
          </w:tcPr>
          <w:p w14:paraId="48581BF7">
            <w:pPr>
              <w:spacing w:line="288" w:lineRule="auto"/>
              <w:rPr>
                <w:rFonts w:ascii="Arial"/>
                <w:color w:val="auto"/>
                <w:sz w:val="21"/>
                <w:highlight w:val="none"/>
              </w:rPr>
            </w:pPr>
          </w:p>
          <w:p w14:paraId="00FB5ED6">
            <w:pPr>
              <w:pStyle w:val="12"/>
              <w:spacing w:before="78" w:line="218" w:lineRule="auto"/>
              <w:ind w:left="1004"/>
              <w:rPr>
                <w:color w:val="auto"/>
                <w:highlight w:val="none"/>
              </w:rPr>
            </w:pPr>
            <w:r>
              <w:rPr>
                <w:b/>
                <w:bCs/>
                <w:color w:val="auto"/>
                <w:spacing w:val="-4"/>
                <w:highlight w:val="none"/>
              </w:rPr>
              <w:t>投标报价（元）</w:t>
            </w:r>
          </w:p>
        </w:tc>
        <w:tc>
          <w:tcPr>
            <w:tcW w:w="1841" w:type="dxa"/>
            <w:shd w:val="clear" w:color="auto" w:fill="F2F2F2"/>
            <w:vAlign w:val="top"/>
          </w:tcPr>
          <w:p w14:paraId="5CFEEF46">
            <w:pPr>
              <w:spacing w:line="288" w:lineRule="auto"/>
              <w:rPr>
                <w:rFonts w:ascii="Arial"/>
                <w:color w:val="auto"/>
                <w:sz w:val="21"/>
                <w:highlight w:val="none"/>
              </w:rPr>
            </w:pPr>
          </w:p>
          <w:p w14:paraId="5B288A99">
            <w:pPr>
              <w:pStyle w:val="12"/>
              <w:spacing w:before="78" w:line="220" w:lineRule="auto"/>
              <w:ind w:left="206"/>
              <w:rPr>
                <w:color w:val="auto"/>
                <w:highlight w:val="none"/>
              </w:rPr>
            </w:pPr>
            <w:r>
              <w:rPr>
                <w:b/>
                <w:bCs/>
                <w:color w:val="auto"/>
                <w:spacing w:val="-4"/>
                <w:highlight w:val="none"/>
              </w:rPr>
              <w:t>合同履行期限</w:t>
            </w:r>
          </w:p>
        </w:tc>
        <w:tc>
          <w:tcPr>
            <w:tcW w:w="856" w:type="dxa"/>
            <w:shd w:val="clear" w:color="auto" w:fill="F2F2F2"/>
            <w:vAlign w:val="top"/>
          </w:tcPr>
          <w:p w14:paraId="0638FE7D">
            <w:pPr>
              <w:spacing w:line="288" w:lineRule="auto"/>
              <w:rPr>
                <w:rFonts w:ascii="Arial"/>
                <w:color w:val="auto"/>
                <w:sz w:val="21"/>
                <w:highlight w:val="none"/>
              </w:rPr>
            </w:pPr>
          </w:p>
          <w:p w14:paraId="37D779DF">
            <w:pPr>
              <w:pStyle w:val="12"/>
              <w:spacing w:before="78" w:line="221" w:lineRule="auto"/>
              <w:ind w:left="196"/>
              <w:rPr>
                <w:color w:val="auto"/>
                <w:highlight w:val="none"/>
              </w:rPr>
            </w:pPr>
            <w:r>
              <w:rPr>
                <w:b/>
                <w:bCs/>
                <w:color w:val="auto"/>
                <w:spacing w:val="-9"/>
                <w:highlight w:val="none"/>
              </w:rPr>
              <w:t>备注</w:t>
            </w:r>
          </w:p>
        </w:tc>
      </w:tr>
      <w:tr w14:paraId="02B99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trPr>
        <w:tc>
          <w:tcPr>
            <w:tcW w:w="965" w:type="dxa"/>
            <w:vAlign w:val="top"/>
          </w:tcPr>
          <w:p w14:paraId="5553A0DA">
            <w:pPr>
              <w:rPr>
                <w:rFonts w:ascii="Arial"/>
                <w:color w:val="auto"/>
                <w:sz w:val="21"/>
                <w:highlight w:val="none"/>
              </w:rPr>
            </w:pPr>
          </w:p>
        </w:tc>
        <w:tc>
          <w:tcPr>
            <w:tcW w:w="1841" w:type="dxa"/>
            <w:vAlign w:val="top"/>
          </w:tcPr>
          <w:p w14:paraId="67A455C7">
            <w:pPr>
              <w:rPr>
                <w:rFonts w:ascii="Arial"/>
                <w:color w:val="auto"/>
                <w:sz w:val="21"/>
                <w:highlight w:val="none"/>
              </w:rPr>
            </w:pPr>
          </w:p>
        </w:tc>
        <w:tc>
          <w:tcPr>
            <w:tcW w:w="3681" w:type="dxa"/>
            <w:vAlign w:val="top"/>
          </w:tcPr>
          <w:p w14:paraId="32B72556">
            <w:pPr>
              <w:spacing w:line="285" w:lineRule="auto"/>
              <w:rPr>
                <w:rFonts w:ascii="Arial"/>
                <w:color w:val="auto"/>
                <w:sz w:val="21"/>
                <w:highlight w:val="none"/>
              </w:rPr>
            </w:pPr>
          </w:p>
          <w:p w14:paraId="2D059C12">
            <w:pPr>
              <w:pStyle w:val="12"/>
              <w:spacing w:before="78" w:line="220" w:lineRule="auto"/>
              <w:ind w:left="114"/>
              <w:rPr>
                <w:color w:val="auto"/>
                <w:highlight w:val="none"/>
              </w:rPr>
            </w:pPr>
            <w:r>
              <w:rPr>
                <w:color w:val="auto"/>
                <w:spacing w:val="-5"/>
                <w:highlight w:val="none"/>
              </w:rPr>
              <w:t>大写：</w:t>
            </w:r>
            <w:r>
              <w:rPr>
                <w:color w:val="auto"/>
                <w:spacing w:val="1"/>
                <w:highlight w:val="none"/>
              </w:rPr>
              <w:t xml:space="preserve">            </w:t>
            </w:r>
            <w:r>
              <w:rPr>
                <w:color w:val="auto"/>
                <w:spacing w:val="-5"/>
                <w:highlight w:val="none"/>
              </w:rPr>
              <w:t>小写：</w:t>
            </w:r>
          </w:p>
        </w:tc>
        <w:tc>
          <w:tcPr>
            <w:tcW w:w="1841" w:type="dxa"/>
            <w:vAlign w:val="top"/>
          </w:tcPr>
          <w:p w14:paraId="63CEDEBE">
            <w:pPr>
              <w:rPr>
                <w:rFonts w:ascii="Arial"/>
                <w:color w:val="auto"/>
                <w:sz w:val="21"/>
                <w:highlight w:val="none"/>
              </w:rPr>
            </w:pPr>
          </w:p>
        </w:tc>
        <w:tc>
          <w:tcPr>
            <w:tcW w:w="856" w:type="dxa"/>
            <w:vAlign w:val="top"/>
          </w:tcPr>
          <w:p w14:paraId="1566F8CB">
            <w:pPr>
              <w:rPr>
                <w:rFonts w:ascii="Arial"/>
                <w:color w:val="auto"/>
                <w:sz w:val="21"/>
                <w:highlight w:val="none"/>
              </w:rPr>
            </w:pPr>
          </w:p>
        </w:tc>
      </w:tr>
      <w:tr w14:paraId="096A5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965" w:type="dxa"/>
            <w:vAlign w:val="top"/>
          </w:tcPr>
          <w:p w14:paraId="733D09E8">
            <w:pPr>
              <w:spacing w:line="348" w:lineRule="auto"/>
              <w:rPr>
                <w:rFonts w:ascii="Arial"/>
                <w:color w:val="auto"/>
                <w:sz w:val="21"/>
                <w:highlight w:val="none"/>
              </w:rPr>
            </w:pPr>
          </w:p>
          <w:p w14:paraId="1FF5A79C">
            <w:pPr>
              <w:spacing w:before="105" w:line="235" w:lineRule="exact"/>
              <w:ind w:left="366"/>
              <w:rPr>
                <w:rFonts w:ascii="等线" w:hAnsi="等线" w:eastAsia="等线" w:cs="等线"/>
                <w:color w:val="auto"/>
                <w:sz w:val="31"/>
                <w:szCs w:val="31"/>
                <w:highlight w:val="none"/>
              </w:rPr>
            </w:pPr>
            <w:r>
              <w:rPr>
                <w:rFonts w:ascii="等线" w:hAnsi="等线" w:eastAsia="等线" w:cs="等线"/>
                <w:color w:val="auto"/>
                <w:position w:val="-3"/>
                <w:sz w:val="31"/>
                <w:szCs w:val="31"/>
                <w:highlight w:val="none"/>
              </w:rPr>
              <w:t>…</w:t>
            </w:r>
          </w:p>
        </w:tc>
        <w:tc>
          <w:tcPr>
            <w:tcW w:w="1841" w:type="dxa"/>
            <w:vAlign w:val="top"/>
          </w:tcPr>
          <w:p w14:paraId="5BFEBF1B">
            <w:pPr>
              <w:rPr>
                <w:rFonts w:ascii="Arial"/>
                <w:color w:val="auto"/>
                <w:sz w:val="21"/>
                <w:highlight w:val="none"/>
              </w:rPr>
            </w:pPr>
          </w:p>
        </w:tc>
        <w:tc>
          <w:tcPr>
            <w:tcW w:w="3681" w:type="dxa"/>
            <w:vAlign w:val="top"/>
          </w:tcPr>
          <w:p w14:paraId="6F4E2F51">
            <w:pPr>
              <w:rPr>
                <w:rFonts w:ascii="Arial"/>
                <w:color w:val="auto"/>
                <w:sz w:val="21"/>
                <w:highlight w:val="none"/>
              </w:rPr>
            </w:pPr>
          </w:p>
        </w:tc>
        <w:tc>
          <w:tcPr>
            <w:tcW w:w="1841" w:type="dxa"/>
            <w:vAlign w:val="top"/>
          </w:tcPr>
          <w:p w14:paraId="2F844672">
            <w:pPr>
              <w:rPr>
                <w:rFonts w:ascii="Arial"/>
                <w:color w:val="auto"/>
                <w:sz w:val="21"/>
                <w:highlight w:val="none"/>
              </w:rPr>
            </w:pPr>
          </w:p>
        </w:tc>
        <w:tc>
          <w:tcPr>
            <w:tcW w:w="856" w:type="dxa"/>
            <w:vAlign w:val="top"/>
          </w:tcPr>
          <w:p w14:paraId="2F42D96D">
            <w:pPr>
              <w:rPr>
                <w:rFonts w:ascii="Arial"/>
                <w:color w:val="auto"/>
                <w:sz w:val="21"/>
                <w:highlight w:val="none"/>
              </w:rPr>
            </w:pPr>
          </w:p>
        </w:tc>
      </w:tr>
    </w:tbl>
    <w:p w14:paraId="33CDBE55">
      <w:pPr>
        <w:pStyle w:val="5"/>
        <w:spacing w:line="289" w:lineRule="auto"/>
        <w:rPr>
          <w:color w:val="auto"/>
          <w:highlight w:val="none"/>
        </w:rPr>
      </w:pPr>
    </w:p>
    <w:p w14:paraId="6E807927">
      <w:pPr>
        <w:pStyle w:val="5"/>
        <w:spacing w:line="289" w:lineRule="auto"/>
        <w:rPr>
          <w:color w:val="auto"/>
          <w:highlight w:val="none"/>
        </w:rPr>
      </w:pPr>
    </w:p>
    <w:p w14:paraId="495A7519">
      <w:pPr>
        <w:spacing w:before="78" w:line="219" w:lineRule="auto"/>
        <w:ind w:left="123"/>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供应商名称</w:t>
      </w:r>
      <w:r>
        <w:rPr>
          <w:rFonts w:ascii="宋体" w:hAnsi="宋体" w:eastAsia="宋体" w:cs="宋体"/>
          <w:color w:val="auto"/>
          <w:spacing w:val="-11"/>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1"/>
          <w:sz w:val="24"/>
          <w:szCs w:val="24"/>
          <w:highlight w:val="none"/>
          <w:u w:val="single" w:color="auto"/>
        </w:rPr>
        <w:t>（</w:t>
      </w:r>
      <w:r>
        <w:rPr>
          <w:rFonts w:ascii="宋体" w:hAnsi="宋体" w:eastAsia="宋体" w:cs="宋体"/>
          <w:color w:val="auto"/>
          <w:spacing w:val="6"/>
          <w:sz w:val="24"/>
          <w:szCs w:val="24"/>
          <w:highlight w:val="none"/>
          <w:u w:val="single" w:color="auto"/>
        </w:rPr>
        <w:t>全称</w:t>
      </w:r>
      <w:r>
        <w:rPr>
          <w:rFonts w:ascii="宋体" w:hAnsi="宋体" w:eastAsia="宋体" w:cs="宋体"/>
          <w:color w:val="auto"/>
          <w:spacing w:val="-11"/>
          <w:sz w:val="24"/>
          <w:szCs w:val="24"/>
          <w:highlight w:val="none"/>
          <w:u w:val="single" w:color="auto"/>
        </w:rPr>
        <w:t>）</w:t>
      </w:r>
      <w:r>
        <w:rPr>
          <w:rFonts w:ascii="宋体" w:hAnsi="宋体" w:eastAsia="宋体" w:cs="宋体"/>
          <w:color w:val="auto"/>
          <w:spacing w:val="60"/>
          <w:sz w:val="24"/>
          <w:szCs w:val="24"/>
          <w:highlight w:val="none"/>
          <w:u w:val="single" w:color="auto"/>
        </w:rPr>
        <w:t xml:space="preserve">  </w:t>
      </w:r>
      <w:r>
        <w:rPr>
          <w:rFonts w:ascii="宋体" w:hAnsi="宋体" w:eastAsia="宋体" w:cs="宋体"/>
          <w:color w:val="auto"/>
          <w:spacing w:val="-11"/>
          <w:sz w:val="24"/>
          <w:szCs w:val="24"/>
          <w:highlight w:val="none"/>
        </w:rPr>
        <w:t>（</w:t>
      </w:r>
      <w:r>
        <w:rPr>
          <w:rFonts w:ascii="宋体" w:hAnsi="宋体" w:eastAsia="宋体" w:cs="宋体"/>
          <w:color w:val="auto"/>
          <w:spacing w:val="6"/>
          <w:sz w:val="24"/>
          <w:szCs w:val="24"/>
          <w:highlight w:val="none"/>
        </w:rPr>
        <w:t>公章</w:t>
      </w:r>
      <w:r>
        <w:rPr>
          <w:rFonts w:ascii="宋体" w:hAnsi="宋体" w:eastAsia="宋体" w:cs="宋体"/>
          <w:color w:val="auto"/>
          <w:spacing w:val="-11"/>
          <w:sz w:val="24"/>
          <w:szCs w:val="24"/>
          <w:highlight w:val="none"/>
        </w:rPr>
        <w:t>）：</w:t>
      </w:r>
    </w:p>
    <w:p w14:paraId="307C2950">
      <w:pPr>
        <w:pStyle w:val="5"/>
        <w:spacing w:line="259" w:lineRule="auto"/>
        <w:rPr>
          <w:color w:val="auto"/>
          <w:highlight w:val="none"/>
        </w:rPr>
      </w:pPr>
    </w:p>
    <w:p w14:paraId="2239AA94">
      <w:pPr>
        <w:spacing w:before="79" w:line="219" w:lineRule="auto"/>
        <w:ind w:left="12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供应商法定代表人（单位负责人）或授权代表（签字或盖章</w:t>
      </w:r>
      <w:r>
        <w:rPr>
          <w:rFonts w:ascii="宋体" w:hAnsi="宋体" w:eastAsia="宋体" w:cs="宋体"/>
          <w:color w:val="auto"/>
          <w:spacing w:val="7"/>
          <w:sz w:val="24"/>
          <w:szCs w:val="24"/>
          <w:highlight w:val="none"/>
        </w:rPr>
        <w:t>）：</w:t>
      </w:r>
    </w:p>
    <w:p w14:paraId="0CADBD95">
      <w:pPr>
        <w:pStyle w:val="5"/>
        <w:spacing w:line="260" w:lineRule="auto"/>
        <w:rPr>
          <w:color w:val="auto"/>
          <w:highlight w:val="none"/>
        </w:rPr>
      </w:pPr>
    </w:p>
    <w:p w14:paraId="6F817D70">
      <w:pPr>
        <w:spacing w:before="78" w:line="219" w:lineRule="auto"/>
        <w:ind w:left="165"/>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w:t>
      </w:r>
      <w:r>
        <w:rPr>
          <w:rFonts w:ascii="宋体" w:hAnsi="宋体" w:eastAsia="宋体" w:cs="宋体"/>
          <w:color w:val="auto"/>
          <w:spacing w:val="3"/>
          <w:sz w:val="24"/>
          <w:szCs w:val="24"/>
          <w:highlight w:val="none"/>
        </w:rPr>
        <w:t xml:space="preserve">   </w:t>
      </w:r>
      <w:r>
        <w:rPr>
          <w:rFonts w:ascii="宋体" w:hAnsi="宋体" w:eastAsia="宋体" w:cs="宋体"/>
          <w:color w:val="auto"/>
          <w:spacing w:val="-13"/>
          <w:sz w:val="24"/>
          <w:szCs w:val="24"/>
          <w:highlight w:val="none"/>
        </w:rPr>
        <w:t>年</w:t>
      </w:r>
      <w:r>
        <w:rPr>
          <w:rFonts w:ascii="宋体" w:hAnsi="宋体" w:eastAsia="宋体" w:cs="宋体"/>
          <w:color w:val="auto"/>
          <w:spacing w:val="5"/>
          <w:sz w:val="24"/>
          <w:szCs w:val="24"/>
          <w:highlight w:val="none"/>
        </w:rPr>
        <w:t xml:space="preserve">   </w:t>
      </w:r>
      <w:r>
        <w:rPr>
          <w:rFonts w:ascii="宋体" w:hAnsi="宋体" w:eastAsia="宋体" w:cs="宋体"/>
          <w:color w:val="auto"/>
          <w:spacing w:val="-13"/>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13"/>
          <w:sz w:val="24"/>
          <w:szCs w:val="24"/>
          <w:highlight w:val="none"/>
        </w:rPr>
        <w:t>日</w:t>
      </w:r>
    </w:p>
    <w:p w14:paraId="0C0835B1">
      <w:pPr>
        <w:pStyle w:val="5"/>
        <w:spacing w:line="241" w:lineRule="auto"/>
        <w:rPr>
          <w:color w:val="auto"/>
          <w:highlight w:val="none"/>
        </w:rPr>
      </w:pPr>
    </w:p>
    <w:p w14:paraId="039B8D8F">
      <w:pPr>
        <w:pStyle w:val="5"/>
        <w:spacing w:line="241" w:lineRule="auto"/>
        <w:rPr>
          <w:color w:val="auto"/>
          <w:highlight w:val="none"/>
        </w:rPr>
      </w:pPr>
    </w:p>
    <w:p w14:paraId="2D15114B">
      <w:pPr>
        <w:pStyle w:val="5"/>
        <w:spacing w:line="242" w:lineRule="auto"/>
        <w:rPr>
          <w:color w:val="auto"/>
          <w:highlight w:val="none"/>
        </w:rPr>
      </w:pPr>
    </w:p>
    <w:p w14:paraId="7923D3CC">
      <w:pPr>
        <w:spacing w:before="79" w:line="219" w:lineRule="auto"/>
        <w:ind w:left="123"/>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注：1、合同履行期限指完成该项目的最终时间（日历天）。</w:t>
      </w:r>
    </w:p>
    <w:p w14:paraId="30B319CC">
      <w:pPr>
        <w:pStyle w:val="5"/>
        <w:spacing w:line="259" w:lineRule="auto"/>
        <w:rPr>
          <w:color w:val="auto"/>
          <w:highlight w:val="none"/>
        </w:rPr>
      </w:pPr>
    </w:p>
    <w:p w14:paraId="203882F9">
      <w:pPr>
        <w:spacing w:before="78" w:line="218" w:lineRule="auto"/>
        <w:ind w:left="606"/>
        <w:rPr>
          <w:rFonts w:ascii="宋体" w:hAnsi="宋体" w:eastAsia="宋体" w:cs="宋体"/>
          <w:color w:val="auto"/>
          <w:sz w:val="24"/>
          <w:szCs w:val="24"/>
          <w:highlight w:val="none"/>
        </w:rPr>
      </w:pPr>
      <w:r>
        <w:rPr>
          <w:rFonts w:ascii="宋体" w:hAnsi="宋体" w:eastAsia="宋体" w:cs="宋体"/>
          <w:color w:val="auto"/>
          <w:sz w:val="24"/>
          <w:szCs w:val="24"/>
          <w:highlight w:val="none"/>
        </w:rPr>
        <w:t>2、如招标公告明确合同履行期限以年为单位，</w:t>
      </w:r>
      <w:r>
        <w:rPr>
          <w:rFonts w:ascii="宋体" w:hAnsi="宋体" w:eastAsia="宋体" w:cs="宋体"/>
          <w:color w:val="auto"/>
          <w:spacing w:val="-1"/>
          <w:sz w:val="24"/>
          <w:szCs w:val="24"/>
          <w:highlight w:val="none"/>
        </w:rPr>
        <w:t>本表应填写完成该项目的年限。</w:t>
      </w:r>
    </w:p>
    <w:p w14:paraId="534B0A0B">
      <w:pPr>
        <w:spacing w:line="218" w:lineRule="auto"/>
        <w:rPr>
          <w:rFonts w:ascii="宋体" w:hAnsi="宋体" w:eastAsia="宋体" w:cs="宋体"/>
          <w:color w:val="auto"/>
          <w:sz w:val="24"/>
          <w:szCs w:val="24"/>
          <w:highlight w:val="none"/>
        </w:rPr>
        <w:sectPr>
          <w:footerReference r:id="rId44" w:type="default"/>
          <w:pgSz w:w="11906" w:h="16839"/>
          <w:pgMar w:top="1431" w:right="1239" w:bottom="1443" w:left="1471" w:header="0" w:footer="1202" w:gutter="0"/>
          <w:pgNumType w:fmt="decimal"/>
          <w:cols w:space="720" w:num="1"/>
        </w:sectPr>
      </w:pPr>
    </w:p>
    <w:p w14:paraId="70899543">
      <w:pPr>
        <w:spacing w:before="162" w:line="224" w:lineRule="auto"/>
        <w:ind w:left="2765"/>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三、资格审查证明材料</w:t>
      </w:r>
    </w:p>
    <w:p w14:paraId="197E598C">
      <w:pPr>
        <w:spacing w:before="257" w:line="220" w:lineRule="auto"/>
        <w:ind w:left="3471"/>
        <w:outlineLvl w:val="0"/>
        <w:rPr>
          <w:rFonts w:ascii="宋体" w:hAnsi="宋体" w:eastAsia="宋体" w:cs="宋体"/>
          <w:color w:val="auto"/>
          <w:sz w:val="30"/>
          <w:szCs w:val="30"/>
          <w:highlight w:val="none"/>
        </w:rPr>
      </w:pPr>
      <w:r>
        <w:rPr>
          <w:rFonts w:ascii="宋体" w:hAnsi="宋体" w:eastAsia="宋体" w:cs="宋体"/>
          <w:b/>
          <w:bCs/>
          <w:color w:val="auto"/>
          <w:spacing w:val="-11"/>
          <w:sz w:val="30"/>
          <w:szCs w:val="30"/>
          <w:highlight w:val="none"/>
        </w:rPr>
        <w:t>3.1</w:t>
      </w:r>
      <w:r>
        <w:rPr>
          <w:rFonts w:ascii="宋体" w:hAnsi="宋体" w:eastAsia="宋体" w:cs="宋体"/>
          <w:color w:val="auto"/>
          <w:spacing w:val="20"/>
          <w:sz w:val="30"/>
          <w:szCs w:val="30"/>
          <w:highlight w:val="none"/>
        </w:rPr>
        <w:t xml:space="preserve"> </w:t>
      </w:r>
      <w:r>
        <w:rPr>
          <w:rFonts w:ascii="宋体" w:hAnsi="宋体" w:eastAsia="宋体" w:cs="宋体"/>
          <w:b/>
          <w:bCs/>
          <w:color w:val="auto"/>
          <w:spacing w:val="-11"/>
          <w:sz w:val="30"/>
          <w:szCs w:val="30"/>
          <w:highlight w:val="none"/>
        </w:rPr>
        <w:t>投</w:t>
      </w:r>
      <w:r>
        <w:rPr>
          <w:rFonts w:ascii="宋体" w:hAnsi="宋体" w:eastAsia="宋体" w:cs="宋体"/>
          <w:color w:val="auto"/>
          <w:spacing w:val="14"/>
          <w:sz w:val="30"/>
          <w:szCs w:val="30"/>
          <w:highlight w:val="none"/>
        </w:rPr>
        <w:t xml:space="preserve"> </w:t>
      </w:r>
      <w:r>
        <w:rPr>
          <w:rFonts w:ascii="宋体" w:hAnsi="宋体" w:eastAsia="宋体" w:cs="宋体"/>
          <w:b/>
          <w:bCs/>
          <w:color w:val="auto"/>
          <w:spacing w:val="-11"/>
          <w:sz w:val="30"/>
          <w:szCs w:val="30"/>
          <w:highlight w:val="none"/>
        </w:rPr>
        <w:t>标</w:t>
      </w:r>
      <w:r>
        <w:rPr>
          <w:rFonts w:ascii="宋体" w:hAnsi="宋体" w:eastAsia="宋体" w:cs="宋体"/>
          <w:color w:val="auto"/>
          <w:spacing w:val="33"/>
          <w:sz w:val="30"/>
          <w:szCs w:val="30"/>
          <w:highlight w:val="none"/>
        </w:rPr>
        <w:t xml:space="preserve"> </w:t>
      </w:r>
      <w:r>
        <w:rPr>
          <w:rFonts w:ascii="宋体" w:hAnsi="宋体" w:eastAsia="宋体" w:cs="宋体"/>
          <w:b/>
          <w:bCs/>
          <w:color w:val="auto"/>
          <w:spacing w:val="-11"/>
          <w:sz w:val="30"/>
          <w:szCs w:val="30"/>
          <w:highlight w:val="none"/>
        </w:rPr>
        <w:t>函</w:t>
      </w:r>
    </w:p>
    <w:p w14:paraId="602B0459">
      <w:pPr>
        <w:spacing w:before="216" w:line="219" w:lineRule="auto"/>
        <w:ind w:left="1"/>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致</w:t>
      </w:r>
      <w:r>
        <w:rPr>
          <w:rFonts w:ascii="宋体" w:hAnsi="宋体" w:eastAsia="宋体" w:cs="宋体"/>
          <w:color w:val="auto"/>
          <w:spacing w:val="-32"/>
          <w:sz w:val="24"/>
          <w:szCs w:val="24"/>
          <w:highlight w:val="none"/>
        </w:rPr>
        <w:t>：</w:t>
      </w:r>
      <w:r>
        <w:rPr>
          <w:rFonts w:ascii="宋体" w:hAnsi="宋体" w:eastAsia="宋体" w:cs="宋体"/>
          <w:b/>
          <w:bCs/>
          <w:color w:val="auto"/>
          <w:spacing w:val="-32"/>
          <w:sz w:val="24"/>
          <w:szCs w:val="24"/>
          <w:highlight w:val="none"/>
          <w:u w:val="single" w:color="auto"/>
        </w:rPr>
        <w:t>（</w:t>
      </w:r>
      <w:r>
        <w:rPr>
          <w:rFonts w:ascii="宋体" w:hAnsi="宋体" w:eastAsia="宋体" w:cs="宋体"/>
          <w:b/>
          <w:bCs/>
          <w:color w:val="auto"/>
          <w:spacing w:val="9"/>
          <w:sz w:val="24"/>
          <w:szCs w:val="24"/>
          <w:highlight w:val="none"/>
          <w:u w:val="single" w:color="auto"/>
        </w:rPr>
        <w:t>采购人）</w:t>
      </w:r>
    </w:p>
    <w:p w14:paraId="6E39186F">
      <w:pPr>
        <w:spacing w:before="183" w:line="218" w:lineRule="auto"/>
        <w:ind w:left="481"/>
        <w:outlineLvl w:val="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根据贵方</w:t>
      </w:r>
      <w:r>
        <w:rPr>
          <w:rFonts w:ascii="宋体" w:hAnsi="宋体" w:eastAsia="宋体" w:cs="宋体"/>
          <w:color w:val="auto"/>
          <w:spacing w:val="28"/>
          <w:sz w:val="24"/>
          <w:szCs w:val="24"/>
          <w:highlight w:val="none"/>
          <w:u w:val="single" w:color="auto"/>
        </w:rPr>
        <w:t xml:space="preserve">    </w:t>
      </w:r>
      <w:r>
        <w:rPr>
          <w:rFonts w:ascii="宋体" w:hAnsi="宋体" w:eastAsia="宋体" w:cs="宋体"/>
          <w:color w:val="auto"/>
          <w:spacing w:val="1"/>
          <w:sz w:val="24"/>
          <w:szCs w:val="24"/>
          <w:highlight w:val="none"/>
          <w:u w:val="single" w:color="auto"/>
        </w:rPr>
        <w:t>（项目名称、项目编号）</w:t>
      </w:r>
      <w:r>
        <w:rPr>
          <w:rFonts w:ascii="宋体" w:hAnsi="宋体" w:eastAsia="宋体" w:cs="宋体"/>
          <w:color w:val="auto"/>
          <w:spacing w:val="1"/>
          <w:sz w:val="24"/>
          <w:szCs w:val="24"/>
          <w:highlight w:val="none"/>
        </w:rPr>
        <w:t>采购的招标公告及投标邀请</w:t>
      </w:r>
      <w:r>
        <w:rPr>
          <w:rFonts w:ascii="宋体" w:hAnsi="宋体" w:eastAsia="宋体" w:cs="宋体"/>
          <w:color w:val="auto"/>
          <w:spacing w:val="-28"/>
          <w:sz w:val="24"/>
          <w:szCs w:val="24"/>
          <w:highlight w:val="none"/>
        </w:rPr>
        <w:t>，</w:t>
      </w:r>
      <w:r>
        <w:rPr>
          <w:rFonts w:ascii="宋体" w:hAnsi="宋体" w:eastAsia="宋体" w:cs="宋体"/>
          <w:color w:val="auto"/>
          <w:spacing w:val="39"/>
          <w:sz w:val="24"/>
          <w:szCs w:val="24"/>
          <w:highlight w:val="none"/>
          <w:u w:val="single" w:color="auto"/>
        </w:rPr>
        <w:t xml:space="preserve">   </w:t>
      </w:r>
      <w:r>
        <w:rPr>
          <w:rFonts w:ascii="宋体" w:hAnsi="宋体" w:eastAsia="宋体" w:cs="宋体"/>
          <w:color w:val="auto"/>
          <w:spacing w:val="-28"/>
          <w:sz w:val="24"/>
          <w:szCs w:val="24"/>
          <w:highlight w:val="none"/>
          <w:u w:val="single" w:color="auto"/>
        </w:rPr>
        <w:t>（</w:t>
      </w:r>
      <w:r>
        <w:rPr>
          <w:rFonts w:ascii="宋体" w:hAnsi="宋体" w:eastAsia="宋体" w:cs="宋体"/>
          <w:color w:val="auto"/>
          <w:spacing w:val="1"/>
          <w:sz w:val="24"/>
          <w:szCs w:val="24"/>
          <w:highlight w:val="none"/>
          <w:u w:val="single" w:color="auto"/>
        </w:rPr>
        <w:t>姓</w:t>
      </w:r>
    </w:p>
    <w:p w14:paraId="14C7A42C">
      <w:pPr>
        <w:spacing w:before="184" w:line="219" w:lineRule="auto"/>
        <w:ind w:left="4"/>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名和职务）</w:t>
      </w:r>
      <w:r>
        <w:rPr>
          <w:rFonts w:ascii="宋体" w:hAnsi="宋体" w:eastAsia="宋体" w:cs="宋体"/>
          <w:color w:val="auto"/>
          <w:sz w:val="24"/>
          <w:szCs w:val="24"/>
          <w:highlight w:val="none"/>
        </w:rPr>
        <w:t>被正式授权并代表供应商</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
          <w:sz w:val="24"/>
          <w:szCs w:val="24"/>
          <w:highlight w:val="none"/>
          <w:u w:val="single" w:color="auto"/>
        </w:rPr>
        <w:t xml:space="preserve"> （供应商名称、地址）</w:t>
      </w:r>
      <w:r>
        <w:rPr>
          <w:rFonts w:ascii="宋体" w:hAnsi="宋体" w:eastAsia="宋体" w:cs="宋体"/>
          <w:color w:val="auto"/>
          <w:spacing w:val="-1"/>
          <w:sz w:val="24"/>
          <w:szCs w:val="24"/>
          <w:highlight w:val="none"/>
        </w:rPr>
        <w:t>提交。</w:t>
      </w:r>
    </w:p>
    <w:p w14:paraId="0A755AC5">
      <w:pPr>
        <w:spacing w:before="183" w:line="219" w:lineRule="auto"/>
        <w:ind w:left="483"/>
        <w:rPr>
          <w:rFonts w:ascii="宋体" w:hAnsi="宋体" w:eastAsia="宋体" w:cs="宋体"/>
          <w:color w:val="auto"/>
          <w:sz w:val="24"/>
          <w:szCs w:val="24"/>
          <w:highlight w:val="none"/>
        </w:rPr>
      </w:pPr>
      <w:r>
        <w:rPr>
          <w:rFonts w:ascii="宋体" w:hAnsi="宋体" w:eastAsia="宋体" w:cs="宋体"/>
          <w:color w:val="auto"/>
          <w:sz w:val="24"/>
          <w:szCs w:val="24"/>
          <w:highlight w:val="none"/>
        </w:rPr>
        <w:t>我方确认收到贵方提供的</w:t>
      </w:r>
      <w:r>
        <w:rPr>
          <w:rFonts w:ascii="宋体" w:hAnsi="宋体" w:eastAsia="宋体" w:cs="宋体"/>
          <w:color w:val="auto"/>
          <w:sz w:val="24"/>
          <w:szCs w:val="24"/>
          <w:highlight w:val="none"/>
          <w:u w:val="single" w:color="auto"/>
        </w:rPr>
        <w:t xml:space="preserve">    （项目名称、项目</w:t>
      </w:r>
      <w:r>
        <w:rPr>
          <w:rFonts w:ascii="宋体" w:hAnsi="宋体" w:eastAsia="宋体" w:cs="宋体"/>
          <w:color w:val="auto"/>
          <w:spacing w:val="-1"/>
          <w:sz w:val="24"/>
          <w:szCs w:val="24"/>
          <w:highlight w:val="none"/>
          <w:u w:val="single" w:color="auto"/>
        </w:rPr>
        <w:t>编号）</w:t>
      </w:r>
      <w:r>
        <w:rPr>
          <w:rFonts w:ascii="宋体" w:hAnsi="宋体" w:eastAsia="宋体" w:cs="宋体"/>
          <w:color w:val="auto"/>
          <w:spacing w:val="-1"/>
          <w:sz w:val="24"/>
          <w:szCs w:val="24"/>
          <w:highlight w:val="none"/>
        </w:rPr>
        <w:t>磋商文件的全部内容。</w:t>
      </w:r>
    </w:p>
    <w:p w14:paraId="037840B1">
      <w:pPr>
        <w:spacing w:before="184" w:line="360" w:lineRule="auto"/>
        <w:ind w:left="2" w:right="80" w:firstLine="48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我方在参与投标前已详细研究了磋商文件的所有内容，包括澄清、修改文件（如</w:t>
      </w:r>
      <w:r>
        <w:rPr>
          <w:rFonts w:ascii="宋体" w:hAnsi="宋体" w:eastAsia="宋体" w:cs="宋体"/>
          <w:color w:val="auto"/>
          <w:spacing w:val="2"/>
          <w:sz w:val="24"/>
          <w:szCs w:val="24"/>
          <w:highlight w:val="none"/>
        </w:rPr>
        <w:t>果有）和所有已提供的参考资料以及有关附件，我方完全明白并认为此磋商文件没有倾向性，也不存在排斥潜在投标供应商的内容，我方同意磋商文件的相关条款和已完全理解并接受磋商文件的各项规定和要求及资金支付规定，对磋商文件的合理</w:t>
      </w:r>
      <w:r>
        <w:rPr>
          <w:rFonts w:ascii="宋体" w:hAnsi="宋体" w:eastAsia="宋体" w:cs="宋体"/>
          <w:color w:val="auto"/>
          <w:spacing w:val="-1"/>
          <w:sz w:val="24"/>
          <w:szCs w:val="24"/>
          <w:highlight w:val="none"/>
        </w:rPr>
        <w:t>性、合法性不再有异议。</w:t>
      </w:r>
    </w:p>
    <w:p w14:paraId="6BF5C744">
      <w:pPr>
        <w:tabs>
          <w:tab w:val="left" w:pos="607"/>
        </w:tabs>
        <w:spacing w:before="3" w:line="359" w:lineRule="auto"/>
        <w:ind w:right="80" w:firstLine="471"/>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4"/>
          <w:sz w:val="24"/>
          <w:szCs w:val="24"/>
          <w:highlight w:val="none"/>
          <w:u w:val="single" w:color="auto"/>
        </w:rPr>
        <w:t xml:space="preserve">（供应商名称）     </w:t>
      </w:r>
      <w:r>
        <w:rPr>
          <w:rFonts w:ascii="宋体" w:hAnsi="宋体" w:eastAsia="宋体" w:cs="宋体"/>
          <w:color w:val="auto"/>
          <w:spacing w:val="-110"/>
          <w:sz w:val="24"/>
          <w:szCs w:val="24"/>
          <w:highlight w:val="none"/>
        </w:rPr>
        <w:t xml:space="preserve"> </w:t>
      </w:r>
      <w:r>
        <w:rPr>
          <w:rFonts w:ascii="宋体" w:hAnsi="宋体" w:eastAsia="宋体" w:cs="宋体"/>
          <w:color w:val="auto"/>
          <w:spacing w:val="-4"/>
          <w:sz w:val="24"/>
          <w:szCs w:val="24"/>
          <w:highlight w:val="none"/>
        </w:rPr>
        <w:t>作为供应商正式授权</w:t>
      </w:r>
      <w:r>
        <w:rPr>
          <w:rFonts w:ascii="宋体" w:hAnsi="宋体" w:eastAsia="宋体" w:cs="宋体"/>
          <w:color w:val="auto"/>
          <w:spacing w:val="-4"/>
          <w:sz w:val="24"/>
          <w:szCs w:val="24"/>
          <w:highlight w:val="none"/>
          <w:u w:val="single" w:color="auto"/>
        </w:rPr>
        <w:t>（授</w:t>
      </w:r>
      <w:r>
        <w:rPr>
          <w:rFonts w:ascii="宋体" w:hAnsi="宋体" w:eastAsia="宋体" w:cs="宋体"/>
          <w:color w:val="auto"/>
          <w:spacing w:val="-5"/>
          <w:sz w:val="24"/>
          <w:szCs w:val="24"/>
          <w:highlight w:val="none"/>
          <w:u w:val="single" w:color="auto"/>
        </w:rPr>
        <w:t xml:space="preserve">权代表全名， 职务）       </w:t>
      </w:r>
      <w:r>
        <w:rPr>
          <w:rFonts w:ascii="宋体" w:hAnsi="宋体" w:eastAsia="宋体" w:cs="宋体"/>
          <w:color w:val="auto"/>
          <w:spacing w:val="-111"/>
          <w:sz w:val="24"/>
          <w:szCs w:val="24"/>
          <w:highlight w:val="none"/>
        </w:rPr>
        <w:t xml:space="preserve"> </w:t>
      </w:r>
      <w:r>
        <w:rPr>
          <w:rFonts w:ascii="宋体" w:hAnsi="宋体" w:eastAsia="宋体" w:cs="宋体"/>
          <w:color w:val="auto"/>
          <w:spacing w:val="-5"/>
          <w:sz w:val="24"/>
          <w:szCs w:val="24"/>
          <w:highlight w:val="none"/>
        </w:rPr>
        <w:t>代</w:t>
      </w:r>
      <w:r>
        <w:rPr>
          <w:rFonts w:ascii="宋体" w:hAnsi="宋体" w:eastAsia="宋体" w:cs="宋体"/>
          <w:color w:val="auto"/>
          <w:spacing w:val="-1"/>
          <w:sz w:val="24"/>
          <w:szCs w:val="24"/>
          <w:highlight w:val="none"/>
        </w:rPr>
        <w:t>表我方全权处理有关本次投标的一切事宜。</w:t>
      </w:r>
    </w:p>
    <w:p w14:paraId="23C51FC7">
      <w:pPr>
        <w:spacing w:line="219" w:lineRule="auto"/>
        <w:ind w:left="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我方已完全明白招标文件的所有条款要求，并申明如下：</w:t>
      </w:r>
    </w:p>
    <w:p w14:paraId="6FC75689">
      <w:pPr>
        <w:spacing w:before="183" w:line="218" w:lineRule="auto"/>
        <w:ind w:left="485"/>
        <w:rPr>
          <w:rFonts w:ascii="宋体" w:hAnsi="宋体" w:eastAsia="宋体" w:cs="宋体"/>
          <w:color w:val="auto"/>
          <w:sz w:val="24"/>
          <w:szCs w:val="24"/>
          <w:highlight w:val="none"/>
        </w:rPr>
      </w:pPr>
      <w:r>
        <w:rPr>
          <w:rFonts w:ascii="宋体" w:hAnsi="宋体" w:eastAsia="宋体" w:cs="宋体"/>
          <w:color w:val="auto"/>
          <w:sz w:val="24"/>
          <w:szCs w:val="24"/>
          <w:highlight w:val="none"/>
        </w:rPr>
        <w:t>一、按磋商文件提供的全部货物与相关服务</w:t>
      </w:r>
      <w:r>
        <w:rPr>
          <w:rFonts w:ascii="宋体" w:hAnsi="宋体" w:eastAsia="宋体" w:cs="宋体"/>
          <w:color w:val="auto"/>
          <w:spacing w:val="-1"/>
          <w:sz w:val="24"/>
          <w:szCs w:val="24"/>
          <w:highlight w:val="none"/>
        </w:rPr>
        <w:t>的投标总价详见《开标一览表》。</w:t>
      </w:r>
    </w:p>
    <w:p w14:paraId="404993AE">
      <w:pPr>
        <w:spacing w:before="185" w:line="360" w:lineRule="auto"/>
        <w:ind w:right="82" w:firstLine="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二、本响应文件的有效期为投标截止时间起</w:t>
      </w:r>
      <w:r>
        <w:rPr>
          <w:rFonts w:ascii="宋体" w:hAnsi="宋体" w:eastAsia="宋体" w:cs="宋体"/>
          <w:color w:val="auto"/>
          <w:spacing w:val="-107"/>
          <w:sz w:val="24"/>
          <w:szCs w:val="24"/>
          <w:highlight w:val="none"/>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3"/>
          <w:sz w:val="24"/>
          <w:szCs w:val="24"/>
          <w:highlight w:val="none"/>
        </w:rPr>
        <w:t xml:space="preserve"> </w:t>
      </w:r>
      <w:r>
        <w:rPr>
          <w:rFonts w:ascii="宋体" w:hAnsi="宋体" w:eastAsia="宋体" w:cs="宋体"/>
          <w:color w:val="auto"/>
          <w:spacing w:val="1"/>
          <w:sz w:val="24"/>
          <w:szCs w:val="24"/>
          <w:highlight w:val="none"/>
        </w:rPr>
        <w:t>天。如中标，有效期将延</w:t>
      </w:r>
      <w:r>
        <w:rPr>
          <w:rFonts w:ascii="宋体" w:hAnsi="宋体" w:eastAsia="宋体" w:cs="宋体"/>
          <w:color w:val="auto"/>
          <w:spacing w:val="2"/>
          <w:sz w:val="24"/>
          <w:szCs w:val="24"/>
          <w:highlight w:val="none"/>
        </w:rPr>
        <w:t>至供货终止日为止。在此提交的资格证明文件均至投标截止日有效，如有在投标有效期内失效的，我方承诺在中标后补齐一切手续，保证所有资格证明文件能在签订</w:t>
      </w:r>
      <w:r>
        <w:rPr>
          <w:rFonts w:ascii="宋体" w:hAnsi="宋体" w:eastAsia="宋体" w:cs="宋体"/>
          <w:color w:val="auto"/>
          <w:spacing w:val="-1"/>
          <w:sz w:val="24"/>
          <w:szCs w:val="24"/>
          <w:highlight w:val="none"/>
        </w:rPr>
        <w:t>采购合同时直至采购合同终止日有效。</w:t>
      </w:r>
    </w:p>
    <w:p w14:paraId="56C8858F">
      <w:pPr>
        <w:spacing w:before="2" w:line="359" w:lineRule="auto"/>
        <w:ind w:right="232" w:firstLine="48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三、我方明白并同意，在规定的开标日之后，在投标有效期之内撤销投标的，</w:t>
      </w:r>
      <w:r>
        <w:rPr>
          <w:rFonts w:ascii="宋体" w:hAnsi="宋体" w:eastAsia="宋体" w:cs="宋体"/>
          <w:color w:val="auto"/>
          <w:spacing w:val="-1"/>
          <w:sz w:val="24"/>
          <w:szCs w:val="24"/>
          <w:highlight w:val="none"/>
        </w:rPr>
        <w:t>将依法自行承担不利后果</w:t>
      </w:r>
    </w:p>
    <w:p w14:paraId="28CEAF10">
      <w:pPr>
        <w:spacing w:line="360" w:lineRule="auto"/>
        <w:ind w:left="12" w:right="173" w:firstLine="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四、我方同意按照贵方可能提出的要求而提供与投标有关的任何其他数据、信</w:t>
      </w:r>
      <w:r>
        <w:rPr>
          <w:rFonts w:ascii="宋体" w:hAnsi="宋体" w:eastAsia="宋体" w:cs="宋体"/>
          <w:color w:val="auto"/>
          <w:spacing w:val="-4"/>
          <w:sz w:val="24"/>
          <w:szCs w:val="24"/>
          <w:highlight w:val="none"/>
        </w:rPr>
        <w:t>息或资料。</w:t>
      </w:r>
    </w:p>
    <w:p w14:paraId="1914427B">
      <w:pPr>
        <w:spacing w:before="1" w:line="217" w:lineRule="auto"/>
        <w:ind w:left="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五、我方理解贵方不一定接受最低投标价或任何贵方可能收到的投标。</w:t>
      </w:r>
    </w:p>
    <w:p w14:paraId="403B7858">
      <w:pPr>
        <w:spacing w:before="185" w:line="360" w:lineRule="auto"/>
        <w:ind w:left="1" w:firstLine="481"/>
        <w:rPr>
          <w:rFonts w:ascii="宋体" w:hAnsi="宋体" w:eastAsia="宋体" w:cs="宋体"/>
          <w:color w:val="auto"/>
          <w:sz w:val="24"/>
          <w:szCs w:val="24"/>
          <w:highlight w:val="none"/>
        </w:rPr>
      </w:pPr>
      <w:r>
        <w:rPr>
          <w:rFonts w:ascii="宋体" w:hAnsi="宋体" w:eastAsia="宋体" w:cs="宋体"/>
          <w:color w:val="auto"/>
          <w:sz w:val="24"/>
          <w:szCs w:val="24"/>
          <w:highlight w:val="none"/>
        </w:rPr>
        <w:t>六、我方如果中标，将保证履行磋商文件及其澄</w:t>
      </w:r>
      <w:r>
        <w:rPr>
          <w:rFonts w:ascii="宋体" w:hAnsi="宋体" w:eastAsia="宋体" w:cs="宋体"/>
          <w:color w:val="auto"/>
          <w:spacing w:val="-1"/>
          <w:sz w:val="24"/>
          <w:szCs w:val="24"/>
          <w:highlight w:val="none"/>
        </w:rPr>
        <w:t>清、修改文件（如果有）中的</w:t>
      </w:r>
      <w:r>
        <w:rPr>
          <w:rFonts w:ascii="宋体" w:hAnsi="宋体" w:eastAsia="宋体" w:cs="宋体"/>
          <w:color w:val="auto"/>
          <w:spacing w:val="-2"/>
          <w:sz w:val="24"/>
          <w:szCs w:val="24"/>
          <w:highlight w:val="none"/>
        </w:rPr>
        <w:t>全部责任和义务，按质、按量、按期完成《项目需求》及《合同书》中的全部</w:t>
      </w:r>
      <w:r>
        <w:rPr>
          <w:rFonts w:ascii="宋体" w:hAnsi="宋体" w:eastAsia="宋体" w:cs="宋体"/>
          <w:color w:val="auto"/>
          <w:spacing w:val="-3"/>
          <w:sz w:val="24"/>
          <w:szCs w:val="24"/>
          <w:highlight w:val="none"/>
        </w:rPr>
        <w:t>任务。</w:t>
      </w:r>
    </w:p>
    <w:p w14:paraId="1C495B26">
      <w:pPr>
        <w:spacing w:before="1" w:line="219" w:lineRule="auto"/>
        <w:ind w:left="480"/>
        <w:rPr>
          <w:rFonts w:ascii="宋体" w:hAnsi="宋体" w:eastAsia="宋体" w:cs="宋体"/>
          <w:color w:val="auto"/>
          <w:sz w:val="24"/>
          <w:szCs w:val="24"/>
          <w:highlight w:val="none"/>
        </w:rPr>
      </w:pPr>
      <w:r>
        <w:rPr>
          <w:rFonts w:ascii="宋体" w:hAnsi="宋体" w:eastAsia="宋体" w:cs="宋体"/>
          <w:color w:val="auto"/>
          <w:sz w:val="24"/>
          <w:szCs w:val="24"/>
          <w:highlight w:val="none"/>
        </w:rPr>
        <w:t>七、我方在此保证所提交的所有文件和全部说</w:t>
      </w:r>
      <w:r>
        <w:rPr>
          <w:rFonts w:ascii="宋体" w:hAnsi="宋体" w:eastAsia="宋体" w:cs="宋体"/>
          <w:color w:val="auto"/>
          <w:spacing w:val="-1"/>
          <w:sz w:val="24"/>
          <w:szCs w:val="24"/>
          <w:highlight w:val="none"/>
        </w:rPr>
        <w:t>明是真实的和正确的。</w:t>
      </w:r>
    </w:p>
    <w:p w14:paraId="2E0A7EB2">
      <w:pPr>
        <w:spacing w:before="184" w:line="339" w:lineRule="auto"/>
        <w:ind w:right="82" w:firstLine="48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八、我方投标报价已包含应向知识产权所有权人支付的所有相关税费，并保证采购人在中国使用我方提供的货物时，如有第三方提出侵犯其知识产权主张的，责</w:t>
      </w:r>
    </w:p>
    <w:p w14:paraId="03B650A6">
      <w:pPr>
        <w:spacing w:line="339" w:lineRule="auto"/>
        <w:rPr>
          <w:rFonts w:ascii="宋体" w:hAnsi="宋体" w:eastAsia="宋体" w:cs="宋体"/>
          <w:color w:val="auto"/>
          <w:sz w:val="24"/>
          <w:szCs w:val="24"/>
          <w:highlight w:val="none"/>
        </w:rPr>
        <w:sectPr>
          <w:footerReference r:id="rId45" w:type="default"/>
          <w:pgSz w:w="11906" w:h="16839"/>
          <w:pgMar w:top="1431" w:right="1505" w:bottom="1443" w:left="1593" w:header="0" w:footer="1202" w:gutter="0"/>
          <w:pgNumType w:fmt="decimal"/>
          <w:cols w:space="720" w:num="1"/>
        </w:sectPr>
      </w:pPr>
    </w:p>
    <w:p w14:paraId="5DECCDAB">
      <w:pPr>
        <w:spacing w:before="123" w:line="219" w:lineRule="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任由我方承担。</w:t>
      </w:r>
    </w:p>
    <w:p w14:paraId="5E40754F">
      <w:pPr>
        <w:spacing w:before="182" w:line="360" w:lineRule="auto"/>
        <w:ind w:left="8" w:right="2" w:firstLine="47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九、我方具备《中华人民共和国政府采购法》第二十二条规定的条件；承诺如</w:t>
      </w:r>
      <w:r>
        <w:rPr>
          <w:rFonts w:ascii="宋体" w:hAnsi="宋体" w:eastAsia="宋体" w:cs="宋体"/>
          <w:color w:val="auto"/>
          <w:spacing w:val="-9"/>
          <w:sz w:val="24"/>
          <w:szCs w:val="24"/>
          <w:highlight w:val="none"/>
        </w:rPr>
        <w:t>下：</w:t>
      </w:r>
    </w:p>
    <w:p w14:paraId="31E6A432">
      <w:pPr>
        <w:spacing w:line="360" w:lineRule="auto"/>
        <w:ind w:left="4" w:firstLine="48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（1）具有独立承担民事责任能力的在中华人民</w:t>
      </w:r>
      <w:r>
        <w:rPr>
          <w:rFonts w:ascii="宋体" w:hAnsi="宋体" w:eastAsia="宋体" w:cs="宋体"/>
          <w:color w:val="auto"/>
          <w:spacing w:val="-2"/>
          <w:sz w:val="24"/>
          <w:szCs w:val="24"/>
          <w:highlight w:val="none"/>
        </w:rPr>
        <w:t>共和国境内注册的法人或其他组</w:t>
      </w:r>
      <w:r>
        <w:rPr>
          <w:rFonts w:ascii="宋体" w:hAnsi="宋体" w:eastAsia="宋体" w:cs="宋体"/>
          <w:color w:val="auto"/>
          <w:spacing w:val="-1"/>
          <w:sz w:val="24"/>
          <w:szCs w:val="24"/>
          <w:highlight w:val="none"/>
        </w:rPr>
        <w:t>织或自然人，有效的营业执照（或事业法人登记证或身份证等相关证明）。</w:t>
      </w:r>
    </w:p>
    <w:p w14:paraId="48E843AB">
      <w:pPr>
        <w:spacing w:before="2" w:line="359" w:lineRule="auto"/>
        <w:ind w:left="1" w:firstLine="51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（2）我方已依法缴纳了各项税费及社会保险费用，如有需要，可随时向</w:t>
      </w:r>
      <w:r>
        <w:rPr>
          <w:rFonts w:ascii="宋体" w:hAnsi="宋体" w:eastAsia="宋体" w:cs="宋体"/>
          <w:color w:val="auto"/>
          <w:spacing w:val="-3"/>
          <w:sz w:val="24"/>
          <w:szCs w:val="24"/>
          <w:highlight w:val="none"/>
        </w:rPr>
        <w:t>采购人</w:t>
      </w:r>
      <w:r>
        <w:rPr>
          <w:rFonts w:ascii="宋体" w:hAnsi="宋体" w:eastAsia="宋体" w:cs="宋体"/>
          <w:color w:val="auto"/>
          <w:spacing w:val="-1"/>
          <w:sz w:val="24"/>
          <w:szCs w:val="24"/>
          <w:highlight w:val="none"/>
        </w:rPr>
        <w:t>提供近三个月内的相关缴费证明，以便核查。</w:t>
      </w:r>
    </w:p>
    <w:p w14:paraId="5DCB8DDE">
      <w:pPr>
        <w:spacing w:before="2" w:line="359" w:lineRule="auto"/>
        <w:ind w:left="4" w:firstLine="51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（3）我方已依法建立健全的财务会计制度，如有需要，可随时向采购人</w:t>
      </w:r>
      <w:r>
        <w:rPr>
          <w:rFonts w:ascii="宋体" w:hAnsi="宋体" w:eastAsia="宋体" w:cs="宋体"/>
          <w:color w:val="auto"/>
          <w:spacing w:val="-3"/>
          <w:sz w:val="24"/>
          <w:szCs w:val="24"/>
          <w:highlight w:val="none"/>
        </w:rPr>
        <w:t>提供相</w:t>
      </w:r>
      <w:r>
        <w:rPr>
          <w:rFonts w:ascii="宋体" w:hAnsi="宋体" w:eastAsia="宋体" w:cs="宋体"/>
          <w:color w:val="auto"/>
          <w:spacing w:val="-2"/>
          <w:sz w:val="24"/>
          <w:szCs w:val="24"/>
          <w:highlight w:val="none"/>
        </w:rPr>
        <w:t>关证明材料，以便核查。</w:t>
      </w:r>
    </w:p>
    <w:p w14:paraId="6AD47675">
      <w:pPr>
        <w:spacing w:before="1" w:line="218" w:lineRule="auto"/>
        <w:ind w:left="51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（4）参加政府采购活动前三年内，在经营活动中没有重大违法记录。</w:t>
      </w:r>
    </w:p>
    <w:p w14:paraId="5B50E315">
      <w:pPr>
        <w:spacing w:before="184" w:line="219" w:lineRule="auto"/>
        <w:ind w:left="51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（5）符合法律、行政法规规定的其他条件。</w:t>
      </w:r>
    </w:p>
    <w:p w14:paraId="18347A1E">
      <w:pPr>
        <w:spacing w:before="183" w:line="360" w:lineRule="auto"/>
        <w:ind w:left="1" w:right="2" w:firstLine="53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以上内容如有虚假或与事实不符的，评审委员会可将我方作无效投</w:t>
      </w:r>
      <w:r>
        <w:rPr>
          <w:rFonts w:ascii="宋体" w:hAnsi="宋体" w:eastAsia="宋体" w:cs="宋体"/>
          <w:color w:val="auto"/>
          <w:sz w:val="24"/>
          <w:szCs w:val="24"/>
          <w:highlight w:val="none"/>
        </w:rPr>
        <w:t>标处理，我</w:t>
      </w:r>
      <w:r>
        <w:rPr>
          <w:rFonts w:ascii="宋体" w:hAnsi="宋体" w:eastAsia="宋体" w:cs="宋体"/>
          <w:color w:val="auto"/>
          <w:spacing w:val="-1"/>
          <w:sz w:val="24"/>
          <w:szCs w:val="24"/>
          <w:highlight w:val="none"/>
        </w:rPr>
        <w:t>方愿意承担相应的法律责任。</w:t>
      </w:r>
    </w:p>
    <w:p w14:paraId="5476BEC9">
      <w:pPr>
        <w:spacing w:line="219" w:lineRule="auto"/>
        <w:ind w:left="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十、我方具备履行合同所必需的设备和专业技术能力。</w:t>
      </w:r>
    </w:p>
    <w:p w14:paraId="57B25B00">
      <w:pPr>
        <w:spacing w:before="182" w:line="219" w:lineRule="auto"/>
        <w:ind w:left="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十一、我方对在本函及响应文件中所作的所有承诺承担法律责任。</w:t>
      </w:r>
    </w:p>
    <w:p w14:paraId="0DD61771">
      <w:pPr>
        <w:pStyle w:val="5"/>
        <w:spacing w:line="252" w:lineRule="auto"/>
        <w:rPr>
          <w:color w:val="auto"/>
          <w:highlight w:val="none"/>
        </w:rPr>
      </w:pPr>
    </w:p>
    <w:p w14:paraId="532F9C2F">
      <w:pPr>
        <w:pStyle w:val="5"/>
        <w:spacing w:line="252" w:lineRule="auto"/>
        <w:rPr>
          <w:color w:val="auto"/>
          <w:highlight w:val="none"/>
        </w:rPr>
      </w:pPr>
    </w:p>
    <w:p w14:paraId="5D53DAB4">
      <w:pPr>
        <w:pStyle w:val="5"/>
        <w:spacing w:line="253" w:lineRule="auto"/>
        <w:rPr>
          <w:color w:val="auto"/>
          <w:highlight w:val="none"/>
        </w:rPr>
      </w:pPr>
    </w:p>
    <w:p w14:paraId="6F8D033E">
      <w:pPr>
        <w:pStyle w:val="5"/>
        <w:spacing w:line="253" w:lineRule="auto"/>
        <w:rPr>
          <w:color w:val="auto"/>
          <w:highlight w:val="none"/>
        </w:rPr>
      </w:pPr>
    </w:p>
    <w:p w14:paraId="0406CBB1">
      <w:pPr>
        <w:pStyle w:val="5"/>
        <w:spacing w:line="253" w:lineRule="auto"/>
        <w:rPr>
          <w:color w:val="auto"/>
          <w:highlight w:val="none"/>
        </w:rPr>
      </w:pPr>
    </w:p>
    <w:p w14:paraId="6B11111A">
      <w:pPr>
        <w:spacing w:before="79" w:line="219" w:lineRule="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所有与本招标有关的一切正式往来请寄：</w:t>
      </w:r>
    </w:p>
    <w:p w14:paraId="04A37360">
      <w:pPr>
        <w:spacing w:before="182" w:line="219" w:lineRule="auto"/>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地</w:t>
      </w:r>
      <w:r>
        <w:rPr>
          <w:rFonts w:ascii="宋体" w:hAnsi="宋体" w:eastAsia="宋体" w:cs="宋体"/>
          <w:color w:val="auto"/>
          <w:spacing w:val="2"/>
          <w:sz w:val="24"/>
          <w:szCs w:val="24"/>
          <w:highlight w:val="none"/>
        </w:rPr>
        <w:t xml:space="preserve">    </w:t>
      </w:r>
      <w:r>
        <w:rPr>
          <w:rFonts w:ascii="宋体" w:hAnsi="宋体" w:eastAsia="宋体" w:cs="宋体"/>
          <w:color w:val="auto"/>
          <w:spacing w:val="-6"/>
          <w:sz w:val="24"/>
          <w:szCs w:val="24"/>
          <w:highlight w:val="none"/>
        </w:rPr>
        <w:t>址：</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5"/>
          <w:sz w:val="24"/>
          <w:szCs w:val="24"/>
          <w:highlight w:val="none"/>
        </w:rPr>
        <w:t xml:space="preserve">     </w:t>
      </w:r>
      <w:r>
        <w:rPr>
          <w:rFonts w:ascii="宋体" w:hAnsi="宋体" w:eastAsia="宋体" w:cs="宋体"/>
          <w:color w:val="auto"/>
          <w:spacing w:val="-6"/>
          <w:sz w:val="24"/>
          <w:szCs w:val="24"/>
          <w:highlight w:val="none"/>
        </w:rPr>
        <w:t>邮政编码：</w:t>
      </w:r>
      <w:r>
        <w:rPr>
          <w:rFonts w:ascii="宋体" w:hAnsi="宋体" w:eastAsia="宋体" w:cs="宋体"/>
          <w:color w:val="auto"/>
          <w:sz w:val="24"/>
          <w:szCs w:val="24"/>
          <w:highlight w:val="none"/>
          <w:u w:val="single" w:color="auto"/>
        </w:rPr>
        <w:t xml:space="preserve">            </w:t>
      </w:r>
    </w:p>
    <w:p w14:paraId="531C0ABF">
      <w:pPr>
        <w:spacing w:before="183" w:line="219" w:lineRule="auto"/>
        <w:ind w:left="29"/>
        <w:rPr>
          <w:rFonts w:ascii="宋体" w:hAnsi="宋体" w:eastAsia="宋体" w:cs="宋体"/>
          <w:color w:val="auto"/>
          <w:sz w:val="24"/>
          <w:szCs w:val="24"/>
          <w:highlight w:val="none"/>
        </w:rPr>
      </w:pPr>
      <w:r>
        <w:rPr>
          <w:rFonts w:ascii="宋体" w:hAnsi="宋体" w:eastAsia="宋体" w:cs="宋体"/>
          <w:color w:val="auto"/>
          <w:spacing w:val="-22"/>
          <w:sz w:val="24"/>
          <w:szCs w:val="24"/>
          <w:highlight w:val="none"/>
        </w:rPr>
        <w:t>电</w:t>
      </w:r>
      <w:r>
        <w:rPr>
          <w:rFonts w:ascii="宋体" w:hAnsi="宋体" w:eastAsia="宋体" w:cs="宋体"/>
          <w:color w:val="auto"/>
          <w:spacing w:val="3"/>
          <w:sz w:val="24"/>
          <w:szCs w:val="24"/>
          <w:highlight w:val="none"/>
        </w:rPr>
        <w:t xml:space="preserve">    </w:t>
      </w:r>
      <w:r>
        <w:rPr>
          <w:rFonts w:ascii="宋体" w:hAnsi="宋体" w:eastAsia="宋体" w:cs="宋体"/>
          <w:color w:val="auto"/>
          <w:spacing w:val="-22"/>
          <w:sz w:val="24"/>
          <w:szCs w:val="24"/>
          <w:highlight w:val="none"/>
        </w:rPr>
        <w:t>话</w:t>
      </w:r>
      <w:r>
        <w:rPr>
          <w:rFonts w:ascii="宋体" w:hAnsi="宋体" w:eastAsia="宋体" w:cs="宋体"/>
          <w:color w:val="auto"/>
          <w:spacing w:val="-89"/>
          <w:sz w:val="24"/>
          <w:szCs w:val="24"/>
          <w:highlight w:val="none"/>
        </w:rPr>
        <w:t xml:space="preserve"> </w:t>
      </w:r>
      <w:r>
        <w:rPr>
          <w:rFonts w:ascii="宋体" w:hAnsi="宋体" w:eastAsia="宋体" w:cs="宋体"/>
          <w:color w:val="auto"/>
          <w:spacing w:val="-22"/>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
          <w:sz w:val="24"/>
          <w:szCs w:val="24"/>
          <w:highlight w:val="none"/>
        </w:rPr>
        <w:t xml:space="preserve">     </w:t>
      </w:r>
      <w:r>
        <w:rPr>
          <w:rFonts w:ascii="宋体" w:hAnsi="宋体" w:eastAsia="宋体" w:cs="宋体"/>
          <w:color w:val="auto"/>
          <w:spacing w:val="-22"/>
          <w:sz w:val="24"/>
          <w:szCs w:val="24"/>
          <w:highlight w:val="none"/>
        </w:rPr>
        <w:t>传</w:t>
      </w:r>
      <w:r>
        <w:rPr>
          <w:rFonts w:ascii="宋体" w:hAnsi="宋体" w:eastAsia="宋体" w:cs="宋体"/>
          <w:color w:val="auto"/>
          <w:spacing w:val="3"/>
          <w:sz w:val="24"/>
          <w:szCs w:val="24"/>
          <w:highlight w:val="none"/>
        </w:rPr>
        <w:t xml:space="preserve">    </w:t>
      </w:r>
      <w:r>
        <w:rPr>
          <w:rFonts w:ascii="宋体" w:hAnsi="宋体" w:eastAsia="宋体" w:cs="宋体"/>
          <w:color w:val="auto"/>
          <w:spacing w:val="-22"/>
          <w:sz w:val="24"/>
          <w:szCs w:val="24"/>
          <w:highlight w:val="none"/>
        </w:rPr>
        <w:t>真</w:t>
      </w:r>
      <w:r>
        <w:rPr>
          <w:rFonts w:ascii="宋体" w:hAnsi="宋体" w:eastAsia="宋体" w:cs="宋体"/>
          <w:color w:val="auto"/>
          <w:spacing w:val="-87"/>
          <w:sz w:val="24"/>
          <w:szCs w:val="24"/>
          <w:highlight w:val="none"/>
        </w:rPr>
        <w:t xml:space="preserve"> </w:t>
      </w:r>
      <w:r>
        <w:rPr>
          <w:rFonts w:ascii="宋体" w:hAnsi="宋体" w:eastAsia="宋体" w:cs="宋体"/>
          <w:color w:val="auto"/>
          <w:spacing w:val="-22"/>
          <w:sz w:val="24"/>
          <w:szCs w:val="24"/>
          <w:highlight w:val="none"/>
        </w:rPr>
        <w:t>：</w:t>
      </w:r>
      <w:r>
        <w:rPr>
          <w:rFonts w:ascii="宋体" w:hAnsi="宋体" w:eastAsia="宋体" w:cs="宋体"/>
          <w:color w:val="auto"/>
          <w:sz w:val="24"/>
          <w:szCs w:val="24"/>
          <w:highlight w:val="none"/>
          <w:u w:val="single" w:color="auto"/>
        </w:rPr>
        <w:t xml:space="preserve">            </w:t>
      </w:r>
    </w:p>
    <w:p w14:paraId="4F40AE61">
      <w:pPr>
        <w:spacing w:before="181" w:line="219" w:lineRule="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供应商代表姓名：</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 xml:space="preserve">     职</w:t>
      </w:r>
      <w:r>
        <w:rPr>
          <w:rFonts w:ascii="宋体" w:hAnsi="宋体" w:eastAsia="宋体" w:cs="宋体"/>
          <w:color w:val="auto"/>
          <w:spacing w:val="3"/>
          <w:sz w:val="24"/>
          <w:szCs w:val="24"/>
          <w:highlight w:val="none"/>
        </w:rPr>
        <w:t xml:space="preserve">    </w:t>
      </w:r>
      <w:r>
        <w:rPr>
          <w:rFonts w:ascii="宋体" w:hAnsi="宋体" w:eastAsia="宋体" w:cs="宋体"/>
          <w:color w:val="auto"/>
          <w:spacing w:val="-1"/>
          <w:sz w:val="24"/>
          <w:szCs w:val="24"/>
          <w:highlight w:val="none"/>
        </w:rPr>
        <w:t>务：</w:t>
      </w:r>
      <w:r>
        <w:rPr>
          <w:rFonts w:ascii="宋体" w:hAnsi="宋体" w:eastAsia="宋体" w:cs="宋体"/>
          <w:color w:val="auto"/>
          <w:sz w:val="24"/>
          <w:szCs w:val="24"/>
          <w:highlight w:val="none"/>
          <w:u w:val="single" w:color="auto"/>
        </w:rPr>
        <w:t xml:space="preserve">            </w:t>
      </w:r>
    </w:p>
    <w:p w14:paraId="525AA844">
      <w:pPr>
        <w:pStyle w:val="5"/>
        <w:spacing w:line="284" w:lineRule="auto"/>
        <w:rPr>
          <w:color w:val="auto"/>
          <w:highlight w:val="none"/>
        </w:rPr>
      </w:pPr>
    </w:p>
    <w:p w14:paraId="46A19D19">
      <w:pPr>
        <w:pStyle w:val="5"/>
        <w:spacing w:line="285" w:lineRule="auto"/>
        <w:rPr>
          <w:color w:val="auto"/>
          <w:highlight w:val="none"/>
        </w:rPr>
      </w:pPr>
    </w:p>
    <w:p w14:paraId="452F1150">
      <w:pPr>
        <w:spacing w:before="78" w:line="360" w:lineRule="auto"/>
        <w:ind w:right="1533"/>
        <w:rPr>
          <w:rFonts w:ascii="宋体" w:hAnsi="宋体" w:eastAsia="宋体" w:cs="宋体"/>
          <w:color w:val="auto"/>
          <w:sz w:val="24"/>
          <w:szCs w:val="24"/>
          <w:highlight w:val="none"/>
        </w:rPr>
      </w:pPr>
      <w:r>
        <w:rPr>
          <w:rFonts w:ascii="宋体" w:hAnsi="宋体" w:eastAsia="宋体" w:cs="宋体"/>
          <w:color w:val="auto"/>
          <w:sz w:val="24"/>
          <w:szCs w:val="24"/>
          <w:highlight w:val="none"/>
        </w:rPr>
        <w:t>供应商法定代表人（或法定代表人授权代表）签字或</w:t>
      </w:r>
      <w:r>
        <w:rPr>
          <w:rFonts w:ascii="宋体" w:hAnsi="宋体" w:eastAsia="宋体" w:cs="宋体"/>
          <w:color w:val="auto"/>
          <w:spacing w:val="-1"/>
          <w:sz w:val="24"/>
          <w:szCs w:val="24"/>
          <w:highlight w:val="none"/>
        </w:rPr>
        <w:t>盖章：</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2"/>
          <w:sz w:val="24"/>
          <w:szCs w:val="24"/>
          <w:highlight w:val="none"/>
        </w:rPr>
        <w:t>供应商名称（盖章</w:t>
      </w:r>
      <w:r>
        <w:rPr>
          <w:rFonts w:ascii="宋体" w:hAnsi="宋体" w:eastAsia="宋体" w:cs="宋体"/>
          <w:color w:val="auto"/>
          <w:spacing w:val="2"/>
          <w:sz w:val="24"/>
          <w:szCs w:val="24"/>
          <w:highlight w:val="none"/>
        </w:rPr>
        <w:t>）：</w:t>
      </w:r>
      <w:r>
        <w:rPr>
          <w:rFonts w:ascii="宋体" w:hAnsi="宋体" w:eastAsia="宋体" w:cs="宋体"/>
          <w:color w:val="auto"/>
          <w:sz w:val="24"/>
          <w:szCs w:val="24"/>
          <w:highlight w:val="none"/>
          <w:u w:val="single" w:color="auto"/>
        </w:rPr>
        <w:t xml:space="preserve">            </w:t>
      </w:r>
    </w:p>
    <w:p w14:paraId="3D84F6CE">
      <w:pPr>
        <w:pStyle w:val="5"/>
        <w:spacing w:line="263" w:lineRule="auto"/>
        <w:rPr>
          <w:color w:val="auto"/>
          <w:highlight w:val="none"/>
        </w:rPr>
      </w:pPr>
    </w:p>
    <w:p w14:paraId="7A33F176">
      <w:pPr>
        <w:pStyle w:val="5"/>
        <w:spacing w:line="263" w:lineRule="auto"/>
        <w:rPr>
          <w:color w:val="auto"/>
          <w:highlight w:val="none"/>
        </w:rPr>
      </w:pPr>
    </w:p>
    <w:p w14:paraId="70E8570A">
      <w:pPr>
        <w:spacing w:before="79" w:line="219" w:lineRule="auto"/>
        <w:ind w:left="3147"/>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w:t>
      </w:r>
      <w:r>
        <w:rPr>
          <w:rFonts w:ascii="宋体" w:hAnsi="宋体" w:eastAsia="宋体" w:cs="宋体"/>
          <w:color w:val="auto"/>
          <w:spacing w:val="3"/>
          <w:sz w:val="24"/>
          <w:szCs w:val="24"/>
          <w:highlight w:val="none"/>
        </w:rPr>
        <w:t xml:space="preserve">   </w:t>
      </w:r>
      <w:r>
        <w:rPr>
          <w:rFonts w:ascii="宋体" w:hAnsi="宋体" w:eastAsia="宋体" w:cs="宋体"/>
          <w:color w:val="auto"/>
          <w:spacing w:val="-13"/>
          <w:sz w:val="24"/>
          <w:szCs w:val="24"/>
          <w:highlight w:val="none"/>
        </w:rPr>
        <w:t>年</w:t>
      </w:r>
      <w:r>
        <w:rPr>
          <w:rFonts w:ascii="宋体" w:hAnsi="宋体" w:eastAsia="宋体" w:cs="宋体"/>
          <w:color w:val="auto"/>
          <w:spacing w:val="5"/>
          <w:sz w:val="24"/>
          <w:szCs w:val="24"/>
          <w:highlight w:val="none"/>
        </w:rPr>
        <w:t xml:space="preserve">   </w:t>
      </w:r>
      <w:r>
        <w:rPr>
          <w:rFonts w:ascii="宋体" w:hAnsi="宋体" w:eastAsia="宋体" w:cs="宋体"/>
          <w:color w:val="auto"/>
          <w:spacing w:val="-13"/>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13"/>
          <w:sz w:val="24"/>
          <w:szCs w:val="24"/>
          <w:highlight w:val="none"/>
        </w:rPr>
        <w:t>日</w:t>
      </w:r>
    </w:p>
    <w:p w14:paraId="2AA317F3">
      <w:pPr>
        <w:spacing w:line="219" w:lineRule="auto"/>
        <w:rPr>
          <w:rFonts w:ascii="宋体" w:hAnsi="宋体" w:eastAsia="宋体" w:cs="宋体"/>
          <w:color w:val="auto"/>
          <w:sz w:val="24"/>
          <w:szCs w:val="24"/>
          <w:highlight w:val="none"/>
        </w:rPr>
        <w:sectPr>
          <w:footerReference r:id="rId46" w:type="default"/>
          <w:pgSz w:w="11906" w:h="16839"/>
          <w:pgMar w:top="1431" w:right="1585" w:bottom="1443" w:left="1594" w:header="0" w:footer="1202" w:gutter="0"/>
          <w:pgNumType w:fmt="decimal"/>
          <w:cols w:space="720" w:num="1"/>
        </w:sectPr>
      </w:pPr>
    </w:p>
    <w:p w14:paraId="2A142445">
      <w:pPr>
        <w:spacing w:before="171" w:line="219" w:lineRule="auto"/>
        <w:ind w:left="1511"/>
        <w:outlineLvl w:val="0"/>
        <w:rPr>
          <w:rFonts w:ascii="宋体" w:hAnsi="宋体" w:eastAsia="宋体" w:cs="宋体"/>
          <w:color w:val="auto"/>
          <w:sz w:val="30"/>
          <w:szCs w:val="30"/>
          <w:highlight w:val="none"/>
        </w:rPr>
      </w:pPr>
      <w:r>
        <w:rPr>
          <w:rFonts w:ascii="宋体" w:hAnsi="宋体" w:eastAsia="宋体" w:cs="宋体"/>
          <w:b/>
          <w:bCs/>
          <w:color w:val="auto"/>
          <w:spacing w:val="-3"/>
          <w:sz w:val="30"/>
          <w:szCs w:val="30"/>
          <w:highlight w:val="none"/>
        </w:rPr>
        <w:t>3.2</w:t>
      </w:r>
      <w:r>
        <w:rPr>
          <w:rFonts w:ascii="宋体" w:hAnsi="宋体" w:eastAsia="宋体" w:cs="宋体"/>
          <w:color w:val="auto"/>
          <w:spacing w:val="-3"/>
          <w:sz w:val="30"/>
          <w:szCs w:val="30"/>
          <w:highlight w:val="none"/>
        </w:rPr>
        <w:t xml:space="preserve"> </w:t>
      </w:r>
      <w:r>
        <w:rPr>
          <w:rFonts w:ascii="宋体" w:hAnsi="宋体" w:eastAsia="宋体" w:cs="宋体"/>
          <w:b/>
          <w:bCs/>
          <w:color w:val="auto"/>
          <w:spacing w:val="-3"/>
          <w:sz w:val="30"/>
          <w:szCs w:val="30"/>
          <w:highlight w:val="none"/>
        </w:rPr>
        <w:t>法定代表人（单位负责人）资格证明书</w:t>
      </w:r>
    </w:p>
    <w:p w14:paraId="29B75E6D">
      <w:pPr>
        <w:pStyle w:val="5"/>
        <w:spacing w:line="279" w:lineRule="auto"/>
        <w:rPr>
          <w:color w:val="auto"/>
          <w:highlight w:val="none"/>
        </w:rPr>
      </w:pPr>
    </w:p>
    <w:p w14:paraId="140A6B4D">
      <w:pPr>
        <w:pStyle w:val="5"/>
        <w:spacing w:line="280" w:lineRule="auto"/>
        <w:rPr>
          <w:color w:val="auto"/>
          <w:highlight w:val="none"/>
        </w:rPr>
      </w:pPr>
    </w:p>
    <w:p w14:paraId="19B96C82">
      <w:pPr>
        <w:pStyle w:val="5"/>
        <w:spacing w:line="280" w:lineRule="auto"/>
        <w:rPr>
          <w:color w:val="auto"/>
          <w:highlight w:val="none"/>
        </w:rPr>
      </w:pPr>
    </w:p>
    <w:p w14:paraId="1C1707CA">
      <w:pPr>
        <w:spacing w:before="78" w:line="220" w:lineRule="auto"/>
        <w:ind w:left="54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单位名称：</w:t>
      </w:r>
    </w:p>
    <w:p w14:paraId="00A7764F">
      <w:pPr>
        <w:pStyle w:val="5"/>
        <w:spacing w:line="257" w:lineRule="auto"/>
        <w:rPr>
          <w:color w:val="auto"/>
          <w:highlight w:val="none"/>
        </w:rPr>
      </w:pPr>
    </w:p>
    <w:p w14:paraId="547E122C">
      <w:pPr>
        <w:spacing w:before="78" w:line="229" w:lineRule="auto"/>
        <w:ind w:left="53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地址：</w:t>
      </w:r>
    </w:p>
    <w:p w14:paraId="74C40833">
      <w:pPr>
        <w:pStyle w:val="5"/>
        <w:spacing w:line="247" w:lineRule="auto"/>
        <w:rPr>
          <w:color w:val="auto"/>
          <w:highlight w:val="none"/>
        </w:rPr>
      </w:pPr>
    </w:p>
    <w:p w14:paraId="2CC5F57A">
      <w:pPr>
        <w:spacing w:before="78" w:line="219" w:lineRule="auto"/>
        <w:ind w:left="53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姓名：       性别：     年龄：</w:t>
      </w:r>
      <w:r>
        <w:rPr>
          <w:rFonts w:ascii="宋体" w:hAnsi="宋体" w:eastAsia="宋体" w:cs="宋体"/>
          <w:color w:val="auto"/>
          <w:spacing w:val="2"/>
          <w:sz w:val="24"/>
          <w:szCs w:val="24"/>
          <w:highlight w:val="none"/>
        </w:rPr>
        <w:t xml:space="preserve">     </w:t>
      </w:r>
      <w:r>
        <w:rPr>
          <w:rFonts w:ascii="宋体" w:hAnsi="宋体" w:eastAsia="宋体" w:cs="宋体"/>
          <w:color w:val="auto"/>
          <w:spacing w:val="-1"/>
          <w:sz w:val="24"/>
          <w:szCs w:val="24"/>
          <w:highlight w:val="none"/>
        </w:rPr>
        <w:t>职务：</w:t>
      </w:r>
      <w:r>
        <w:rPr>
          <w:rFonts w:ascii="宋体" w:hAnsi="宋体" w:eastAsia="宋体" w:cs="宋体"/>
          <w:color w:val="auto"/>
          <w:spacing w:val="1"/>
          <w:sz w:val="24"/>
          <w:szCs w:val="24"/>
          <w:highlight w:val="none"/>
        </w:rPr>
        <w:t xml:space="preserve">        </w:t>
      </w:r>
      <w:r>
        <w:rPr>
          <w:rFonts w:ascii="宋体" w:hAnsi="宋体" w:eastAsia="宋体" w:cs="宋体"/>
          <w:color w:val="auto"/>
          <w:spacing w:val="-1"/>
          <w:sz w:val="24"/>
          <w:szCs w:val="24"/>
          <w:highlight w:val="none"/>
        </w:rPr>
        <w:t>联系电</w:t>
      </w:r>
      <w:r>
        <w:rPr>
          <w:rFonts w:ascii="宋体" w:hAnsi="宋体" w:eastAsia="宋体" w:cs="宋体"/>
          <w:color w:val="auto"/>
          <w:spacing w:val="-2"/>
          <w:sz w:val="24"/>
          <w:szCs w:val="24"/>
          <w:highlight w:val="none"/>
        </w:rPr>
        <w:t>话：</w:t>
      </w:r>
    </w:p>
    <w:p w14:paraId="4C8FF87B">
      <w:pPr>
        <w:pStyle w:val="5"/>
        <w:spacing w:line="259" w:lineRule="auto"/>
        <w:rPr>
          <w:color w:val="auto"/>
          <w:highlight w:val="none"/>
        </w:rPr>
      </w:pPr>
    </w:p>
    <w:p w14:paraId="7B8A05A1">
      <w:pPr>
        <w:spacing w:before="78" w:line="480" w:lineRule="auto"/>
        <w:ind w:firstLine="53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本人系</w:t>
      </w:r>
      <w:r>
        <w:rPr>
          <w:rFonts w:ascii="宋体" w:hAnsi="宋体" w:eastAsia="宋体" w:cs="宋体"/>
          <w:color w:val="auto"/>
          <w:spacing w:val="-4"/>
          <w:sz w:val="24"/>
          <w:szCs w:val="24"/>
          <w:highlight w:val="none"/>
          <w:u w:val="single" w:color="auto"/>
        </w:rPr>
        <w:t xml:space="preserve"> 供应商名称</w:t>
      </w:r>
      <w:r>
        <w:rPr>
          <w:rFonts w:ascii="宋体" w:hAnsi="宋体" w:eastAsia="宋体" w:cs="宋体"/>
          <w:color w:val="auto"/>
          <w:spacing w:val="29"/>
          <w:sz w:val="24"/>
          <w:szCs w:val="24"/>
          <w:highlight w:val="none"/>
          <w:u w:val="single" w:color="auto"/>
        </w:rPr>
        <w:t xml:space="preserve"> </w:t>
      </w:r>
      <w:r>
        <w:rPr>
          <w:rFonts w:ascii="宋体" w:hAnsi="宋体" w:eastAsia="宋体" w:cs="宋体"/>
          <w:color w:val="auto"/>
          <w:spacing w:val="-4"/>
          <w:sz w:val="24"/>
          <w:szCs w:val="24"/>
          <w:highlight w:val="none"/>
        </w:rPr>
        <w:t>的法定代表人。就参加</w:t>
      </w:r>
      <w:r>
        <w:rPr>
          <w:rFonts w:ascii="宋体" w:hAnsi="宋体" w:eastAsia="宋体" w:cs="宋体"/>
          <w:color w:val="auto"/>
          <w:spacing w:val="-5"/>
          <w:sz w:val="24"/>
          <w:szCs w:val="24"/>
          <w:highlight w:val="none"/>
        </w:rPr>
        <w:t>贵方项目编号为</w:t>
      </w:r>
      <w:r>
        <w:rPr>
          <w:rFonts w:ascii="宋体" w:hAnsi="宋体" w:eastAsia="宋体" w:cs="宋体"/>
          <w:color w:val="auto"/>
          <w:spacing w:val="-5"/>
          <w:sz w:val="24"/>
          <w:szCs w:val="24"/>
          <w:highlight w:val="none"/>
          <w:u w:val="single" w:color="auto"/>
        </w:rPr>
        <w:t xml:space="preserve"> 项目编号</w:t>
      </w:r>
      <w:r>
        <w:rPr>
          <w:rFonts w:ascii="宋体" w:hAnsi="宋体" w:eastAsia="宋体" w:cs="宋体"/>
          <w:color w:val="auto"/>
          <w:spacing w:val="29"/>
          <w:sz w:val="24"/>
          <w:szCs w:val="24"/>
          <w:highlight w:val="none"/>
          <w:u w:val="single" w:color="auto"/>
        </w:rPr>
        <w:t xml:space="preserve"> </w:t>
      </w:r>
      <w:r>
        <w:rPr>
          <w:rFonts w:ascii="宋体" w:hAnsi="宋体" w:eastAsia="宋体" w:cs="宋体"/>
          <w:color w:val="auto"/>
          <w:spacing w:val="-5"/>
          <w:sz w:val="24"/>
          <w:szCs w:val="24"/>
          <w:highlight w:val="none"/>
        </w:rPr>
        <w:t>的</w:t>
      </w:r>
      <w:r>
        <w:rPr>
          <w:rFonts w:ascii="宋体" w:hAnsi="宋体" w:eastAsia="宋体" w:cs="宋体"/>
          <w:color w:val="auto"/>
          <w:spacing w:val="-5"/>
          <w:sz w:val="24"/>
          <w:szCs w:val="24"/>
          <w:highlight w:val="none"/>
          <w:u w:val="single" w:color="auto"/>
        </w:rPr>
        <w:t xml:space="preserve"> 项目</w:t>
      </w:r>
      <w:r>
        <w:rPr>
          <w:rFonts w:ascii="宋体" w:hAnsi="宋体" w:eastAsia="宋体" w:cs="宋体"/>
          <w:color w:val="auto"/>
          <w:spacing w:val="-1"/>
          <w:sz w:val="24"/>
          <w:szCs w:val="24"/>
          <w:highlight w:val="none"/>
          <w:u w:val="single" w:color="auto"/>
        </w:rPr>
        <w:t xml:space="preserve">名称 </w:t>
      </w:r>
      <w:r>
        <w:rPr>
          <w:rFonts w:ascii="宋体" w:hAnsi="宋体" w:eastAsia="宋体" w:cs="宋体"/>
          <w:color w:val="auto"/>
          <w:spacing w:val="-1"/>
          <w:sz w:val="24"/>
          <w:szCs w:val="24"/>
          <w:highlight w:val="none"/>
        </w:rPr>
        <w:t>公开招标项目的投标报价，签署上述项目的响应文件及合同的执行、完成</w:t>
      </w:r>
      <w:r>
        <w:rPr>
          <w:rFonts w:ascii="宋体" w:hAnsi="宋体" w:eastAsia="宋体" w:cs="宋体"/>
          <w:color w:val="auto"/>
          <w:spacing w:val="-2"/>
          <w:sz w:val="24"/>
          <w:szCs w:val="24"/>
          <w:highlight w:val="none"/>
        </w:rPr>
        <w:t>、服</w:t>
      </w:r>
      <w:r>
        <w:rPr>
          <w:rFonts w:ascii="宋体" w:hAnsi="宋体" w:eastAsia="宋体" w:cs="宋体"/>
          <w:color w:val="auto"/>
          <w:spacing w:val="-1"/>
          <w:sz w:val="24"/>
          <w:szCs w:val="24"/>
          <w:highlight w:val="none"/>
        </w:rPr>
        <w:t>务和保修，签署合同和处理与之有关的一切事务。</w:t>
      </w:r>
    </w:p>
    <w:p w14:paraId="41AB4D78">
      <w:pPr>
        <w:spacing w:before="1" w:line="219" w:lineRule="auto"/>
        <w:ind w:left="53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特此证明。</w:t>
      </w:r>
    </w:p>
    <w:p w14:paraId="5C6C1D78">
      <w:pPr>
        <w:pStyle w:val="5"/>
        <w:spacing w:line="250" w:lineRule="auto"/>
        <w:rPr>
          <w:color w:val="auto"/>
          <w:highlight w:val="none"/>
        </w:rPr>
      </w:pPr>
    </w:p>
    <w:p w14:paraId="01F188F4">
      <w:pPr>
        <w:pStyle w:val="5"/>
        <w:spacing w:line="250" w:lineRule="auto"/>
        <w:rPr>
          <w:color w:val="auto"/>
          <w:highlight w:val="none"/>
        </w:rPr>
      </w:pPr>
    </w:p>
    <w:p w14:paraId="38500DF2">
      <w:pPr>
        <w:pStyle w:val="5"/>
        <w:spacing w:line="250" w:lineRule="auto"/>
        <w:rPr>
          <w:color w:val="auto"/>
          <w:highlight w:val="none"/>
        </w:rPr>
      </w:pPr>
    </w:p>
    <w:p w14:paraId="07F5E573">
      <w:pPr>
        <w:pStyle w:val="5"/>
        <w:spacing w:line="250" w:lineRule="auto"/>
        <w:rPr>
          <w:color w:val="auto"/>
          <w:highlight w:val="none"/>
        </w:rPr>
      </w:pPr>
    </w:p>
    <w:p w14:paraId="7D580128">
      <w:pPr>
        <w:pStyle w:val="5"/>
        <w:spacing w:line="250" w:lineRule="auto"/>
        <w:rPr>
          <w:color w:val="auto"/>
          <w:highlight w:val="none"/>
        </w:rPr>
      </w:pPr>
    </w:p>
    <w:p w14:paraId="20CE49E5">
      <w:pPr>
        <w:pStyle w:val="5"/>
        <w:spacing w:line="250" w:lineRule="auto"/>
        <w:rPr>
          <w:color w:val="auto"/>
          <w:highlight w:val="none"/>
        </w:rPr>
      </w:pPr>
    </w:p>
    <w:p w14:paraId="70B266DA">
      <w:pPr>
        <w:spacing w:before="78" w:line="219" w:lineRule="auto"/>
        <w:ind w:left="678"/>
        <w:rPr>
          <w:rFonts w:ascii="宋体" w:hAnsi="宋体" w:eastAsia="宋体" w:cs="宋体"/>
          <w:color w:val="auto"/>
          <w:sz w:val="24"/>
          <w:szCs w:val="24"/>
          <w:highlight w:val="none"/>
        </w:rPr>
      </w:pPr>
      <w:r>
        <w:rPr>
          <w:rFonts w:ascii="宋体" w:hAnsi="宋体" w:eastAsia="宋体" w:cs="宋体"/>
          <w:color w:val="auto"/>
          <w:sz w:val="24"/>
          <w:szCs w:val="24"/>
          <w:highlight w:val="none"/>
        </w:rPr>
        <w:t>【此处请粘贴法定代表人身份证复印件，需清晰反映身份证</w:t>
      </w:r>
      <w:r>
        <w:rPr>
          <w:rFonts w:ascii="宋体" w:hAnsi="宋体" w:eastAsia="宋体" w:cs="宋体"/>
          <w:color w:val="auto"/>
          <w:spacing w:val="-1"/>
          <w:sz w:val="24"/>
          <w:szCs w:val="24"/>
          <w:highlight w:val="none"/>
        </w:rPr>
        <w:t>有效期限】</w:t>
      </w:r>
    </w:p>
    <w:p w14:paraId="3B9A19EA">
      <w:pPr>
        <w:pStyle w:val="5"/>
        <w:spacing w:line="252" w:lineRule="auto"/>
        <w:rPr>
          <w:color w:val="auto"/>
          <w:highlight w:val="none"/>
        </w:rPr>
      </w:pPr>
    </w:p>
    <w:p w14:paraId="3FAC0B82">
      <w:pPr>
        <w:pStyle w:val="5"/>
        <w:spacing w:line="252" w:lineRule="auto"/>
        <w:rPr>
          <w:color w:val="auto"/>
          <w:highlight w:val="none"/>
        </w:rPr>
      </w:pPr>
    </w:p>
    <w:p w14:paraId="4B7F7EDD">
      <w:pPr>
        <w:pStyle w:val="5"/>
        <w:spacing w:line="252" w:lineRule="auto"/>
        <w:rPr>
          <w:color w:val="auto"/>
          <w:highlight w:val="none"/>
        </w:rPr>
      </w:pPr>
    </w:p>
    <w:p w14:paraId="02448DEF">
      <w:pPr>
        <w:pStyle w:val="5"/>
        <w:spacing w:line="253" w:lineRule="auto"/>
        <w:rPr>
          <w:color w:val="auto"/>
          <w:highlight w:val="none"/>
        </w:rPr>
      </w:pPr>
    </w:p>
    <w:p w14:paraId="1F6E4771">
      <w:pPr>
        <w:pStyle w:val="5"/>
        <w:spacing w:line="253" w:lineRule="auto"/>
        <w:rPr>
          <w:color w:val="auto"/>
          <w:highlight w:val="none"/>
        </w:rPr>
      </w:pPr>
    </w:p>
    <w:p w14:paraId="6CA154E8">
      <w:pPr>
        <w:pStyle w:val="5"/>
        <w:spacing w:line="253" w:lineRule="auto"/>
        <w:rPr>
          <w:color w:val="auto"/>
          <w:highlight w:val="none"/>
        </w:rPr>
      </w:pPr>
    </w:p>
    <w:p w14:paraId="545ACE3B">
      <w:pPr>
        <w:pStyle w:val="5"/>
        <w:spacing w:line="253" w:lineRule="auto"/>
        <w:rPr>
          <w:color w:val="auto"/>
          <w:highlight w:val="none"/>
        </w:rPr>
      </w:pPr>
    </w:p>
    <w:p w14:paraId="08C021C4">
      <w:pPr>
        <w:pStyle w:val="5"/>
        <w:spacing w:line="253" w:lineRule="auto"/>
        <w:rPr>
          <w:color w:val="auto"/>
          <w:highlight w:val="none"/>
        </w:rPr>
      </w:pPr>
    </w:p>
    <w:p w14:paraId="003900F7">
      <w:pPr>
        <w:pStyle w:val="5"/>
        <w:spacing w:line="253" w:lineRule="auto"/>
        <w:rPr>
          <w:color w:val="auto"/>
          <w:highlight w:val="none"/>
        </w:rPr>
      </w:pPr>
    </w:p>
    <w:p w14:paraId="2B5695FE">
      <w:pPr>
        <w:spacing w:before="78" w:line="219" w:lineRule="auto"/>
        <w:ind w:left="389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供应商名称（并加盖公章</w:t>
      </w:r>
      <w:r>
        <w:rPr>
          <w:rFonts w:ascii="宋体" w:hAnsi="宋体" w:eastAsia="宋体" w:cs="宋体"/>
          <w:color w:val="auto"/>
          <w:sz w:val="24"/>
          <w:szCs w:val="24"/>
          <w:highlight w:val="none"/>
        </w:rPr>
        <w:t>）：</w:t>
      </w:r>
    </w:p>
    <w:p w14:paraId="0DFA5572">
      <w:pPr>
        <w:pStyle w:val="5"/>
        <w:spacing w:line="320" w:lineRule="auto"/>
        <w:rPr>
          <w:color w:val="auto"/>
          <w:highlight w:val="none"/>
        </w:rPr>
      </w:pPr>
    </w:p>
    <w:p w14:paraId="08E9668F">
      <w:pPr>
        <w:spacing w:before="78" w:line="219" w:lineRule="auto"/>
        <w:ind w:left="389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签署日期：   年</w:t>
      </w:r>
      <w:r>
        <w:rPr>
          <w:rFonts w:ascii="宋体" w:hAnsi="宋体" w:eastAsia="宋体" w:cs="宋体"/>
          <w:color w:val="auto"/>
          <w:spacing w:val="7"/>
          <w:sz w:val="24"/>
          <w:szCs w:val="24"/>
          <w:highlight w:val="none"/>
        </w:rPr>
        <w:t xml:space="preserve">   </w:t>
      </w:r>
      <w:r>
        <w:rPr>
          <w:rFonts w:ascii="宋体" w:hAnsi="宋体" w:eastAsia="宋体" w:cs="宋体"/>
          <w:color w:val="auto"/>
          <w:spacing w:val="-3"/>
          <w:sz w:val="24"/>
          <w:szCs w:val="24"/>
          <w:highlight w:val="none"/>
        </w:rPr>
        <w:t>月</w:t>
      </w:r>
      <w:r>
        <w:rPr>
          <w:rFonts w:ascii="宋体" w:hAnsi="宋体" w:eastAsia="宋体" w:cs="宋体"/>
          <w:color w:val="auto"/>
          <w:spacing w:val="26"/>
          <w:sz w:val="24"/>
          <w:szCs w:val="24"/>
          <w:highlight w:val="none"/>
        </w:rPr>
        <w:t xml:space="preserve">  </w:t>
      </w:r>
      <w:r>
        <w:rPr>
          <w:rFonts w:ascii="宋体" w:hAnsi="宋体" w:eastAsia="宋体" w:cs="宋体"/>
          <w:color w:val="auto"/>
          <w:spacing w:val="-3"/>
          <w:sz w:val="24"/>
          <w:szCs w:val="24"/>
          <w:highlight w:val="none"/>
        </w:rPr>
        <w:t>日</w:t>
      </w:r>
    </w:p>
    <w:p w14:paraId="5F259981">
      <w:pPr>
        <w:pStyle w:val="5"/>
        <w:spacing w:line="319" w:lineRule="auto"/>
        <w:rPr>
          <w:color w:val="auto"/>
          <w:highlight w:val="none"/>
        </w:rPr>
      </w:pPr>
    </w:p>
    <w:p w14:paraId="4B76C786">
      <w:pPr>
        <w:pStyle w:val="5"/>
        <w:spacing w:line="319" w:lineRule="auto"/>
        <w:rPr>
          <w:color w:val="auto"/>
          <w:highlight w:val="none"/>
        </w:rPr>
      </w:pPr>
    </w:p>
    <w:p w14:paraId="64928300">
      <w:pPr>
        <w:pStyle w:val="5"/>
        <w:spacing w:line="320" w:lineRule="auto"/>
        <w:rPr>
          <w:color w:val="auto"/>
          <w:highlight w:val="none"/>
        </w:rPr>
      </w:pPr>
    </w:p>
    <w:p w14:paraId="7798AF95">
      <w:pPr>
        <w:spacing w:before="101" w:line="225" w:lineRule="auto"/>
        <w:ind w:left="4"/>
        <w:rPr>
          <w:rFonts w:ascii="宋体" w:hAnsi="宋体" w:eastAsia="宋体" w:cs="宋体"/>
          <w:color w:val="auto"/>
          <w:sz w:val="31"/>
          <w:szCs w:val="31"/>
          <w:highlight w:val="none"/>
        </w:rPr>
      </w:pPr>
      <w:r>
        <w:rPr>
          <w:rFonts w:ascii="宋体" w:hAnsi="宋体" w:eastAsia="宋体" w:cs="宋体"/>
          <w:color w:val="auto"/>
          <w:sz w:val="31"/>
          <w:szCs w:val="31"/>
          <w:highlight w:val="none"/>
        </w:rPr>
        <w:t>说明：</w:t>
      </w:r>
      <w:r>
        <w:rPr>
          <w:rFonts w:ascii="宋体" w:hAnsi="宋体" w:eastAsia="宋体" w:cs="宋体"/>
          <w:color w:val="auto"/>
          <w:sz w:val="24"/>
          <w:szCs w:val="24"/>
          <w:highlight w:val="none"/>
        </w:rPr>
        <w:t>法定代表人（单位负责人）参加本招标项目投标的，仅须出具此证明书</w:t>
      </w:r>
      <w:r>
        <w:rPr>
          <w:rFonts w:ascii="宋体" w:hAnsi="宋体" w:eastAsia="宋体" w:cs="宋体"/>
          <w:color w:val="auto"/>
          <w:sz w:val="31"/>
          <w:szCs w:val="31"/>
          <w:highlight w:val="none"/>
        </w:rPr>
        <w:t>。</w:t>
      </w:r>
    </w:p>
    <w:p w14:paraId="4D281AC3">
      <w:pPr>
        <w:spacing w:line="225" w:lineRule="auto"/>
        <w:rPr>
          <w:rFonts w:ascii="宋体" w:hAnsi="宋体" w:eastAsia="宋体" w:cs="宋体"/>
          <w:color w:val="auto"/>
          <w:sz w:val="31"/>
          <w:szCs w:val="31"/>
          <w:highlight w:val="none"/>
        </w:rPr>
        <w:sectPr>
          <w:footerReference r:id="rId47" w:type="default"/>
          <w:pgSz w:w="11906" w:h="16839"/>
          <w:pgMar w:top="1431" w:right="1585" w:bottom="1443" w:left="1597" w:header="0" w:footer="1202" w:gutter="0"/>
          <w:pgNumType w:fmt="decimal"/>
          <w:cols w:space="720" w:num="1"/>
        </w:sectPr>
      </w:pPr>
    </w:p>
    <w:p w14:paraId="5155DF3B">
      <w:pPr>
        <w:spacing w:before="171" w:line="219" w:lineRule="auto"/>
        <w:ind w:left="1989"/>
        <w:rPr>
          <w:rFonts w:ascii="宋体" w:hAnsi="宋体" w:eastAsia="宋体" w:cs="宋体"/>
          <w:color w:val="auto"/>
          <w:sz w:val="30"/>
          <w:szCs w:val="30"/>
          <w:highlight w:val="none"/>
        </w:rPr>
      </w:pPr>
      <w:r>
        <w:rPr>
          <w:rFonts w:ascii="宋体" w:hAnsi="宋体" w:eastAsia="宋体" w:cs="宋体"/>
          <w:b/>
          <w:bCs/>
          <w:color w:val="auto"/>
          <w:spacing w:val="-3"/>
          <w:sz w:val="30"/>
          <w:szCs w:val="30"/>
          <w:highlight w:val="none"/>
        </w:rPr>
        <w:t>3.3</w:t>
      </w:r>
      <w:r>
        <w:rPr>
          <w:rFonts w:ascii="宋体" w:hAnsi="宋体" w:eastAsia="宋体" w:cs="宋体"/>
          <w:color w:val="auto"/>
          <w:spacing w:val="-3"/>
          <w:sz w:val="30"/>
          <w:szCs w:val="30"/>
          <w:highlight w:val="none"/>
        </w:rPr>
        <w:t xml:space="preserve"> </w:t>
      </w:r>
      <w:r>
        <w:rPr>
          <w:rFonts w:ascii="宋体" w:hAnsi="宋体" w:eastAsia="宋体" w:cs="宋体"/>
          <w:b/>
          <w:bCs/>
          <w:color w:val="auto"/>
          <w:spacing w:val="-3"/>
          <w:sz w:val="30"/>
          <w:szCs w:val="30"/>
          <w:highlight w:val="none"/>
        </w:rPr>
        <w:t>法定代表人（单位负责人）授权书</w:t>
      </w:r>
    </w:p>
    <w:p w14:paraId="6E4D2AEE">
      <w:pPr>
        <w:pStyle w:val="5"/>
        <w:spacing w:line="308" w:lineRule="auto"/>
        <w:rPr>
          <w:color w:val="auto"/>
          <w:highlight w:val="none"/>
        </w:rPr>
      </w:pPr>
    </w:p>
    <w:p w14:paraId="2A6CF81E">
      <w:pPr>
        <w:pStyle w:val="5"/>
        <w:spacing w:line="309" w:lineRule="auto"/>
        <w:rPr>
          <w:color w:val="auto"/>
          <w:highlight w:val="none"/>
        </w:rPr>
      </w:pPr>
    </w:p>
    <w:p w14:paraId="774A67E1">
      <w:pPr>
        <w:spacing w:before="78" w:line="360" w:lineRule="auto"/>
        <w:ind w:left="175" w:right="165" w:firstLine="505"/>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本人</w:t>
      </w:r>
      <w:r>
        <w:rPr>
          <w:rFonts w:ascii="宋体" w:hAnsi="宋体" w:eastAsia="宋体" w:cs="宋体"/>
          <w:color w:val="auto"/>
          <w:spacing w:val="-3"/>
          <w:sz w:val="24"/>
          <w:szCs w:val="24"/>
          <w:highlight w:val="none"/>
          <w:u w:val="single" w:color="auto"/>
        </w:rPr>
        <w:t>法人姓名</w:t>
      </w:r>
      <w:r>
        <w:rPr>
          <w:rFonts w:ascii="宋体" w:hAnsi="宋体" w:eastAsia="宋体" w:cs="宋体"/>
          <w:color w:val="auto"/>
          <w:spacing w:val="-3"/>
          <w:sz w:val="24"/>
          <w:szCs w:val="24"/>
          <w:highlight w:val="none"/>
        </w:rPr>
        <w:t>系</w:t>
      </w:r>
      <w:r>
        <w:rPr>
          <w:rFonts w:ascii="宋体" w:hAnsi="宋体" w:eastAsia="宋体" w:cs="宋体"/>
          <w:color w:val="auto"/>
          <w:spacing w:val="-3"/>
          <w:sz w:val="24"/>
          <w:szCs w:val="24"/>
          <w:highlight w:val="none"/>
          <w:u w:val="single" w:color="auto"/>
        </w:rPr>
        <w:t xml:space="preserve"> 供应商名称  </w:t>
      </w:r>
      <w:r>
        <w:rPr>
          <w:rFonts w:ascii="宋体" w:hAnsi="宋体" w:eastAsia="宋体" w:cs="宋体"/>
          <w:color w:val="auto"/>
          <w:spacing w:val="-74"/>
          <w:sz w:val="24"/>
          <w:szCs w:val="24"/>
          <w:highlight w:val="none"/>
        </w:rPr>
        <w:t xml:space="preserve"> </w:t>
      </w:r>
      <w:r>
        <w:rPr>
          <w:rFonts w:ascii="宋体" w:hAnsi="宋体" w:eastAsia="宋体" w:cs="宋体"/>
          <w:color w:val="auto"/>
          <w:spacing w:val="-3"/>
          <w:sz w:val="24"/>
          <w:szCs w:val="24"/>
          <w:highlight w:val="none"/>
        </w:rPr>
        <w:t>的法定代表人，现委托</w:t>
      </w:r>
      <w:r>
        <w:rPr>
          <w:rFonts w:ascii="宋体" w:hAnsi="宋体" w:eastAsia="宋体" w:cs="宋体"/>
          <w:color w:val="auto"/>
          <w:spacing w:val="-3"/>
          <w:sz w:val="24"/>
          <w:szCs w:val="24"/>
          <w:highlight w:val="none"/>
          <w:u w:val="single" w:color="auto"/>
        </w:rPr>
        <w:t>姓名，职务</w:t>
      </w:r>
      <w:r>
        <w:rPr>
          <w:rFonts w:ascii="宋体" w:hAnsi="宋体" w:eastAsia="宋体" w:cs="宋体"/>
          <w:color w:val="auto"/>
          <w:spacing w:val="-3"/>
          <w:sz w:val="24"/>
          <w:szCs w:val="24"/>
          <w:highlight w:val="none"/>
        </w:rPr>
        <w:t>以我方的名义</w:t>
      </w:r>
      <w:r>
        <w:rPr>
          <w:rFonts w:ascii="宋体" w:hAnsi="宋体" w:eastAsia="宋体" w:cs="宋体"/>
          <w:color w:val="auto"/>
          <w:spacing w:val="1"/>
          <w:sz w:val="24"/>
          <w:szCs w:val="24"/>
          <w:highlight w:val="none"/>
        </w:rPr>
        <w:t>参加贵方</w:t>
      </w:r>
      <w:r>
        <w:rPr>
          <w:rFonts w:ascii="宋体" w:hAnsi="宋体" w:eastAsia="宋体" w:cs="宋体"/>
          <w:color w:val="auto"/>
          <w:spacing w:val="-106"/>
          <w:sz w:val="24"/>
          <w:szCs w:val="24"/>
          <w:highlight w:val="none"/>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4"/>
          <w:sz w:val="24"/>
          <w:szCs w:val="24"/>
          <w:highlight w:val="none"/>
        </w:rPr>
        <w:t xml:space="preserve"> </w:t>
      </w:r>
      <w:r>
        <w:rPr>
          <w:rFonts w:ascii="宋体" w:hAnsi="宋体" w:eastAsia="宋体" w:cs="宋体"/>
          <w:color w:val="auto"/>
          <w:spacing w:val="1"/>
          <w:sz w:val="24"/>
          <w:szCs w:val="24"/>
          <w:highlight w:val="none"/>
        </w:rPr>
        <w:t>项目的磋商响应活动，并代表我方全权办理针对上述项目的</w:t>
      </w:r>
      <w:r>
        <w:rPr>
          <w:rFonts w:ascii="宋体" w:hAnsi="宋体" w:eastAsia="宋体" w:cs="宋体"/>
          <w:color w:val="auto"/>
          <w:spacing w:val="-1"/>
          <w:sz w:val="24"/>
          <w:szCs w:val="24"/>
          <w:highlight w:val="none"/>
        </w:rPr>
        <w:t>磋商、响应文件澄清、签约等一切具体事务和签署相关文件。</w:t>
      </w:r>
    </w:p>
    <w:p w14:paraId="5960C6F1">
      <w:pPr>
        <w:spacing w:line="219" w:lineRule="auto"/>
        <w:ind w:left="68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我方对被授权人的签名事项负全部责任。</w:t>
      </w:r>
    </w:p>
    <w:p w14:paraId="6C9B00D2">
      <w:pPr>
        <w:spacing w:before="182" w:line="360" w:lineRule="auto"/>
        <w:ind w:left="175" w:right="168" w:firstLine="50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在贵方收到我方撤销授权的书面通知以前，本授权书</w:t>
      </w:r>
      <w:r>
        <w:rPr>
          <w:rFonts w:ascii="宋体" w:hAnsi="宋体" w:eastAsia="宋体" w:cs="宋体"/>
          <w:color w:val="auto"/>
          <w:spacing w:val="1"/>
          <w:sz w:val="24"/>
          <w:szCs w:val="24"/>
          <w:highlight w:val="none"/>
        </w:rPr>
        <w:t>一直有效。被授权人在授</w:t>
      </w:r>
      <w:r>
        <w:rPr>
          <w:rFonts w:ascii="宋体" w:hAnsi="宋体" w:eastAsia="宋体" w:cs="宋体"/>
          <w:color w:val="auto"/>
          <w:spacing w:val="2"/>
          <w:sz w:val="24"/>
          <w:szCs w:val="24"/>
          <w:highlight w:val="none"/>
        </w:rPr>
        <w:t>权书有效期内签署的所有文件不因授权的撤销而失效。除我方书面撤销授权外，本</w:t>
      </w:r>
      <w:r>
        <w:rPr>
          <w:rFonts w:ascii="宋体" w:hAnsi="宋体" w:eastAsia="宋体" w:cs="宋体"/>
          <w:color w:val="auto"/>
          <w:sz w:val="24"/>
          <w:szCs w:val="24"/>
          <w:highlight w:val="none"/>
        </w:rPr>
        <w:t>授权书自投标截止之日起直至我方的投标有</w:t>
      </w:r>
      <w:r>
        <w:rPr>
          <w:rFonts w:ascii="宋体" w:hAnsi="宋体" w:eastAsia="宋体" w:cs="宋体"/>
          <w:color w:val="auto"/>
          <w:spacing w:val="-1"/>
          <w:sz w:val="24"/>
          <w:szCs w:val="24"/>
          <w:highlight w:val="none"/>
        </w:rPr>
        <w:t>效期结束前始终有效。</w:t>
      </w:r>
    </w:p>
    <w:p w14:paraId="2E1B04EE">
      <w:pPr>
        <w:spacing w:line="219" w:lineRule="auto"/>
        <w:ind w:left="6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被授权人无转委托权，特此委托。</w:t>
      </w:r>
    </w:p>
    <w:p w14:paraId="47D707DB">
      <w:pPr>
        <w:spacing w:before="262" w:line="219" w:lineRule="auto"/>
        <w:ind w:left="656"/>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供应商名称</w:t>
      </w:r>
      <w:r>
        <w:rPr>
          <w:rFonts w:ascii="宋体" w:hAnsi="宋体" w:eastAsia="宋体" w:cs="宋体"/>
          <w:color w:val="auto"/>
          <w:spacing w:val="-16"/>
          <w:sz w:val="24"/>
          <w:szCs w:val="24"/>
          <w:highlight w:val="none"/>
        </w:rPr>
        <w:t>：</w:t>
      </w:r>
      <w:r>
        <w:rPr>
          <w:rFonts w:ascii="宋体" w:hAnsi="宋体" w:eastAsia="宋体" w:cs="宋体"/>
          <w:color w:val="auto"/>
          <w:spacing w:val="1"/>
          <w:sz w:val="24"/>
          <w:szCs w:val="24"/>
          <w:highlight w:val="none"/>
        </w:rPr>
        <w:t xml:space="preserve"> </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6"/>
          <w:sz w:val="24"/>
          <w:szCs w:val="24"/>
          <w:highlight w:val="none"/>
          <w:u w:val="single" w:color="auto"/>
        </w:rPr>
        <w:t>（</w:t>
      </w:r>
      <w:r>
        <w:rPr>
          <w:rFonts w:ascii="宋体" w:hAnsi="宋体" w:eastAsia="宋体" w:cs="宋体"/>
          <w:color w:val="auto"/>
          <w:spacing w:val="4"/>
          <w:sz w:val="24"/>
          <w:szCs w:val="24"/>
          <w:highlight w:val="none"/>
          <w:u w:val="single" w:color="auto"/>
        </w:rPr>
        <w:t>全称</w:t>
      </w:r>
      <w:r>
        <w:rPr>
          <w:rFonts w:ascii="宋体" w:hAnsi="宋体" w:eastAsia="宋体" w:cs="宋体"/>
          <w:color w:val="auto"/>
          <w:spacing w:val="-16"/>
          <w:sz w:val="24"/>
          <w:szCs w:val="24"/>
          <w:highlight w:val="none"/>
          <w:u w:val="single" w:color="auto"/>
        </w:rPr>
        <w:t>）</w:t>
      </w:r>
      <w:r>
        <w:rPr>
          <w:rFonts w:ascii="宋体" w:hAnsi="宋体" w:eastAsia="宋体" w:cs="宋体"/>
          <w:color w:val="auto"/>
          <w:spacing w:val="17"/>
          <w:sz w:val="24"/>
          <w:szCs w:val="24"/>
          <w:highlight w:val="none"/>
          <w:u w:val="single" w:color="auto"/>
        </w:rPr>
        <w:t xml:space="preserve">       </w:t>
      </w:r>
      <w:r>
        <w:rPr>
          <w:rFonts w:ascii="宋体" w:hAnsi="宋体" w:eastAsia="宋体" w:cs="宋体"/>
          <w:color w:val="auto"/>
          <w:spacing w:val="1"/>
          <w:sz w:val="24"/>
          <w:szCs w:val="24"/>
          <w:highlight w:val="none"/>
        </w:rPr>
        <w:t xml:space="preserve"> </w:t>
      </w:r>
      <w:r>
        <w:rPr>
          <w:rFonts w:ascii="宋体" w:hAnsi="宋体" w:eastAsia="宋体" w:cs="宋体"/>
          <w:color w:val="auto"/>
          <w:spacing w:val="-16"/>
          <w:sz w:val="24"/>
          <w:szCs w:val="24"/>
          <w:highlight w:val="none"/>
        </w:rPr>
        <w:t>（</w:t>
      </w:r>
      <w:r>
        <w:rPr>
          <w:rFonts w:ascii="宋体" w:hAnsi="宋体" w:eastAsia="宋体" w:cs="宋体"/>
          <w:color w:val="auto"/>
          <w:spacing w:val="4"/>
          <w:sz w:val="24"/>
          <w:szCs w:val="24"/>
          <w:highlight w:val="none"/>
        </w:rPr>
        <w:t>盖单位公章）</w:t>
      </w:r>
    </w:p>
    <w:p w14:paraId="6FC24CD2">
      <w:pPr>
        <w:pStyle w:val="5"/>
        <w:spacing w:line="259" w:lineRule="auto"/>
        <w:rPr>
          <w:color w:val="auto"/>
          <w:highlight w:val="none"/>
        </w:rPr>
      </w:pPr>
    </w:p>
    <w:p w14:paraId="68EC67DC">
      <w:pPr>
        <w:spacing w:before="79" w:line="219" w:lineRule="auto"/>
        <w:ind w:left="65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法定代表人（单位负责人</w:t>
      </w:r>
      <w:r>
        <w:rPr>
          <w:rFonts w:ascii="宋体" w:hAnsi="宋体" w:eastAsia="宋体" w:cs="宋体"/>
          <w:color w:val="auto"/>
          <w:spacing w:val="-11"/>
          <w:sz w:val="24"/>
          <w:szCs w:val="24"/>
          <w:highlight w:val="none"/>
        </w:rPr>
        <w:t>）：（</w:t>
      </w:r>
      <w:r>
        <w:rPr>
          <w:rFonts w:ascii="宋体" w:hAnsi="宋体" w:eastAsia="宋体" w:cs="宋体"/>
          <w:color w:val="auto"/>
          <w:spacing w:val="1"/>
          <w:sz w:val="24"/>
          <w:szCs w:val="24"/>
          <w:highlight w:val="none"/>
        </w:rPr>
        <w:t>签字或加盖名章）</w:t>
      </w:r>
    </w:p>
    <w:p w14:paraId="299CCC5C">
      <w:pPr>
        <w:pStyle w:val="5"/>
        <w:spacing w:line="259" w:lineRule="auto"/>
        <w:rPr>
          <w:color w:val="auto"/>
          <w:highlight w:val="none"/>
        </w:rPr>
      </w:pPr>
    </w:p>
    <w:p w14:paraId="3D28F271">
      <w:pPr>
        <w:spacing w:before="78" w:line="219" w:lineRule="auto"/>
        <w:ind w:left="65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法定代表人（单位负责人）或授权代表联系电话（手机</w:t>
      </w:r>
      <w:r>
        <w:rPr>
          <w:rFonts w:ascii="宋体" w:hAnsi="宋体" w:eastAsia="宋体" w:cs="宋体"/>
          <w:color w:val="auto"/>
          <w:spacing w:val="6"/>
          <w:sz w:val="24"/>
          <w:szCs w:val="24"/>
          <w:highlight w:val="none"/>
        </w:rPr>
        <w:t>）：</w:t>
      </w:r>
    </w:p>
    <w:p w14:paraId="44098BC5">
      <w:pPr>
        <w:spacing w:line="147" w:lineRule="exact"/>
        <w:rPr>
          <w:color w:val="auto"/>
          <w:highlight w:val="none"/>
        </w:rPr>
      </w:pPr>
    </w:p>
    <w:tbl>
      <w:tblPr>
        <w:tblStyle w:val="11"/>
        <w:tblW w:w="90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23"/>
        <w:gridCol w:w="4538"/>
      </w:tblGrid>
      <w:tr w14:paraId="5B571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3" w:hRule="atLeast"/>
        </w:trPr>
        <w:tc>
          <w:tcPr>
            <w:tcW w:w="4523" w:type="dxa"/>
            <w:vAlign w:val="top"/>
          </w:tcPr>
          <w:p w14:paraId="2D87F288">
            <w:pPr>
              <w:spacing w:line="279" w:lineRule="auto"/>
              <w:rPr>
                <w:rFonts w:ascii="Arial"/>
                <w:color w:val="auto"/>
                <w:sz w:val="21"/>
                <w:highlight w:val="none"/>
              </w:rPr>
            </w:pPr>
          </w:p>
          <w:p w14:paraId="378FF906">
            <w:pPr>
              <w:spacing w:line="279" w:lineRule="auto"/>
              <w:rPr>
                <w:rFonts w:ascii="Arial"/>
                <w:color w:val="auto"/>
                <w:sz w:val="21"/>
                <w:highlight w:val="none"/>
              </w:rPr>
            </w:pPr>
          </w:p>
          <w:p w14:paraId="1AD7B186">
            <w:pPr>
              <w:spacing w:line="280" w:lineRule="auto"/>
              <w:rPr>
                <w:rFonts w:ascii="Arial"/>
                <w:color w:val="auto"/>
                <w:sz w:val="21"/>
                <w:highlight w:val="none"/>
              </w:rPr>
            </w:pPr>
          </w:p>
          <w:p w14:paraId="3FF9BE07">
            <w:pPr>
              <w:spacing w:line="280" w:lineRule="auto"/>
              <w:rPr>
                <w:rFonts w:ascii="Arial"/>
                <w:color w:val="auto"/>
                <w:sz w:val="21"/>
                <w:highlight w:val="none"/>
              </w:rPr>
            </w:pPr>
          </w:p>
          <w:p w14:paraId="1E26FDC8">
            <w:pPr>
              <w:pStyle w:val="12"/>
              <w:spacing w:before="78" w:line="219" w:lineRule="auto"/>
              <w:jc w:val="right"/>
              <w:rPr>
                <w:color w:val="auto"/>
                <w:highlight w:val="none"/>
              </w:rPr>
            </w:pPr>
            <w:r>
              <w:rPr>
                <w:color w:val="auto"/>
                <w:spacing w:val="-9"/>
                <w:highlight w:val="none"/>
              </w:rPr>
              <w:t>法定代表人（单位负责人）身份证（正面）</w:t>
            </w:r>
          </w:p>
        </w:tc>
        <w:tc>
          <w:tcPr>
            <w:tcW w:w="4538" w:type="dxa"/>
            <w:vAlign w:val="top"/>
          </w:tcPr>
          <w:p w14:paraId="0EC1F3B3">
            <w:pPr>
              <w:spacing w:line="279" w:lineRule="auto"/>
              <w:rPr>
                <w:rFonts w:ascii="Arial"/>
                <w:color w:val="auto"/>
                <w:sz w:val="21"/>
                <w:highlight w:val="none"/>
              </w:rPr>
            </w:pPr>
          </w:p>
          <w:p w14:paraId="10BAFD1F">
            <w:pPr>
              <w:spacing w:line="279" w:lineRule="auto"/>
              <w:rPr>
                <w:rFonts w:ascii="Arial"/>
                <w:color w:val="auto"/>
                <w:sz w:val="21"/>
                <w:highlight w:val="none"/>
              </w:rPr>
            </w:pPr>
          </w:p>
          <w:p w14:paraId="696E429E">
            <w:pPr>
              <w:spacing w:line="280" w:lineRule="auto"/>
              <w:rPr>
                <w:rFonts w:ascii="Arial"/>
                <w:color w:val="auto"/>
                <w:sz w:val="21"/>
                <w:highlight w:val="none"/>
              </w:rPr>
            </w:pPr>
          </w:p>
          <w:p w14:paraId="407ADCEF">
            <w:pPr>
              <w:spacing w:line="280" w:lineRule="auto"/>
              <w:rPr>
                <w:rFonts w:ascii="Arial"/>
                <w:color w:val="auto"/>
                <w:sz w:val="21"/>
                <w:highlight w:val="none"/>
              </w:rPr>
            </w:pPr>
          </w:p>
          <w:p w14:paraId="26424676">
            <w:pPr>
              <w:pStyle w:val="12"/>
              <w:spacing w:before="78" w:line="219" w:lineRule="auto"/>
              <w:jc w:val="right"/>
              <w:rPr>
                <w:color w:val="auto"/>
                <w:highlight w:val="none"/>
              </w:rPr>
            </w:pPr>
            <w:r>
              <w:rPr>
                <w:color w:val="auto"/>
                <w:spacing w:val="-8"/>
                <w:highlight w:val="none"/>
              </w:rPr>
              <w:t>法定代表人（单位负责人）身份证（反面）</w:t>
            </w:r>
          </w:p>
        </w:tc>
      </w:tr>
      <w:tr w14:paraId="42977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8" w:hRule="atLeast"/>
        </w:trPr>
        <w:tc>
          <w:tcPr>
            <w:tcW w:w="4523" w:type="dxa"/>
            <w:vAlign w:val="top"/>
          </w:tcPr>
          <w:p w14:paraId="2E9BE135">
            <w:pPr>
              <w:spacing w:line="293" w:lineRule="auto"/>
              <w:rPr>
                <w:rFonts w:ascii="Arial"/>
                <w:color w:val="auto"/>
                <w:sz w:val="21"/>
                <w:highlight w:val="none"/>
              </w:rPr>
            </w:pPr>
          </w:p>
          <w:p w14:paraId="267AAAA1">
            <w:pPr>
              <w:spacing w:line="293" w:lineRule="auto"/>
              <w:rPr>
                <w:rFonts w:ascii="Arial"/>
                <w:color w:val="auto"/>
                <w:sz w:val="21"/>
                <w:highlight w:val="none"/>
              </w:rPr>
            </w:pPr>
          </w:p>
          <w:p w14:paraId="171485F8">
            <w:pPr>
              <w:spacing w:line="293" w:lineRule="auto"/>
              <w:rPr>
                <w:rFonts w:ascii="Arial"/>
                <w:color w:val="auto"/>
                <w:sz w:val="21"/>
                <w:highlight w:val="none"/>
              </w:rPr>
            </w:pPr>
          </w:p>
          <w:p w14:paraId="6F67529E">
            <w:pPr>
              <w:pStyle w:val="12"/>
              <w:spacing w:before="78" w:line="219" w:lineRule="auto"/>
              <w:ind w:left="117"/>
              <w:rPr>
                <w:color w:val="auto"/>
                <w:highlight w:val="none"/>
              </w:rPr>
            </w:pPr>
            <w:r>
              <w:rPr>
                <w:color w:val="auto"/>
                <w:spacing w:val="-2"/>
                <w:highlight w:val="none"/>
              </w:rPr>
              <w:t>法定代表人（单位负责人）授权代表身份</w:t>
            </w:r>
          </w:p>
          <w:p w14:paraId="3BA0523C">
            <w:pPr>
              <w:pStyle w:val="12"/>
              <w:spacing w:before="27" w:line="230" w:lineRule="auto"/>
              <w:ind w:left="2149"/>
              <w:rPr>
                <w:color w:val="auto"/>
                <w:highlight w:val="none"/>
              </w:rPr>
            </w:pPr>
            <w:r>
              <w:rPr>
                <w:color w:val="auto"/>
                <w:highlight w:val="none"/>
              </w:rPr>
              <w:t>证</w:t>
            </w:r>
          </w:p>
          <w:p w14:paraId="5314C15A">
            <w:pPr>
              <w:pStyle w:val="12"/>
              <w:spacing w:before="12" w:line="221" w:lineRule="auto"/>
              <w:ind w:left="1800"/>
              <w:rPr>
                <w:color w:val="auto"/>
                <w:highlight w:val="none"/>
              </w:rPr>
            </w:pPr>
            <w:r>
              <w:rPr>
                <w:color w:val="auto"/>
                <w:spacing w:val="-6"/>
                <w:highlight w:val="none"/>
              </w:rPr>
              <w:t>（正面）</w:t>
            </w:r>
          </w:p>
        </w:tc>
        <w:tc>
          <w:tcPr>
            <w:tcW w:w="4538" w:type="dxa"/>
            <w:vAlign w:val="top"/>
          </w:tcPr>
          <w:p w14:paraId="7E241962">
            <w:pPr>
              <w:spacing w:line="293" w:lineRule="auto"/>
              <w:rPr>
                <w:rFonts w:ascii="Arial"/>
                <w:color w:val="auto"/>
                <w:sz w:val="21"/>
                <w:highlight w:val="none"/>
              </w:rPr>
            </w:pPr>
          </w:p>
          <w:p w14:paraId="36E99FCA">
            <w:pPr>
              <w:spacing w:line="293" w:lineRule="auto"/>
              <w:rPr>
                <w:rFonts w:ascii="Arial"/>
                <w:color w:val="auto"/>
                <w:sz w:val="21"/>
                <w:highlight w:val="none"/>
              </w:rPr>
            </w:pPr>
          </w:p>
          <w:p w14:paraId="6088B424">
            <w:pPr>
              <w:spacing w:line="293" w:lineRule="auto"/>
              <w:rPr>
                <w:rFonts w:ascii="Arial"/>
                <w:color w:val="auto"/>
                <w:sz w:val="21"/>
                <w:highlight w:val="none"/>
              </w:rPr>
            </w:pPr>
          </w:p>
          <w:p w14:paraId="63004DE6">
            <w:pPr>
              <w:pStyle w:val="12"/>
              <w:spacing w:before="78" w:line="219" w:lineRule="auto"/>
              <w:ind w:left="115"/>
              <w:rPr>
                <w:color w:val="auto"/>
                <w:highlight w:val="none"/>
              </w:rPr>
            </w:pPr>
            <w:r>
              <w:rPr>
                <w:color w:val="auto"/>
                <w:spacing w:val="-1"/>
                <w:highlight w:val="none"/>
              </w:rPr>
              <w:t>法定代表人（单位负责人）授权代表身份</w:t>
            </w:r>
          </w:p>
          <w:p w14:paraId="1CEAF8E5">
            <w:pPr>
              <w:pStyle w:val="12"/>
              <w:spacing w:before="27" w:line="230" w:lineRule="auto"/>
              <w:ind w:left="2154"/>
              <w:rPr>
                <w:color w:val="auto"/>
                <w:highlight w:val="none"/>
              </w:rPr>
            </w:pPr>
            <w:r>
              <w:rPr>
                <w:color w:val="auto"/>
                <w:highlight w:val="none"/>
              </w:rPr>
              <w:t>证</w:t>
            </w:r>
          </w:p>
          <w:p w14:paraId="27E48FA5">
            <w:pPr>
              <w:pStyle w:val="12"/>
              <w:spacing w:before="12" w:line="221" w:lineRule="auto"/>
              <w:ind w:left="1806"/>
              <w:outlineLvl w:val="0"/>
              <w:rPr>
                <w:color w:val="auto"/>
                <w:highlight w:val="none"/>
              </w:rPr>
            </w:pPr>
            <w:r>
              <w:rPr>
                <w:color w:val="auto"/>
                <w:spacing w:val="-6"/>
                <w:highlight w:val="none"/>
              </w:rPr>
              <w:t>（反面）</w:t>
            </w:r>
          </w:p>
        </w:tc>
      </w:tr>
    </w:tbl>
    <w:p w14:paraId="3526180D">
      <w:pPr>
        <w:pStyle w:val="5"/>
        <w:rPr>
          <w:color w:val="auto"/>
          <w:highlight w:val="none"/>
        </w:rPr>
      </w:pPr>
    </w:p>
    <w:p w14:paraId="39B1EF3A">
      <w:pPr>
        <w:rPr>
          <w:color w:val="auto"/>
          <w:highlight w:val="none"/>
        </w:rPr>
        <w:sectPr>
          <w:footerReference r:id="rId48" w:type="default"/>
          <w:pgSz w:w="11906" w:h="16839"/>
          <w:pgMar w:top="1431" w:right="1420" w:bottom="1443" w:left="1419" w:header="0" w:footer="1202" w:gutter="0"/>
          <w:pgNumType w:fmt="decimal"/>
          <w:cols w:space="720" w:num="1"/>
        </w:sectPr>
      </w:pPr>
    </w:p>
    <w:p w14:paraId="2F6314A9">
      <w:pPr>
        <w:spacing w:before="172" w:line="219" w:lineRule="auto"/>
        <w:ind w:left="1965"/>
        <w:rPr>
          <w:rFonts w:ascii="宋体" w:hAnsi="宋体" w:eastAsia="宋体" w:cs="宋体"/>
          <w:color w:val="auto"/>
          <w:sz w:val="30"/>
          <w:szCs w:val="30"/>
          <w:highlight w:val="none"/>
        </w:rPr>
      </w:pPr>
      <w:r>
        <w:rPr>
          <w:rFonts w:ascii="宋体" w:hAnsi="宋体" w:eastAsia="宋体" w:cs="宋体"/>
          <w:b/>
          <w:bCs/>
          <w:color w:val="auto"/>
          <w:spacing w:val="-6"/>
          <w:sz w:val="30"/>
          <w:szCs w:val="30"/>
          <w:highlight w:val="none"/>
        </w:rPr>
        <w:t>3.4</w:t>
      </w:r>
      <w:r>
        <w:rPr>
          <w:rFonts w:ascii="宋体" w:hAnsi="宋体" w:eastAsia="宋体" w:cs="宋体"/>
          <w:color w:val="auto"/>
          <w:spacing w:val="46"/>
          <w:sz w:val="30"/>
          <w:szCs w:val="30"/>
          <w:highlight w:val="none"/>
        </w:rPr>
        <w:t xml:space="preserve"> </w:t>
      </w:r>
      <w:r>
        <w:rPr>
          <w:rFonts w:ascii="宋体" w:hAnsi="宋体" w:eastAsia="宋体" w:cs="宋体"/>
          <w:b/>
          <w:bCs/>
          <w:color w:val="auto"/>
          <w:spacing w:val="-6"/>
          <w:sz w:val="30"/>
          <w:szCs w:val="30"/>
          <w:highlight w:val="none"/>
        </w:rPr>
        <w:t>中小企业声明函（工程、服务）</w:t>
      </w:r>
    </w:p>
    <w:p w14:paraId="70B39F4D">
      <w:pPr>
        <w:pStyle w:val="5"/>
        <w:spacing w:line="302" w:lineRule="auto"/>
        <w:rPr>
          <w:color w:val="auto"/>
          <w:highlight w:val="none"/>
        </w:rPr>
      </w:pPr>
    </w:p>
    <w:p w14:paraId="433FCF85">
      <w:pPr>
        <w:pStyle w:val="5"/>
        <w:spacing w:line="302" w:lineRule="auto"/>
        <w:rPr>
          <w:color w:val="auto"/>
          <w:highlight w:val="none"/>
        </w:rPr>
      </w:pPr>
    </w:p>
    <w:p w14:paraId="184AED88">
      <w:pPr>
        <w:spacing w:before="78" w:line="360" w:lineRule="auto"/>
        <w:ind w:firstLine="421"/>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本公司（联合体）郑重声明，根据《政府采购促进中小企业发展管理办法》（财</w:t>
      </w:r>
      <w:r>
        <w:rPr>
          <w:rFonts w:ascii="宋体" w:hAnsi="宋体" w:eastAsia="宋体" w:cs="宋体"/>
          <w:color w:val="auto"/>
          <w:spacing w:val="-2"/>
          <w:sz w:val="24"/>
          <w:szCs w:val="24"/>
          <w:highlight w:val="none"/>
        </w:rPr>
        <w:t>库﹝2020﹞46 号）的规定，本公司（联合体）参加</w:t>
      </w:r>
      <w:r>
        <w:rPr>
          <w:rFonts w:ascii="宋体" w:hAnsi="宋体" w:eastAsia="宋体" w:cs="宋体"/>
          <w:color w:val="auto"/>
          <w:spacing w:val="-2"/>
          <w:sz w:val="24"/>
          <w:szCs w:val="24"/>
          <w:highlight w:val="none"/>
          <w:u w:val="single" w:color="auto"/>
        </w:rPr>
        <w:t xml:space="preserve"> （单位名称） </w:t>
      </w:r>
      <w:r>
        <w:rPr>
          <w:rFonts w:ascii="宋体" w:hAnsi="宋体" w:eastAsia="宋体" w:cs="宋体"/>
          <w:color w:val="auto"/>
          <w:spacing w:val="-90"/>
          <w:sz w:val="24"/>
          <w:szCs w:val="24"/>
          <w:highlight w:val="none"/>
        </w:rPr>
        <w:t xml:space="preserve"> </w:t>
      </w:r>
      <w:r>
        <w:rPr>
          <w:rFonts w:ascii="宋体" w:hAnsi="宋体" w:eastAsia="宋体" w:cs="宋体"/>
          <w:color w:val="auto"/>
          <w:spacing w:val="-2"/>
          <w:sz w:val="24"/>
          <w:szCs w:val="24"/>
          <w:highlight w:val="none"/>
        </w:rPr>
        <w:t>的</w:t>
      </w:r>
      <w:r>
        <w:rPr>
          <w:rFonts w:ascii="宋体" w:hAnsi="宋体" w:eastAsia="宋体" w:cs="宋体"/>
          <w:color w:val="auto"/>
          <w:spacing w:val="-2"/>
          <w:sz w:val="24"/>
          <w:szCs w:val="24"/>
          <w:highlight w:val="none"/>
          <w:u w:val="single" w:color="auto"/>
        </w:rPr>
        <w:t xml:space="preserve"> （项目</w:t>
      </w:r>
      <w:r>
        <w:rPr>
          <w:rFonts w:ascii="宋体" w:hAnsi="宋体" w:eastAsia="宋体" w:cs="宋体"/>
          <w:color w:val="auto"/>
          <w:spacing w:val="-3"/>
          <w:sz w:val="24"/>
          <w:szCs w:val="24"/>
          <w:highlight w:val="none"/>
          <w:u w:val="single" w:color="auto"/>
        </w:rPr>
        <w:t>名称）</w:t>
      </w:r>
      <w:r>
        <w:rPr>
          <w:rFonts w:ascii="宋体" w:hAnsi="宋体" w:eastAsia="宋体" w:cs="宋体"/>
          <w:color w:val="auto"/>
          <w:sz w:val="24"/>
          <w:szCs w:val="24"/>
          <w:highlight w:val="none"/>
        </w:rPr>
        <w:t>采购活动，工程的施工单位全部为符合政策要求的中小企业</w:t>
      </w:r>
      <w:r>
        <w:rPr>
          <w:rFonts w:ascii="宋体" w:hAnsi="宋体" w:eastAsia="宋体" w:cs="宋体"/>
          <w:color w:val="auto"/>
          <w:spacing w:val="-1"/>
          <w:sz w:val="24"/>
          <w:szCs w:val="24"/>
          <w:highlight w:val="none"/>
        </w:rPr>
        <w:t>（或者：服务全部由符</w:t>
      </w:r>
      <w:r>
        <w:rPr>
          <w:rFonts w:ascii="宋体" w:hAnsi="宋体" w:eastAsia="宋体" w:cs="宋体"/>
          <w:color w:val="auto"/>
          <w:sz w:val="24"/>
          <w:szCs w:val="24"/>
          <w:highlight w:val="none"/>
        </w:rPr>
        <w:t>合政策要求的中小企业承建）。相关企业（含联合体中的中</w:t>
      </w:r>
      <w:r>
        <w:rPr>
          <w:rFonts w:ascii="宋体" w:hAnsi="宋体" w:eastAsia="宋体" w:cs="宋体"/>
          <w:color w:val="auto"/>
          <w:spacing w:val="-1"/>
          <w:sz w:val="24"/>
          <w:szCs w:val="24"/>
          <w:highlight w:val="none"/>
        </w:rPr>
        <w:t>小企业、签订分包意向协议的中小企业）的具体情况如下：</w:t>
      </w:r>
    </w:p>
    <w:p w14:paraId="644295A6">
      <w:pPr>
        <w:spacing w:before="3" w:line="359" w:lineRule="auto"/>
        <w:ind w:left="2" w:right="99" w:firstLine="43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w:t>
      </w:r>
      <w:r>
        <w:rPr>
          <w:rFonts w:ascii="宋体" w:hAnsi="宋体" w:eastAsia="宋体" w:cs="宋体"/>
          <w:color w:val="auto"/>
          <w:spacing w:val="-2"/>
          <w:sz w:val="24"/>
          <w:szCs w:val="24"/>
          <w:highlight w:val="none"/>
          <w:u w:val="single" w:color="auto"/>
        </w:rPr>
        <w:t>（标的名称</w:t>
      </w:r>
      <w:r>
        <w:rPr>
          <w:rFonts w:ascii="宋体" w:hAnsi="宋体" w:eastAsia="宋体" w:cs="宋体"/>
          <w:color w:val="auto"/>
          <w:spacing w:val="-9"/>
          <w:sz w:val="24"/>
          <w:szCs w:val="24"/>
          <w:highlight w:val="none"/>
          <w:u w:val="single" w:color="auto"/>
        </w:rPr>
        <w:t>）</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91"/>
          <w:sz w:val="24"/>
          <w:szCs w:val="24"/>
          <w:highlight w:val="none"/>
        </w:rPr>
        <w:t xml:space="preserve"> </w:t>
      </w:r>
      <w:r>
        <w:rPr>
          <w:rFonts w:ascii="宋体" w:hAnsi="宋体" w:eastAsia="宋体" w:cs="宋体"/>
          <w:color w:val="auto"/>
          <w:spacing w:val="-9"/>
          <w:sz w:val="24"/>
          <w:szCs w:val="24"/>
          <w:highlight w:val="none"/>
        </w:rPr>
        <w:t>，</w:t>
      </w:r>
      <w:r>
        <w:rPr>
          <w:rFonts w:ascii="宋体" w:hAnsi="宋体" w:eastAsia="宋体" w:cs="宋体"/>
          <w:color w:val="auto"/>
          <w:spacing w:val="-2"/>
          <w:sz w:val="24"/>
          <w:szCs w:val="24"/>
          <w:highlight w:val="none"/>
        </w:rPr>
        <w:t>属于</w:t>
      </w:r>
      <w:r>
        <w:rPr>
          <w:rFonts w:ascii="宋体" w:hAnsi="宋体" w:eastAsia="宋体" w:cs="宋体"/>
          <w:color w:val="auto"/>
          <w:spacing w:val="-2"/>
          <w:sz w:val="24"/>
          <w:szCs w:val="24"/>
          <w:highlight w:val="none"/>
          <w:u w:val="single" w:color="auto"/>
        </w:rPr>
        <w:t xml:space="preserve"> （采购文件中明确的所属行业） </w:t>
      </w:r>
      <w:r>
        <w:rPr>
          <w:rFonts w:ascii="宋体" w:hAnsi="宋体" w:eastAsia="宋体" w:cs="宋体"/>
          <w:color w:val="auto"/>
          <w:spacing w:val="-106"/>
          <w:sz w:val="24"/>
          <w:szCs w:val="24"/>
          <w:highlight w:val="none"/>
        </w:rPr>
        <w:t xml:space="preserve"> </w:t>
      </w:r>
      <w:r>
        <w:rPr>
          <w:rFonts w:ascii="宋体" w:hAnsi="宋体" w:eastAsia="宋体" w:cs="宋体"/>
          <w:color w:val="auto"/>
          <w:spacing w:val="-2"/>
          <w:sz w:val="24"/>
          <w:szCs w:val="24"/>
          <w:highlight w:val="none"/>
        </w:rPr>
        <w:t>行业；承建（承接）</w:t>
      </w:r>
      <w:r>
        <w:rPr>
          <w:rFonts w:ascii="宋体" w:hAnsi="宋体" w:eastAsia="宋体" w:cs="宋体"/>
          <w:color w:val="auto"/>
          <w:spacing w:val="-3"/>
          <w:sz w:val="24"/>
          <w:szCs w:val="24"/>
          <w:highlight w:val="none"/>
        </w:rPr>
        <w:t>企业为</w:t>
      </w:r>
      <w:r>
        <w:rPr>
          <w:rFonts w:ascii="宋体" w:hAnsi="宋体" w:eastAsia="宋体" w:cs="宋体"/>
          <w:color w:val="auto"/>
          <w:spacing w:val="-28"/>
          <w:sz w:val="24"/>
          <w:szCs w:val="24"/>
          <w:highlight w:val="none"/>
          <w:u w:val="single" w:color="auto"/>
        </w:rPr>
        <w:t xml:space="preserve"> </w:t>
      </w:r>
      <w:r>
        <w:rPr>
          <w:rFonts w:ascii="宋体" w:hAnsi="宋体" w:eastAsia="宋体" w:cs="宋体"/>
          <w:color w:val="auto"/>
          <w:spacing w:val="-3"/>
          <w:sz w:val="24"/>
          <w:szCs w:val="24"/>
          <w:highlight w:val="none"/>
          <w:u w:val="single" w:color="auto"/>
        </w:rPr>
        <w:t>（企业名称</w:t>
      </w:r>
      <w:r>
        <w:rPr>
          <w:rFonts w:ascii="宋体" w:hAnsi="宋体" w:eastAsia="宋体" w:cs="宋体"/>
          <w:color w:val="auto"/>
          <w:spacing w:val="-9"/>
          <w:sz w:val="24"/>
          <w:szCs w:val="24"/>
          <w:highlight w:val="none"/>
          <w:u w:val="single" w:color="auto"/>
        </w:rPr>
        <w:t>）</w:t>
      </w:r>
      <w:r>
        <w:rPr>
          <w:rFonts w:ascii="宋体" w:hAnsi="宋体" w:eastAsia="宋体" w:cs="宋体"/>
          <w:color w:val="auto"/>
          <w:spacing w:val="-31"/>
          <w:sz w:val="24"/>
          <w:szCs w:val="24"/>
          <w:highlight w:val="none"/>
          <w:u w:val="single" w:color="auto"/>
        </w:rPr>
        <w:t xml:space="preserve"> </w:t>
      </w:r>
      <w:r>
        <w:rPr>
          <w:rFonts w:ascii="宋体" w:hAnsi="宋体" w:eastAsia="宋体" w:cs="宋体"/>
          <w:color w:val="auto"/>
          <w:spacing w:val="-9"/>
          <w:sz w:val="24"/>
          <w:szCs w:val="24"/>
          <w:highlight w:val="none"/>
        </w:rPr>
        <w:t>，</w:t>
      </w:r>
      <w:r>
        <w:rPr>
          <w:rFonts w:ascii="宋体" w:hAnsi="宋体" w:eastAsia="宋体" w:cs="宋体"/>
          <w:color w:val="auto"/>
          <w:spacing w:val="-3"/>
          <w:sz w:val="24"/>
          <w:szCs w:val="24"/>
          <w:highlight w:val="none"/>
        </w:rPr>
        <w:t>从业人员</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108"/>
          <w:sz w:val="24"/>
          <w:szCs w:val="24"/>
          <w:highlight w:val="none"/>
        </w:rPr>
        <w:t xml:space="preserve"> </w:t>
      </w:r>
      <w:r>
        <w:rPr>
          <w:rFonts w:ascii="宋体" w:hAnsi="宋体" w:eastAsia="宋体" w:cs="宋体"/>
          <w:color w:val="auto"/>
          <w:spacing w:val="-3"/>
          <w:sz w:val="24"/>
          <w:szCs w:val="24"/>
          <w:highlight w:val="none"/>
        </w:rPr>
        <w:t>人，营业收入为</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104"/>
          <w:sz w:val="24"/>
          <w:szCs w:val="24"/>
          <w:highlight w:val="none"/>
        </w:rPr>
        <w:t xml:space="preserve"> </w:t>
      </w:r>
      <w:r>
        <w:rPr>
          <w:rFonts w:ascii="宋体" w:hAnsi="宋体" w:eastAsia="宋体" w:cs="宋体"/>
          <w:color w:val="auto"/>
          <w:spacing w:val="-3"/>
          <w:sz w:val="24"/>
          <w:szCs w:val="24"/>
          <w:highlight w:val="none"/>
        </w:rPr>
        <w:t>万元，资产总额为</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4"/>
          <w:sz w:val="24"/>
          <w:szCs w:val="24"/>
          <w:highlight w:val="none"/>
        </w:rPr>
        <w:t>万</w:t>
      </w:r>
      <w:r>
        <w:rPr>
          <w:rFonts w:ascii="宋体" w:hAnsi="宋体" w:eastAsia="宋体" w:cs="宋体"/>
          <w:color w:val="auto"/>
          <w:spacing w:val="-1"/>
          <w:sz w:val="24"/>
          <w:szCs w:val="24"/>
          <w:highlight w:val="none"/>
        </w:rPr>
        <w:t>元，属于</w:t>
      </w:r>
      <w:r>
        <w:rPr>
          <w:rFonts w:ascii="宋体" w:hAnsi="宋体" w:eastAsia="宋体" w:cs="宋体"/>
          <w:color w:val="auto"/>
          <w:spacing w:val="-1"/>
          <w:sz w:val="24"/>
          <w:szCs w:val="24"/>
          <w:highlight w:val="none"/>
          <w:u w:val="single" w:color="auto"/>
        </w:rPr>
        <w:t xml:space="preserve"> （中型企业、小型企业、微型企业</w:t>
      </w:r>
      <w:r>
        <w:rPr>
          <w:rFonts w:ascii="宋体" w:hAnsi="宋体" w:eastAsia="宋体" w:cs="宋体"/>
          <w:color w:val="auto"/>
          <w:spacing w:val="3"/>
          <w:sz w:val="24"/>
          <w:szCs w:val="24"/>
          <w:highlight w:val="none"/>
          <w:u w:val="single" w:color="auto"/>
        </w:rPr>
        <w:t>）</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3"/>
          <w:sz w:val="24"/>
          <w:szCs w:val="24"/>
          <w:highlight w:val="none"/>
        </w:rPr>
        <w:t>；</w:t>
      </w:r>
    </w:p>
    <w:p w14:paraId="14D0BB94">
      <w:pPr>
        <w:spacing w:line="360" w:lineRule="auto"/>
        <w:ind w:left="2" w:firstLine="42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w:t>
      </w:r>
      <w:r>
        <w:rPr>
          <w:rFonts w:ascii="宋体" w:hAnsi="宋体" w:eastAsia="宋体" w:cs="宋体"/>
          <w:color w:val="auto"/>
          <w:spacing w:val="108"/>
          <w:sz w:val="24"/>
          <w:szCs w:val="24"/>
          <w:highlight w:val="none"/>
          <w:u w:val="single" w:color="auto"/>
        </w:rPr>
        <w:t xml:space="preserve"> </w:t>
      </w:r>
      <w:r>
        <w:rPr>
          <w:rFonts w:ascii="宋体" w:hAnsi="宋体" w:eastAsia="宋体" w:cs="宋体"/>
          <w:color w:val="auto"/>
          <w:spacing w:val="-3"/>
          <w:sz w:val="24"/>
          <w:szCs w:val="24"/>
          <w:highlight w:val="none"/>
          <w:u w:val="single" w:color="auto"/>
        </w:rPr>
        <w:t>（标的名称</w:t>
      </w:r>
      <w:r>
        <w:rPr>
          <w:rFonts w:ascii="宋体" w:hAnsi="宋体" w:eastAsia="宋体" w:cs="宋体"/>
          <w:color w:val="auto"/>
          <w:spacing w:val="-15"/>
          <w:sz w:val="24"/>
          <w:szCs w:val="24"/>
          <w:highlight w:val="none"/>
          <w:u w:val="single" w:color="auto"/>
        </w:rPr>
        <w:t>）</w:t>
      </w:r>
      <w:r>
        <w:rPr>
          <w:rFonts w:ascii="宋体" w:hAnsi="宋体" w:eastAsia="宋体" w:cs="宋体"/>
          <w:color w:val="auto"/>
          <w:spacing w:val="-14"/>
          <w:sz w:val="24"/>
          <w:szCs w:val="24"/>
          <w:highlight w:val="none"/>
          <w:u w:val="single" w:color="auto"/>
        </w:rPr>
        <w:t xml:space="preserve"> </w:t>
      </w:r>
      <w:r>
        <w:rPr>
          <w:rFonts w:ascii="宋体" w:hAnsi="宋体" w:eastAsia="宋体" w:cs="宋体"/>
          <w:color w:val="auto"/>
          <w:spacing w:val="-91"/>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pacing w:val="-3"/>
          <w:sz w:val="24"/>
          <w:szCs w:val="24"/>
          <w:highlight w:val="none"/>
        </w:rPr>
        <w:t>属于</w:t>
      </w:r>
      <w:r>
        <w:rPr>
          <w:rFonts w:ascii="宋体" w:hAnsi="宋体" w:eastAsia="宋体" w:cs="宋体"/>
          <w:color w:val="auto"/>
          <w:spacing w:val="-3"/>
          <w:sz w:val="24"/>
          <w:szCs w:val="24"/>
          <w:highlight w:val="none"/>
          <w:u w:val="single" w:color="auto"/>
        </w:rPr>
        <w:t xml:space="preserve"> （采购文件中明确的所属行业） </w:t>
      </w:r>
      <w:r>
        <w:rPr>
          <w:rFonts w:ascii="宋体" w:hAnsi="宋体" w:eastAsia="宋体" w:cs="宋体"/>
          <w:color w:val="auto"/>
          <w:spacing w:val="-107"/>
          <w:sz w:val="24"/>
          <w:szCs w:val="24"/>
          <w:highlight w:val="none"/>
        </w:rPr>
        <w:t xml:space="preserve"> </w:t>
      </w:r>
      <w:r>
        <w:rPr>
          <w:rFonts w:ascii="宋体" w:hAnsi="宋体" w:eastAsia="宋体" w:cs="宋体"/>
          <w:color w:val="auto"/>
          <w:spacing w:val="-3"/>
          <w:sz w:val="24"/>
          <w:szCs w:val="24"/>
          <w:highlight w:val="none"/>
        </w:rPr>
        <w:t>行业；承</w:t>
      </w:r>
      <w:r>
        <w:rPr>
          <w:rFonts w:ascii="宋体" w:hAnsi="宋体" w:eastAsia="宋体" w:cs="宋体"/>
          <w:color w:val="auto"/>
          <w:spacing w:val="-4"/>
          <w:sz w:val="24"/>
          <w:szCs w:val="24"/>
          <w:highlight w:val="none"/>
        </w:rPr>
        <w:t>建（承接）</w:t>
      </w:r>
      <w:r>
        <w:rPr>
          <w:rFonts w:ascii="宋体" w:hAnsi="宋体" w:eastAsia="宋体" w:cs="宋体"/>
          <w:color w:val="auto"/>
          <w:spacing w:val="-3"/>
          <w:sz w:val="24"/>
          <w:szCs w:val="24"/>
          <w:highlight w:val="none"/>
        </w:rPr>
        <w:t>企业为</w:t>
      </w:r>
      <w:r>
        <w:rPr>
          <w:rFonts w:ascii="宋体" w:hAnsi="宋体" w:eastAsia="宋体" w:cs="宋体"/>
          <w:color w:val="auto"/>
          <w:spacing w:val="-28"/>
          <w:sz w:val="24"/>
          <w:szCs w:val="24"/>
          <w:highlight w:val="none"/>
          <w:u w:val="single" w:color="auto"/>
        </w:rPr>
        <w:t xml:space="preserve"> </w:t>
      </w:r>
      <w:r>
        <w:rPr>
          <w:rFonts w:ascii="宋体" w:hAnsi="宋体" w:eastAsia="宋体" w:cs="宋体"/>
          <w:color w:val="auto"/>
          <w:spacing w:val="-3"/>
          <w:sz w:val="24"/>
          <w:szCs w:val="24"/>
          <w:highlight w:val="none"/>
          <w:u w:val="single" w:color="auto"/>
        </w:rPr>
        <w:t>（企业名称</w:t>
      </w:r>
      <w:r>
        <w:rPr>
          <w:rFonts w:ascii="宋体" w:hAnsi="宋体" w:eastAsia="宋体" w:cs="宋体"/>
          <w:color w:val="auto"/>
          <w:spacing w:val="-9"/>
          <w:sz w:val="24"/>
          <w:szCs w:val="24"/>
          <w:highlight w:val="none"/>
          <w:u w:val="single" w:color="auto"/>
        </w:rPr>
        <w:t>）</w:t>
      </w:r>
      <w:r>
        <w:rPr>
          <w:rFonts w:ascii="宋体" w:hAnsi="宋体" w:eastAsia="宋体" w:cs="宋体"/>
          <w:color w:val="auto"/>
          <w:spacing w:val="-31"/>
          <w:sz w:val="24"/>
          <w:szCs w:val="24"/>
          <w:highlight w:val="none"/>
          <w:u w:val="single" w:color="auto"/>
        </w:rPr>
        <w:t xml:space="preserve"> </w:t>
      </w:r>
      <w:r>
        <w:rPr>
          <w:rFonts w:ascii="宋体" w:hAnsi="宋体" w:eastAsia="宋体" w:cs="宋体"/>
          <w:color w:val="auto"/>
          <w:spacing w:val="-9"/>
          <w:sz w:val="24"/>
          <w:szCs w:val="24"/>
          <w:highlight w:val="none"/>
        </w:rPr>
        <w:t>，</w:t>
      </w:r>
      <w:r>
        <w:rPr>
          <w:rFonts w:ascii="宋体" w:hAnsi="宋体" w:eastAsia="宋体" w:cs="宋体"/>
          <w:color w:val="auto"/>
          <w:spacing w:val="-3"/>
          <w:sz w:val="24"/>
          <w:szCs w:val="24"/>
          <w:highlight w:val="none"/>
        </w:rPr>
        <w:t>从业人员</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108"/>
          <w:sz w:val="24"/>
          <w:szCs w:val="24"/>
          <w:highlight w:val="none"/>
        </w:rPr>
        <w:t xml:space="preserve"> </w:t>
      </w:r>
      <w:r>
        <w:rPr>
          <w:rFonts w:ascii="宋体" w:hAnsi="宋体" w:eastAsia="宋体" w:cs="宋体"/>
          <w:color w:val="auto"/>
          <w:spacing w:val="-3"/>
          <w:sz w:val="24"/>
          <w:szCs w:val="24"/>
          <w:highlight w:val="none"/>
        </w:rPr>
        <w:t>人，营业收入为</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104"/>
          <w:sz w:val="24"/>
          <w:szCs w:val="24"/>
          <w:highlight w:val="none"/>
        </w:rPr>
        <w:t xml:space="preserve"> </w:t>
      </w:r>
      <w:r>
        <w:rPr>
          <w:rFonts w:ascii="宋体" w:hAnsi="宋体" w:eastAsia="宋体" w:cs="宋体"/>
          <w:color w:val="auto"/>
          <w:spacing w:val="-3"/>
          <w:sz w:val="24"/>
          <w:szCs w:val="24"/>
          <w:highlight w:val="none"/>
        </w:rPr>
        <w:t>万元，资产总额为</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4"/>
          <w:sz w:val="24"/>
          <w:szCs w:val="24"/>
          <w:highlight w:val="none"/>
        </w:rPr>
        <w:t>万</w:t>
      </w:r>
      <w:r>
        <w:rPr>
          <w:rFonts w:ascii="宋体" w:hAnsi="宋体" w:eastAsia="宋体" w:cs="宋体"/>
          <w:color w:val="auto"/>
          <w:spacing w:val="-1"/>
          <w:sz w:val="24"/>
          <w:szCs w:val="24"/>
          <w:highlight w:val="none"/>
        </w:rPr>
        <w:t>元，属于</w:t>
      </w:r>
      <w:r>
        <w:rPr>
          <w:rFonts w:ascii="宋体" w:hAnsi="宋体" w:eastAsia="宋体" w:cs="宋体"/>
          <w:color w:val="auto"/>
          <w:spacing w:val="-1"/>
          <w:sz w:val="24"/>
          <w:szCs w:val="24"/>
          <w:highlight w:val="none"/>
          <w:u w:val="single" w:color="auto"/>
        </w:rPr>
        <w:t xml:space="preserve"> （中型企业、小型企业、微型企业</w:t>
      </w:r>
      <w:r>
        <w:rPr>
          <w:rFonts w:ascii="宋体" w:hAnsi="宋体" w:eastAsia="宋体" w:cs="宋体"/>
          <w:color w:val="auto"/>
          <w:spacing w:val="3"/>
          <w:sz w:val="24"/>
          <w:szCs w:val="24"/>
          <w:highlight w:val="none"/>
          <w:u w:val="single" w:color="auto"/>
        </w:rPr>
        <w:t>）</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3"/>
          <w:sz w:val="24"/>
          <w:szCs w:val="24"/>
          <w:highlight w:val="none"/>
        </w:rPr>
        <w:t>；</w:t>
      </w:r>
    </w:p>
    <w:p w14:paraId="07AB4675">
      <w:pPr>
        <w:spacing w:line="378" w:lineRule="exact"/>
        <w:ind w:left="436"/>
        <w:rPr>
          <w:rFonts w:ascii="宋体" w:hAnsi="宋体" w:eastAsia="宋体" w:cs="宋体"/>
          <w:color w:val="auto"/>
          <w:sz w:val="24"/>
          <w:szCs w:val="24"/>
          <w:highlight w:val="none"/>
        </w:rPr>
      </w:pPr>
      <w:r>
        <w:rPr>
          <w:rFonts w:ascii="宋体" w:hAnsi="宋体" w:eastAsia="宋体" w:cs="宋体"/>
          <w:color w:val="auto"/>
          <w:spacing w:val="-13"/>
          <w:position w:val="3"/>
          <w:sz w:val="24"/>
          <w:szCs w:val="24"/>
          <w:highlight w:val="none"/>
        </w:rPr>
        <w:t>……</w:t>
      </w:r>
    </w:p>
    <w:p w14:paraId="5239A192">
      <w:pPr>
        <w:spacing w:before="90" w:line="360" w:lineRule="auto"/>
        <w:ind w:right="99" w:firstLine="44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以上企业，不属于大企业的分支机构，不存在控股股东为大企业的情形，也不存</w:t>
      </w:r>
      <w:r>
        <w:rPr>
          <w:rFonts w:ascii="宋体" w:hAnsi="宋体" w:eastAsia="宋体" w:cs="宋体"/>
          <w:color w:val="auto"/>
          <w:spacing w:val="-1"/>
          <w:sz w:val="24"/>
          <w:szCs w:val="24"/>
          <w:highlight w:val="none"/>
        </w:rPr>
        <w:t>在与大企业的负责人为同一人的情形。</w:t>
      </w:r>
    </w:p>
    <w:p w14:paraId="162218FD">
      <w:pPr>
        <w:spacing w:line="218" w:lineRule="auto"/>
        <w:ind w:left="421"/>
        <w:rPr>
          <w:rFonts w:ascii="宋体" w:hAnsi="宋体" w:eastAsia="宋体" w:cs="宋体"/>
          <w:color w:val="auto"/>
          <w:sz w:val="24"/>
          <w:szCs w:val="24"/>
          <w:highlight w:val="none"/>
        </w:rPr>
      </w:pPr>
      <w:r>
        <w:rPr>
          <w:rFonts w:ascii="宋体" w:hAnsi="宋体" w:eastAsia="宋体" w:cs="宋体"/>
          <w:color w:val="auto"/>
          <w:sz w:val="24"/>
          <w:szCs w:val="24"/>
          <w:highlight w:val="none"/>
        </w:rPr>
        <w:t>本企业对上述声明内容的真实性负责。如有虚</w:t>
      </w:r>
      <w:r>
        <w:rPr>
          <w:rFonts w:ascii="宋体" w:hAnsi="宋体" w:eastAsia="宋体" w:cs="宋体"/>
          <w:color w:val="auto"/>
          <w:spacing w:val="-1"/>
          <w:sz w:val="24"/>
          <w:szCs w:val="24"/>
          <w:highlight w:val="none"/>
        </w:rPr>
        <w:t>假，将依法承担相应责任。</w:t>
      </w:r>
    </w:p>
    <w:p w14:paraId="2250995F">
      <w:pPr>
        <w:spacing w:before="184" w:line="219" w:lineRule="auto"/>
        <w:ind w:left="389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企业名称（盖章</w:t>
      </w:r>
      <w:r>
        <w:rPr>
          <w:rFonts w:ascii="宋体" w:hAnsi="宋体" w:eastAsia="宋体" w:cs="宋体"/>
          <w:color w:val="auto"/>
          <w:sz w:val="24"/>
          <w:szCs w:val="24"/>
          <w:highlight w:val="none"/>
        </w:rPr>
        <w:t>）：</w:t>
      </w:r>
    </w:p>
    <w:p w14:paraId="6F679236">
      <w:pPr>
        <w:pStyle w:val="5"/>
        <w:spacing w:line="384" w:lineRule="auto"/>
        <w:rPr>
          <w:color w:val="auto"/>
          <w:highlight w:val="none"/>
        </w:rPr>
      </w:pPr>
    </w:p>
    <w:p w14:paraId="73C605AD">
      <w:pPr>
        <w:spacing w:before="78" w:line="219" w:lineRule="auto"/>
        <w:ind w:left="3927"/>
        <w:rPr>
          <w:rFonts w:ascii="宋体" w:hAnsi="宋体" w:eastAsia="宋体" w:cs="宋体"/>
          <w:color w:val="auto"/>
          <w:sz w:val="24"/>
          <w:szCs w:val="24"/>
          <w:highlight w:val="none"/>
        </w:rPr>
      </w:pPr>
      <w:r>
        <w:rPr>
          <w:rFonts w:ascii="宋体" w:hAnsi="宋体" w:eastAsia="宋体" w:cs="宋体"/>
          <w:color w:val="auto"/>
          <w:spacing w:val="-20"/>
          <w:sz w:val="24"/>
          <w:szCs w:val="24"/>
          <w:highlight w:val="none"/>
        </w:rPr>
        <w:t>日</w:t>
      </w:r>
      <w:r>
        <w:rPr>
          <w:rFonts w:ascii="宋体" w:hAnsi="宋体" w:eastAsia="宋体" w:cs="宋体"/>
          <w:color w:val="auto"/>
          <w:spacing w:val="3"/>
          <w:sz w:val="24"/>
          <w:szCs w:val="24"/>
          <w:highlight w:val="none"/>
        </w:rPr>
        <w:t xml:space="preserve">    </w:t>
      </w:r>
      <w:r>
        <w:rPr>
          <w:rFonts w:ascii="宋体" w:hAnsi="宋体" w:eastAsia="宋体" w:cs="宋体"/>
          <w:color w:val="auto"/>
          <w:spacing w:val="-20"/>
          <w:sz w:val="24"/>
          <w:szCs w:val="24"/>
          <w:highlight w:val="none"/>
        </w:rPr>
        <w:t>期</w:t>
      </w:r>
      <w:r>
        <w:rPr>
          <w:rFonts w:ascii="宋体" w:hAnsi="宋体" w:eastAsia="宋体" w:cs="宋体"/>
          <w:color w:val="auto"/>
          <w:spacing w:val="-89"/>
          <w:sz w:val="24"/>
          <w:szCs w:val="24"/>
          <w:highlight w:val="none"/>
        </w:rPr>
        <w:t xml:space="preserve"> </w:t>
      </w:r>
      <w:r>
        <w:rPr>
          <w:rFonts w:ascii="宋体" w:hAnsi="宋体" w:eastAsia="宋体" w:cs="宋体"/>
          <w:color w:val="auto"/>
          <w:spacing w:val="-20"/>
          <w:sz w:val="24"/>
          <w:szCs w:val="24"/>
          <w:highlight w:val="none"/>
        </w:rPr>
        <w:t>：</w:t>
      </w:r>
      <w:r>
        <w:rPr>
          <w:rFonts w:ascii="宋体" w:hAnsi="宋体" w:eastAsia="宋体" w:cs="宋体"/>
          <w:color w:val="auto"/>
          <w:spacing w:val="1"/>
          <w:sz w:val="24"/>
          <w:szCs w:val="24"/>
          <w:highlight w:val="none"/>
        </w:rPr>
        <w:t xml:space="preserve">      </w:t>
      </w:r>
      <w:r>
        <w:rPr>
          <w:rFonts w:ascii="宋体" w:hAnsi="宋体" w:eastAsia="宋体" w:cs="宋体"/>
          <w:color w:val="auto"/>
          <w:spacing w:val="-20"/>
          <w:sz w:val="24"/>
          <w:szCs w:val="24"/>
          <w:highlight w:val="none"/>
        </w:rPr>
        <w:t>年</w:t>
      </w:r>
      <w:r>
        <w:rPr>
          <w:rFonts w:ascii="宋体" w:hAnsi="宋体" w:eastAsia="宋体" w:cs="宋体"/>
          <w:color w:val="auto"/>
          <w:spacing w:val="4"/>
          <w:sz w:val="24"/>
          <w:szCs w:val="24"/>
          <w:highlight w:val="none"/>
        </w:rPr>
        <w:t xml:space="preserve">    </w:t>
      </w:r>
      <w:r>
        <w:rPr>
          <w:rFonts w:ascii="宋体" w:hAnsi="宋体" w:eastAsia="宋体" w:cs="宋体"/>
          <w:color w:val="auto"/>
          <w:spacing w:val="-20"/>
          <w:sz w:val="24"/>
          <w:szCs w:val="24"/>
          <w:highlight w:val="none"/>
        </w:rPr>
        <w:t>月</w:t>
      </w:r>
      <w:r>
        <w:rPr>
          <w:rFonts w:ascii="宋体" w:hAnsi="宋体" w:eastAsia="宋体" w:cs="宋体"/>
          <w:color w:val="auto"/>
          <w:spacing w:val="13"/>
          <w:sz w:val="24"/>
          <w:szCs w:val="24"/>
          <w:highlight w:val="none"/>
        </w:rPr>
        <w:t xml:space="preserve">    </w:t>
      </w:r>
      <w:r>
        <w:rPr>
          <w:rFonts w:ascii="宋体" w:hAnsi="宋体" w:eastAsia="宋体" w:cs="宋体"/>
          <w:color w:val="auto"/>
          <w:spacing w:val="-20"/>
          <w:sz w:val="24"/>
          <w:szCs w:val="24"/>
          <w:highlight w:val="none"/>
        </w:rPr>
        <w:t>日</w:t>
      </w:r>
    </w:p>
    <w:p w14:paraId="516CE0AC">
      <w:pPr>
        <w:pStyle w:val="5"/>
        <w:spacing w:line="383" w:lineRule="auto"/>
        <w:rPr>
          <w:color w:val="auto"/>
          <w:highlight w:val="none"/>
        </w:rPr>
      </w:pPr>
    </w:p>
    <w:p w14:paraId="3000E510">
      <w:pPr>
        <w:spacing w:before="79" w:line="219" w:lineRule="auto"/>
        <w:ind w:left="3"/>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说明：</w:t>
      </w:r>
    </w:p>
    <w:p w14:paraId="7CAB352F">
      <w:pPr>
        <w:spacing w:before="183" w:line="360" w:lineRule="auto"/>
        <w:ind w:right="99" w:firstLine="18"/>
        <w:outlineLvl w:val="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1、从业人员、营业收入、资产总额填报上</w:t>
      </w:r>
      <w:r>
        <w:rPr>
          <w:rFonts w:ascii="宋体" w:hAnsi="宋体" w:eastAsia="宋体" w:cs="宋体"/>
          <w:color w:val="auto"/>
          <w:spacing w:val="-2"/>
          <w:sz w:val="24"/>
          <w:szCs w:val="24"/>
          <w:highlight w:val="none"/>
        </w:rPr>
        <w:t>一年度数据，无上一年度数据的新成立企业可不填报。</w:t>
      </w:r>
    </w:p>
    <w:p w14:paraId="5564A3BE">
      <w:pPr>
        <w:spacing w:line="362" w:lineRule="auto"/>
        <w:ind w:left="22" w:right="99" w:hanging="19"/>
        <w:outlineLvl w:val="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2、中小企业参加政府采购活动，应当出具《中小企业声明函》，否则不得享</w:t>
      </w:r>
      <w:r>
        <w:rPr>
          <w:rFonts w:ascii="宋体" w:hAnsi="宋体" w:eastAsia="宋体" w:cs="宋体"/>
          <w:color w:val="auto"/>
          <w:spacing w:val="-2"/>
          <w:sz w:val="24"/>
          <w:szCs w:val="24"/>
          <w:highlight w:val="none"/>
        </w:rPr>
        <w:t>受相关</w:t>
      </w:r>
      <w:r>
        <w:rPr>
          <w:rFonts w:ascii="宋体" w:hAnsi="宋体" w:eastAsia="宋体" w:cs="宋体"/>
          <w:color w:val="auto"/>
          <w:spacing w:val="-4"/>
          <w:sz w:val="24"/>
          <w:szCs w:val="24"/>
          <w:highlight w:val="none"/>
        </w:rPr>
        <w:t>中小企业扶持政策。</w:t>
      </w:r>
    </w:p>
    <w:p w14:paraId="525B6852">
      <w:pPr>
        <w:spacing w:line="362" w:lineRule="auto"/>
        <w:rPr>
          <w:rFonts w:ascii="宋体" w:hAnsi="宋体" w:eastAsia="宋体" w:cs="宋体"/>
          <w:color w:val="auto"/>
          <w:sz w:val="24"/>
          <w:szCs w:val="24"/>
          <w:highlight w:val="none"/>
        </w:rPr>
        <w:sectPr>
          <w:footerReference r:id="rId49" w:type="default"/>
          <w:pgSz w:w="11906" w:h="16839"/>
          <w:pgMar w:top="1431" w:right="1486" w:bottom="1443" w:left="1594" w:header="0" w:footer="1202" w:gutter="0"/>
          <w:pgNumType w:fmt="decimal"/>
          <w:cols w:space="720" w:num="1"/>
        </w:sectPr>
      </w:pPr>
    </w:p>
    <w:p w14:paraId="0E5E832C">
      <w:pPr>
        <w:spacing w:before="172" w:line="219" w:lineRule="auto"/>
        <w:ind w:left="2416"/>
        <w:outlineLvl w:val="0"/>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3.5</w:t>
      </w:r>
      <w:r>
        <w:rPr>
          <w:rFonts w:ascii="宋体" w:hAnsi="宋体" w:eastAsia="宋体" w:cs="宋体"/>
          <w:color w:val="auto"/>
          <w:spacing w:val="-4"/>
          <w:sz w:val="30"/>
          <w:szCs w:val="30"/>
          <w:highlight w:val="none"/>
        </w:rPr>
        <w:t xml:space="preserve"> </w:t>
      </w:r>
      <w:r>
        <w:rPr>
          <w:rFonts w:ascii="宋体" w:hAnsi="宋体" w:eastAsia="宋体" w:cs="宋体"/>
          <w:b/>
          <w:bCs/>
          <w:color w:val="auto"/>
          <w:spacing w:val="-4"/>
          <w:sz w:val="30"/>
          <w:szCs w:val="30"/>
          <w:highlight w:val="none"/>
        </w:rPr>
        <w:t>残疾人福利性单位声明函</w:t>
      </w:r>
    </w:p>
    <w:p w14:paraId="33F8EE78">
      <w:pPr>
        <w:pStyle w:val="5"/>
        <w:spacing w:line="302" w:lineRule="auto"/>
        <w:rPr>
          <w:color w:val="auto"/>
          <w:highlight w:val="none"/>
        </w:rPr>
      </w:pPr>
    </w:p>
    <w:p w14:paraId="1BAD207C">
      <w:pPr>
        <w:pStyle w:val="5"/>
        <w:spacing w:line="302" w:lineRule="auto"/>
        <w:rPr>
          <w:color w:val="auto"/>
          <w:highlight w:val="none"/>
        </w:rPr>
      </w:pPr>
    </w:p>
    <w:p w14:paraId="0743D292">
      <w:pPr>
        <w:spacing w:before="78" w:line="360" w:lineRule="auto"/>
        <w:ind w:firstLine="481"/>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本单位郑重声明，根据《财政部民政部中国残疾人联合会关于促进残疾人就业</w:t>
      </w:r>
      <w:r>
        <w:rPr>
          <w:rFonts w:ascii="宋体" w:hAnsi="宋体" w:eastAsia="宋体" w:cs="宋体"/>
          <w:color w:val="auto"/>
          <w:spacing w:val="3"/>
          <w:sz w:val="24"/>
          <w:szCs w:val="24"/>
          <w:highlight w:val="none"/>
        </w:rPr>
        <w:t>政府采购政策的通知》（财库〔2017〕141</w:t>
      </w:r>
      <w:r>
        <w:rPr>
          <w:rFonts w:ascii="宋体" w:hAnsi="宋体" w:eastAsia="宋体" w:cs="宋体"/>
          <w:color w:val="auto"/>
          <w:spacing w:val="-40"/>
          <w:sz w:val="24"/>
          <w:szCs w:val="24"/>
          <w:highlight w:val="none"/>
        </w:rPr>
        <w:t xml:space="preserve"> </w:t>
      </w:r>
      <w:r>
        <w:rPr>
          <w:rFonts w:ascii="宋体" w:hAnsi="宋体" w:eastAsia="宋体" w:cs="宋体"/>
          <w:color w:val="auto"/>
          <w:spacing w:val="3"/>
          <w:sz w:val="24"/>
          <w:szCs w:val="24"/>
          <w:highlight w:val="none"/>
        </w:rPr>
        <w:t>号）的规定，本单位为</w:t>
      </w:r>
      <w:r>
        <w:rPr>
          <w:rFonts w:ascii="宋体" w:hAnsi="宋体" w:eastAsia="宋体" w:cs="宋体"/>
          <w:color w:val="auto"/>
          <w:spacing w:val="-116"/>
          <w:sz w:val="24"/>
          <w:szCs w:val="24"/>
          <w:highlight w:val="none"/>
        </w:rPr>
        <w:t xml:space="preserve"> </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2"/>
          <w:sz w:val="24"/>
          <w:szCs w:val="24"/>
          <w:highlight w:val="none"/>
        </w:rPr>
        <w:t>（符合/</w:t>
      </w:r>
      <w:r>
        <w:rPr>
          <w:rFonts w:ascii="宋体" w:hAnsi="宋体" w:eastAsia="宋体" w:cs="宋体"/>
          <w:color w:val="auto"/>
          <w:sz w:val="24"/>
          <w:szCs w:val="24"/>
          <w:highlight w:val="none"/>
        </w:rPr>
        <w:t>不符合）条件的残疾人福利性单位，且本单位参加</w:t>
      </w:r>
      <w:r>
        <w:rPr>
          <w:rFonts w:ascii="宋体" w:hAnsi="宋体" w:eastAsia="宋体" w:cs="宋体"/>
          <w:color w:val="auto"/>
          <w:spacing w:val="-102"/>
          <w:sz w:val="24"/>
          <w:szCs w:val="24"/>
          <w:highlight w:val="none"/>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8"/>
          <w:sz w:val="24"/>
          <w:szCs w:val="24"/>
          <w:highlight w:val="none"/>
        </w:rPr>
        <w:t xml:space="preserve"> </w:t>
      </w:r>
      <w:r>
        <w:rPr>
          <w:rFonts w:ascii="宋体" w:hAnsi="宋体" w:eastAsia="宋体" w:cs="宋体"/>
          <w:color w:val="auto"/>
          <w:sz w:val="24"/>
          <w:szCs w:val="24"/>
          <w:highlight w:val="none"/>
        </w:rPr>
        <w:t>单位的</w:t>
      </w:r>
      <w:r>
        <w:rPr>
          <w:rFonts w:ascii="宋体" w:hAnsi="宋体" w:eastAsia="宋体" w:cs="宋体"/>
          <w:color w:val="auto"/>
          <w:spacing w:val="-117"/>
          <w:sz w:val="24"/>
          <w:szCs w:val="24"/>
          <w:highlight w:val="none"/>
        </w:rPr>
        <w:t xml:space="preserve">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98"/>
          <w:sz w:val="24"/>
          <w:szCs w:val="24"/>
          <w:highlight w:val="none"/>
        </w:rPr>
        <w:t xml:space="preserve"> </w:t>
      </w:r>
      <w:r>
        <w:rPr>
          <w:rFonts w:ascii="宋体" w:hAnsi="宋体" w:eastAsia="宋体" w:cs="宋体"/>
          <w:color w:val="auto"/>
          <w:sz w:val="24"/>
          <w:szCs w:val="24"/>
          <w:highlight w:val="none"/>
        </w:rPr>
        <w:t>项目</w:t>
      </w:r>
      <w:r>
        <w:rPr>
          <w:rFonts w:ascii="宋体" w:hAnsi="宋体" w:eastAsia="宋体" w:cs="宋体"/>
          <w:color w:val="auto"/>
          <w:spacing w:val="-1"/>
          <w:sz w:val="24"/>
          <w:szCs w:val="24"/>
          <w:highlight w:val="none"/>
        </w:rPr>
        <w:t>采购活动提供本单位制造的货物（由本单位承担工程/提供服务），或者提供其他残</w:t>
      </w:r>
      <w:r>
        <w:rPr>
          <w:rFonts w:ascii="宋体" w:hAnsi="宋体" w:eastAsia="宋体" w:cs="宋体"/>
          <w:color w:val="auto"/>
          <w:sz w:val="24"/>
          <w:szCs w:val="24"/>
          <w:highlight w:val="none"/>
        </w:rPr>
        <w:t>疾人福利性单位制造的货物（不包括使用非残疾人福利性单</w:t>
      </w:r>
      <w:r>
        <w:rPr>
          <w:rFonts w:ascii="宋体" w:hAnsi="宋体" w:eastAsia="宋体" w:cs="宋体"/>
          <w:color w:val="auto"/>
          <w:spacing w:val="-1"/>
          <w:sz w:val="24"/>
          <w:szCs w:val="24"/>
          <w:highlight w:val="none"/>
        </w:rPr>
        <w:t>位注册商标的货物）。</w:t>
      </w:r>
    </w:p>
    <w:p w14:paraId="5F9CE4E4">
      <w:pPr>
        <w:spacing w:line="218" w:lineRule="auto"/>
        <w:ind w:left="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本单位对上述声明的真实性负责。如有虚假，将依法承担相应责任。</w:t>
      </w:r>
    </w:p>
    <w:p w14:paraId="4F784FFB">
      <w:pPr>
        <w:pStyle w:val="5"/>
        <w:spacing w:line="265" w:lineRule="auto"/>
        <w:rPr>
          <w:color w:val="auto"/>
          <w:highlight w:val="none"/>
        </w:rPr>
      </w:pPr>
    </w:p>
    <w:p w14:paraId="03425B15">
      <w:pPr>
        <w:pStyle w:val="5"/>
        <w:spacing w:line="265" w:lineRule="auto"/>
        <w:rPr>
          <w:color w:val="auto"/>
          <w:highlight w:val="none"/>
        </w:rPr>
      </w:pPr>
    </w:p>
    <w:p w14:paraId="142105A1">
      <w:pPr>
        <w:pStyle w:val="5"/>
        <w:spacing w:line="266" w:lineRule="auto"/>
        <w:rPr>
          <w:color w:val="auto"/>
          <w:highlight w:val="none"/>
        </w:rPr>
      </w:pPr>
    </w:p>
    <w:p w14:paraId="7438A312">
      <w:pPr>
        <w:pStyle w:val="5"/>
        <w:spacing w:line="266" w:lineRule="auto"/>
        <w:rPr>
          <w:color w:val="auto"/>
          <w:highlight w:val="none"/>
        </w:rPr>
      </w:pPr>
    </w:p>
    <w:p w14:paraId="2A5A754D">
      <w:pPr>
        <w:spacing w:before="65" w:line="227" w:lineRule="auto"/>
        <w:ind w:left="483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单位名称（盖章</w:t>
      </w:r>
      <w:r>
        <w:rPr>
          <w:rFonts w:ascii="宋体" w:hAnsi="宋体" w:eastAsia="宋体" w:cs="宋体"/>
          <w:color w:val="auto"/>
          <w:spacing w:val="1"/>
          <w:sz w:val="20"/>
          <w:szCs w:val="20"/>
          <w:highlight w:val="none"/>
        </w:rPr>
        <w:t>）：</w:t>
      </w:r>
    </w:p>
    <w:p w14:paraId="16AB0A6A">
      <w:pPr>
        <w:spacing w:before="222" w:line="228" w:lineRule="auto"/>
        <w:ind w:left="4866"/>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日</w:t>
      </w:r>
      <w:r>
        <w:rPr>
          <w:rFonts w:ascii="宋体" w:hAnsi="宋体" w:eastAsia="宋体" w:cs="宋体"/>
          <w:color w:val="auto"/>
          <w:spacing w:val="7"/>
          <w:sz w:val="20"/>
          <w:szCs w:val="20"/>
          <w:highlight w:val="none"/>
        </w:rPr>
        <w:t xml:space="preserve">    </w:t>
      </w:r>
      <w:r>
        <w:rPr>
          <w:rFonts w:ascii="宋体" w:hAnsi="宋体" w:eastAsia="宋体" w:cs="宋体"/>
          <w:color w:val="auto"/>
          <w:spacing w:val="-11"/>
          <w:sz w:val="20"/>
          <w:szCs w:val="20"/>
          <w:highlight w:val="none"/>
        </w:rPr>
        <w:t>期</w:t>
      </w:r>
      <w:r>
        <w:rPr>
          <w:rFonts w:ascii="宋体" w:hAnsi="宋体" w:eastAsia="宋体" w:cs="宋体"/>
          <w:color w:val="auto"/>
          <w:spacing w:val="-72"/>
          <w:sz w:val="20"/>
          <w:szCs w:val="20"/>
          <w:highlight w:val="none"/>
        </w:rPr>
        <w:t xml:space="preserve"> </w:t>
      </w:r>
      <w:r>
        <w:rPr>
          <w:rFonts w:ascii="宋体" w:hAnsi="宋体" w:eastAsia="宋体" w:cs="宋体"/>
          <w:color w:val="auto"/>
          <w:spacing w:val="-11"/>
          <w:sz w:val="20"/>
          <w:szCs w:val="20"/>
          <w:highlight w:val="none"/>
        </w:rPr>
        <w:t>：</w:t>
      </w:r>
      <w:r>
        <w:rPr>
          <w:rFonts w:ascii="宋体" w:hAnsi="宋体" w:eastAsia="宋体" w:cs="宋体"/>
          <w:color w:val="auto"/>
          <w:spacing w:val="14"/>
          <w:sz w:val="20"/>
          <w:szCs w:val="20"/>
          <w:highlight w:val="none"/>
        </w:rPr>
        <w:t xml:space="preserve">  </w:t>
      </w:r>
      <w:r>
        <w:rPr>
          <w:rFonts w:ascii="宋体" w:hAnsi="宋体" w:eastAsia="宋体" w:cs="宋体"/>
          <w:color w:val="auto"/>
          <w:spacing w:val="-11"/>
          <w:sz w:val="20"/>
          <w:szCs w:val="20"/>
          <w:highlight w:val="none"/>
        </w:rPr>
        <w:t>年</w:t>
      </w:r>
      <w:r>
        <w:rPr>
          <w:rFonts w:ascii="宋体" w:hAnsi="宋体" w:eastAsia="宋体" w:cs="宋体"/>
          <w:color w:val="auto"/>
          <w:spacing w:val="12"/>
          <w:sz w:val="20"/>
          <w:szCs w:val="20"/>
          <w:highlight w:val="none"/>
        </w:rPr>
        <w:t xml:space="preserve">  </w:t>
      </w:r>
      <w:r>
        <w:rPr>
          <w:rFonts w:ascii="宋体" w:hAnsi="宋体" w:eastAsia="宋体" w:cs="宋体"/>
          <w:color w:val="auto"/>
          <w:spacing w:val="-11"/>
          <w:sz w:val="20"/>
          <w:szCs w:val="20"/>
          <w:highlight w:val="none"/>
        </w:rPr>
        <w:t>月</w:t>
      </w:r>
      <w:r>
        <w:rPr>
          <w:rFonts w:ascii="宋体" w:hAnsi="宋体" w:eastAsia="宋体" w:cs="宋体"/>
          <w:color w:val="auto"/>
          <w:spacing w:val="28"/>
          <w:sz w:val="20"/>
          <w:szCs w:val="20"/>
          <w:highlight w:val="none"/>
        </w:rPr>
        <w:t xml:space="preserve">  </w:t>
      </w:r>
      <w:r>
        <w:rPr>
          <w:rFonts w:ascii="宋体" w:hAnsi="宋体" w:eastAsia="宋体" w:cs="宋体"/>
          <w:color w:val="auto"/>
          <w:spacing w:val="-11"/>
          <w:sz w:val="20"/>
          <w:szCs w:val="20"/>
          <w:highlight w:val="none"/>
        </w:rPr>
        <w:t>日</w:t>
      </w:r>
    </w:p>
    <w:p w14:paraId="476CC6D6">
      <w:pPr>
        <w:spacing w:line="228" w:lineRule="auto"/>
        <w:rPr>
          <w:rFonts w:ascii="宋体" w:hAnsi="宋体" w:eastAsia="宋体" w:cs="宋体"/>
          <w:color w:val="auto"/>
          <w:sz w:val="20"/>
          <w:szCs w:val="20"/>
          <w:highlight w:val="none"/>
        </w:rPr>
        <w:sectPr>
          <w:footerReference r:id="rId50" w:type="default"/>
          <w:pgSz w:w="11906" w:h="16839"/>
          <w:pgMar w:top="1431" w:right="1585" w:bottom="1443" w:left="1594" w:header="0" w:footer="1202" w:gutter="0"/>
          <w:pgNumType w:fmt="decimal"/>
          <w:cols w:space="720" w:num="1"/>
        </w:sectPr>
      </w:pPr>
    </w:p>
    <w:p w14:paraId="54A45D95">
      <w:pPr>
        <w:spacing w:before="171" w:line="219" w:lineRule="auto"/>
        <w:ind w:left="1362"/>
        <w:outlineLvl w:val="0"/>
        <w:rPr>
          <w:rFonts w:ascii="宋体" w:hAnsi="宋体" w:eastAsia="宋体" w:cs="宋体"/>
          <w:color w:val="auto"/>
          <w:sz w:val="30"/>
          <w:szCs w:val="30"/>
          <w:highlight w:val="none"/>
        </w:rPr>
      </w:pPr>
      <w:r>
        <w:rPr>
          <w:rFonts w:ascii="宋体" w:hAnsi="宋体" w:eastAsia="宋体" w:cs="宋体"/>
          <w:b/>
          <w:bCs/>
          <w:color w:val="auto"/>
          <w:spacing w:val="-3"/>
          <w:sz w:val="30"/>
          <w:szCs w:val="30"/>
          <w:highlight w:val="none"/>
        </w:rPr>
        <w:t>3.6</w:t>
      </w:r>
      <w:r>
        <w:rPr>
          <w:rFonts w:ascii="宋体" w:hAnsi="宋体" w:eastAsia="宋体" w:cs="宋体"/>
          <w:color w:val="auto"/>
          <w:spacing w:val="-3"/>
          <w:sz w:val="30"/>
          <w:szCs w:val="30"/>
          <w:highlight w:val="none"/>
        </w:rPr>
        <w:t xml:space="preserve"> </w:t>
      </w:r>
      <w:r>
        <w:rPr>
          <w:rFonts w:ascii="宋体" w:hAnsi="宋体" w:eastAsia="宋体" w:cs="宋体"/>
          <w:b/>
          <w:bCs/>
          <w:color w:val="auto"/>
          <w:spacing w:val="-3"/>
          <w:sz w:val="30"/>
          <w:szCs w:val="30"/>
          <w:highlight w:val="none"/>
        </w:rPr>
        <w:t>许昌市建安区政府采购供应商信用承诺函</w:t>
      </w:r>
    </w:p>
    <w:p w14:paraId="14FBC319">
      <w:pPr>
        <w:spacing w:before="218" w:line="219" w:lineRule="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致</w:t>
      </w:r>
      <w:r>
        <w:rPr>
          <w:rFonts w:ascii="宋体" w:hAnsi="宋体" w:eastAsia="宋体" w:cs="宋体"/>
          <w:color w:val="auto"/>
          <w:spacing w:val="-2"/>
          <w:sz w:val="24"/>
          <w:szCs w:val="24"/>
          <w:highlight w:val="none"/>
          <w:u w:val="single" w:color="auto"/>
        </w:rPr>
        <w:t>（采购人</w:t>
      </w:r>
      <w:r>
        <w:rPr>
          <w:rFonts w:ascii="宋体" w:hAnsi="宋体" w:eastAsia="宋体" w:cs="宋体"/>
          <w:color w:val="auto"/>
          <w:sz w:val="24"/>
          <w:szCs w:val="24"/>
          <w:highlight w:val="none"/>
          <w:u w:val="single" w:color="auto"/>
        </w:rPr>
        <w:t>）</w:t>
      </w:r>
      <w:r>
        <w:rPr>
          <w:rFonts w:ascii="宋体" w:hAnsi="宋体" w:eastAsia="宋体" w:cs="宋体"/>
          <w:color w:val="auto"/>
          <w:sz w:val="24"/>
          <w:szCs w:val="24"/>
          <w:highlight w:val="none"/>
        </w:rPr>
        <w:t>：</w:t>
      </w:r>
    </w:p>
    <w:p w14:paraId="73FC42E0">
      <w:pPr>
        <w:spacing w:before="184" w:line="219" w:lineRule="auto"/>
        <w:ind w:left="439"/>
        <w:rPr>
          <w:rFonts w:ascii="宋体" w:hAnsi="宋体" w:eastAsia="宋体" w:cs="宋体"/>
          <w:color w:val="auto"/>
          <w:sz w:val="24"/>
          <w:szCs w:val="24"/>
          <w:highlight w:val="none"/>
        </w:rPr>
      </w:pPr>
      <w:r>
        <w:rPr>
          <w:rFonts w:ascii="宋体" w:hAnsi="宋体" w:eastAsia="宋体" w:cs="宋体"/>
          <w:color w:val="auto"/>
          <w:spacing w:val="-22"/>
          <w:sz w:val="24"/>
          <w:szCs w:val="24"/>
          <w:highlight w:val="none"/>
        </w:rPr>
        <w:t>单位名称（自然人姓名</w:t>
      </w:r>
      <w:r>
        <w:rPr>
          <w:rFonts w:ascii="宋体" w:hAnsi="宋体" w:eastAsia="宋体" w:cs="宋体"/>
          <w:color w:val="auto"/>
          <w:spacing w:val="-3"/>
          <w:sz w:val="24"/>
          <w:szCs w:val="24"/>
          <w:highlight w:val="none"/>
        </w:rPr>
        <w:t>）：</w:t>
      </w:r>
    </w:p>
    <w:p w14:paraId="68041C39">
      <w:pPr>
        <w:spacing w:before="182" w:line="219" w:lineRule="auto"/>
        <w:ind w:left="443"/>
        <w:rPr>
          <w:rFonts w:ascii="宋体" w:hAnsi="宋体" w:eastAsia="宋体" w:cs="宋体"/>
          <w:color w:val="auto"/>
          <w:sz w:val="24"/>
          <w:szCs w:val="24"/>
          <w:highlight w:val="none"/>
        </w:rPr>
      </w:pPr>
      <w:r>
        <w:rPr>
          <w:rFonts w:ascii="宋体" w:hAnsi="宋体" w:eastAsia="宋体" w:cs="宋体"/>
          <w:color w:val="auto"/>
          <w:spacing w:val="-22"/>
          <w:sz w:val="24"/>
          <w:szCs w:val="24"/>
          <w:highlight w:val="none"/>
        </w:rPr>
        <w:t>统一社会信用代码（身份证号码</w:t>
      </w:r>
      <w:r>
        <w:rPr>
          <w:rFonts w:ascii="宋体" w:hAnsi="宋体" w:eastAsia="宋体" w:cs="宋体"/>
          <w:color w:val="auto"/>
          <w:spacing w:val="-5"/>
          <w:sz w:val="24"/>
          <w:szCs w:val="24"/>
          <w:highlight w:val="none"/>
        </w:rPr>
        <w:t>）：</w:t>
      </w:r>
    </w:p>
    <w:p w14:paraId="1FFDC6EC">
      <w:pPr>
        <w:spacing w:before="184" w:line="219" w:lineRule="auto"/>
        <w:ind w:left="438"/>
        <w:rPr>
          <w:rFonts w:ascii="宋体" w:hAnsi="宋体" w:eastAsia="宋体" w:cs="宋体"/>
          <w:color w:val="auto"/>
          <w:sz w:val="24"/>
          <w:szCs w:val="24"/>
          <w:highlight w:val="none"/>
        </w:rPr>
      </w:pPr>
      <w:r>
        <w:rPr>
          <w:rFonts w:ascii="宋体" w:hAnsi="宋体" w:eastAsia="宋体" w:cs="宋体"/>
          <w:color w:val="auto"/>
          <w:spacing w:val="-21"/>
          <w:sz w:val="24"/>
          <w:szCs w:val="24"/>
          <w:highlight w:val="none"/>
        </w:rPr>
        <w:t>法定代表人（负责人</w:t>
      </w:r>
      <w:r>
        <w:rPr>
          <w:rFonts w:ascii="宋体" w:hAnsi="宋体" w:eastAsia="宋体" w:cs="宋体"/>
          <w:color w:val="auto"/>
          <w:spacing w:val="-7"/>
          <w:sz w:val="24"/>
          <w:szCs w:val="24"/>
          <w:highlight w:val="none"/>
        </w:rPr>
        <w:t>）：</w:t>
      </w:r>
    </w:p>
    <w:p w14:paraId="3FAD114A">
      <w:pPr>
        <w:spacing w:before="183" w:line="221" w:lineRule="auto"/>
        <w:ind w:left="438"/>
        <w:rPr>
          <w:rFonts w:ascii="宋体" w:hAnsi="宋体" w:eastAsia="宋体" w:cs="宋体"/>
          <w:color w:val="auto"/>
          <w:sz w:val="24"/>
          <w:szCs w:val="24"/>
          <w:highlight w:val="none"/>
        </w:rPr>
      </w:pPr>
      <w:r>
        <w:rPr>
          <w:rFonts w:ascii="宋体" w:hAnsi="宋体" w:eastAsia="宋体" w:cs="宋体"/>
          <w:color w:val="auto"/>
          <w:spacing w:val="-18"/>
          <w:sz w:val="24"/>
          <w:szCs w:val="24"/>
          <w:highlight w:val="none"/>
        </w:rPr>
        <w:t>联系地址和电话：</w:t>
      </w:r>
    </w:p>
    <w:p w14:paraId="7DDFC0D9">
      <w:pPr>
        <w:spacing w:before="180" w:line="360" w:lineRule="auto"/>
        <w:ind w:left="2" w:right="58" w:firstLine="437"/>
        <w:rPr>
          <w:rFonts w:ascii="宋体" w:hAnsi="宋体" w:eastAsia="宋体" w:cs="宋体"/>
          <w:color w:val="auto"/>
          <w:sz w:val="24"/>
          <w:szCs w:val="24"/>
          <w:highlight w:val="none"/>
        </w:rPr>
      </w:pPr>
      <w:r>
        <w:rPr>
          <w:rFonts w:ascii="宋体" w:hAnsi="宋体" w:eastAsia="宋体" w:cs="宋体"/>
          <w:color w:val="auto"/>
          <w:spacing w:val="-23"/>
          <w:sz w:val="24"/>
          <w:szCs w:val="24"/>
          <w:highlight w:val="none"/>
        </w:rPr>
        <w:t>为维护公平、公正、公开的政府采购市场秩序，树立诚实守信的政府采购供应商形象，</w:t>
      </w:r>
      <w:r>
        <w:rPr>
          <w:rFonts w:ascii="宋体" w:hAnsi="宋体" w:eastAsia="宋体" w:cs="宋体"/>
          <w:color w:val="auto"/>
          <w:spacing w:val="-20"/>
          <w:sz w:val="24"/>
          <w:szCs w:val="24"/>
          <w:highlight w:val="none"/>
        </w:rPr>
        <w:t>我单位（本人）自愿作出以下承诺：</w:t>
      </w:r>
    </w:p>
    <w:p w14:paraId="522328EF">
      <w:pPr>
        <w:spacing w:before="6" w:line="359" w:lineRule="auto"/>
        <w:ind w:left="1" w:firstLine="439"/>
        <w:jc w:val="both"/>
        <w:rPr>
          <w:rFonts w:ascii="宋体" w:hAnsi="宋体" w:eastAsia="宋体" w:cs="宋体"/>
          <w:color w:val="auto"/>
          <w:sz w:val="24"/>
          <w:szCs w:val="24"/>
          <w:highlight w:val="none"/>
        </w:rPr>
      </w:pPr>
      <w:r>
        <w:rPr>
          <w:rFonts w:ascii="宋体" w:hAnsi="宋体" w:eastAsia="宋体" w:cs="宋体"/>
          <w:color w:val="auto"/>
          <w:spacing w:val="-21"/>
          <w:sz w:val="24"/>
          <w:szCs w:val="24"/>
          <w:highlight w:val="none"/>
        </w:rPr>
        <w:t>一、我单位（本人）自愿参加本次政府采购活动，严格遵守《中华人民共和国政府采购法》及相关法律法规，依法诚信经营，无条件遵守本次政府采购活动的各项规定，我单位（本人）郑重承诺</w:t>
      </w:r>
      <w:r>
        <w:rPr>
          <w:rFonts w:ascii="宋体" w:hAnsi="宋体" w:eastAsia="宋体" w:cs="宋体"/>
          <w:color w:val="auto"/>
          <w:spacing w:val="-22"/>
          <w:sz w:val="24"/>
          <w:szCs w:val="24"/>
          <w:highlight w:val="none"/>
        </w:rPr>
        <w:t>，</w:t>
      </w:r>
      <w:r>
        <w:rPr>
          <w:rFonts w:ascii="宋体" w:hAnsi="宋体" w:eastAsia="宋体" w:cs="宋体"/>
          <w:color w:val="auto"/>
          <w:spacing w:val="-21"/>
          <w:sz w:val="24"/>
          <w:szCs w:val="24"/>
          <w:highlight w:val="none"/>
        </w:rPr>
        <w:t>我单位（本人）符合《中华人民</w:t>
      </w:r>
      <w:r>
        <w:rPr>
          <w:rFonts w:ascii="宋体" w:hAnsi="宋体" w:eastAsia="宋体" w:cs="宋体"/>
          <w:color w:val="auto"/>
          <w:spacing w:val="-22"/>
          <w:sz w:val="24"/>
          <w:szCs w:val="24"/>
          <w:highlight w:val="none"/>
        </w:rPr>
        <w:t>共和国政府采购法》第二十二条规定和采</w:t>
      </w:r>
      <w:r>
        <w:rPr>
          <w:rFonts w:ascii="宋体" w:hAnsi="宋体" w:eastAsia="宋体" w:cs="宋体"/>
          <w:color w:val="auto"/>
          <w:spacing w:val="-15"/>
          <w:sz w:val="24"/>
          <w:szCs w:val="24"/>
          <w:highlight w:val="none"/>
        </w:rPr>
        <w:t>购</w:t>
      </w:r>
      <w:r>
        <w:rPr>
          <w:rFonts w:ascii="宋体" w:hAnsi="宋体" w:eastAsia="宋体" w:cs="宋体"/>
          <w:color w:val="auto"/>
          <w:spacing w:val="-20"/>
          <w:sz w:val="24"/>
          <w:szCs w:val="24"/>
          <w:highlight w:val="none"/>
        </w:rPr>
        <w:t>文件、本承诺书的条件：</w:t>
      </w:r>
    </w:p>
    <w:p w14:paraId="6A1CC916">
      <w:pPr>
        <w:spacing w:line="219" w:lineRule="auto"/>
        <w:ind w:left="449"/>
        <w:rPr>
          <w:rFonts w:ascii="宋体" w:hAnsi="宋体" w:eastAsia="宋体" w:cs="宋体"/>
          <w:color w:val="auto"/>
          <w:sz w:val="24"/>
          <w:szCs w:val="24"/>
          <w:highlight w:val="none"/>
        </w:rPr>
      </w:pPr>
      <w:r>
        <w:rPr>
          <w:rFonts w:ascii="宋体" w:hAnsi="宋体" w:eastAsia="宋体" w:cs="宋体"/>
          <w:color w:val="auto"/>
          <w:spacing w:val="-21"/>
          <w:sz w:val="24"/>
          <w:szCs w:val="24"/>
          <w:highlight w:val="none"/>
        </w:rPr>
        <w:t>（一）具有独立承担民事责任的能力；</w:t>
      </w:r>
    </w:p>
    <w:p w14:paraId="180D701F">
      <w:pPr>
        <w:spacing w:before="182" w:line="219" w:lineRule="auto"/>
        <w:ind w:left="449"/>
        <w:rPr>
          <w:rFonts w:ascii="宋体" w:hAnsi="宋体" w:eastAsia="宋体" w:cs="宋体"/>
          <w:color w:val="auto"/>
          <w:sz w:val="24"/>
          <w:szCs w:val="24"/>
          <w:highlight w:val="none"/>
        </w:rPr>
      </w:pPr>
      <w:r>
        <w:rPr>
          <w:rFonts w:ascii="宋体" w:hAnsi="宋体" w:eastAsia="宋体" w:cs="宋体"/>
          <w:color w:val="auto"/>
          <w:spacing w:val="-21"/>
          <w:sz w:val="24"/>
          <w:szCs w:val="24"/>
          <w:highlight w:val="none"/>
        </w:rPr>
        <w:t>（二）具有良好的商业信誉和健全的财务会计</w:t>
      </w:r>
      <w:r>
        <w:rPr>
          <w:rFonts w:ascii="宋体" w:hAnsi="宋体" w:eastAsia="宋体" w:cs="宋体"/>
          <w:color w:val="auto"/>
          <w:spacing w:val="-22"/>
          <w:sz w:val="24"/>
          <w:szCs w:val="24"/>
          <w:highlight w:val="none"/>
        </w:rPr>
        <w:t>制度；</w:t>
      </w:r>
    </w:p>
    <w:p w14:paraId="794553AF">
      <w:pPr>
        <w:spacing w:before="185" w:line="219" w:lineRule="auto"/>
        <w:ind w:left="449"/>
        <w:rPr>
          <w:rFonts w:ascii="宋体" w:hAnsi="宋体" w:eastAsia="宋体" w:cs="宋体"/>
          <w:color w:val="auto"/>
          <w:sz w:val="24"/>
          <w:szCs w:val="24"/>
          <w:highlight w:val="none"/>
        </w:rPr>
      </w:pPr>
      <w:r>
        <w:rPr>
          <w:rFonts w:ascii="宋体" w:hAnsi="宋体" w:eastAsia="宋体" w:cs="宋体"/>
          <w:color w:val="auto"/>
          <w:spacing w:val="-21"/>
          <w:sz w:val="24"/>
          <w:szCs w:val="24"/>
          <w:highlight w:val="none"/>
        </w:rPr>
        <w:t>（三）具有履行合同所必需的设备和专业技术</w:t>
      </w:r>
      <w:r>
        <w:rPr>
          <w:rFonts w:ascii="宋体" w:hAnsi="宋体" w:eastAsia="宋体" w:cs="宋体"/>
          <w:color w:val="auto"/>
          <w:spacing w:val="-22"/>
          <w:sz w:val="24"/>
          <w:szCs w:val="24"/>
          <w:highlight w:val="none"/>
        </w:rPr>
        <w:t>能力；</w:t>
      </w:r>
    </w:p>
    <w:p w14:paraId="59E40D39">
      <w:pPr>
        <w:spacing w:before="182" w:line="219" w:lineRule="auto"/>
        <w:ind w:left="449"/>
        <w:rPr>
          <w:rFonts w:ascii="宋体" w:hAnsi="宋体" w:eastAsia="宋体" w:cs="宋体"/>
          <w:color w:val="auto"/>
          <w:sz w:val="24"/>
          <w:szCs w:val="24"/>
          <w:highlight w:val="none"/>
        </w:rPr>
      </w:pPr>
      <w:r>
        <w:rPr>
          <w:rFonts w:ascii="宋体" w:hAnsi="宋体" w:eastAsia="宋体" w:cs="宋体"/>
          <w:color w:val="auto"/>
          <w:spacing w:val="-21"/>
          <w:sz w:val="24"/>
          <w:szCs w:val="24"/>
          <w:highlight w:val="none"/>
        </w:rPr>
        <w:t>（四）有依法缴纳税收和社会保障资金的良好</w:t>
      </w:r>
      <w:r>
        <w:rPr>
          <w:rFonts w:ascii="宋体" w:hAnsi="宋体" w:eastAsia="宋体" w:cs="宋体"/>
          <w:color w:val="auto"/>
          <w:spacing w:val="-22"/>
          <w:sz w:val="24"/>
          <w:szCs w:val="24"/>
          <w:highlight w:val="none"/>
        </w:rPr>
        <w:t>记录；</w:t>
      </w:r>
    </w:p>
    <w:p w14:paraId="7D482806">
      <w:pPr>
        <w:spacing w:before="183" w:line="219" w:lineRule="auto"/>
        <w:ind w:left="449"/>
        <w:rPr>
          <w:rFonts w:ascii="宋体" w:hAnsi="宋体" w:eastAsia="宋体" w:cs="宋体"/>
          <w:color w:val="auto"/>
          <w:sz w:val="24"/>
          <w:szCs w:val="24"/>
          <w:highlight w:val="none"/>
        </w:rPr>
      </w:pPr>
      <w:r>
        <w:rPr>
          <w:rFonts w:ascii="宋体" w:hAnsi="宋体" w:eastAsia="宋体" w:cs="宋体"/>
          <w:color w:val="auto"/>
          <w:spacing w:val="-21"/>
          <w:sz w:val="24"/>
          <w:szCs w:val="24"/>
          <w:highlight w:val="none"/>
        </w:rPr>
        <w:t>（五）参加政府采购活动前三年内，在经营活动</w:t>
      </w:r>
      <w:r>
        <w:rPr>
          <w:rFonts w:ascii="宋体" w:hAnsi="宋体" w:eastAsia="宋体" w:cs="宋体"/>
          <w:color w:val="auto"/>
          <w:spacing w:val="-22"/>
          <w:sz w:val="24"/>
          <w:szCs w:val="24"/>
          <w:highlight w:val="none"/>
        </w:rPr>
        <w:t>中没有重大违法记录；</w:t>
      </w:r>
    </w:p>
    <w:p w14:paraId="0262EE63">
      <w:pPr>
        <w:spacing w:before="184" w:line="360" w:lineRule="auto"/>
        <w:ind w:firstLine="449"/>
        <w:rPr>
          <w:rFonts w:ascii="宋体" w:hAnsi="宋体" w:eastAsia="宋体" w:cs="宋体"/>
          <w:color w:val="auto"/>
          <w:sz w:val="24"/>
          <w:szCs w:val="24"/>
          <w:highlight w:val="none"/>
        </w:rPr>
      </w:pPr>
      <w:r>
        <w:rPr>
          <w:rFonts w:ascii="宋体" w:hAnsi="宋体" w:eastAsia="宋体" w:cs="宋体"/>
          <w:color w:val="auto"/>
          <w:spacing w:val="-23"/>
          <w:sz w:val="24"/>
          <w:szCs w:val="24"/>
          <w:highlight w:val="none"/>
        </w:rPr>
        <w:t>（六）未被列入经营</w:t>
      </w:r>
      <w:r>
        <w:rPr>
          <w:rFonts w:ascii="宋体" w:hAnsi="宋体" w:eastAsia="宋体" w:cs="宋体"/>
          <w:color w:val="auto"/>
          <w:spacing w:val="-22"/>
          <w:sz w:val="24"/>
          <w:szCs w:val="24"/>
          <w:highlight w:val="none"/>
        </w:rPr>
        <w:t>异常名录或者严重违法失信名单、失信被执行人，重大税收违法</w:t>
      </w:r>
      <w:r>
        <w:rPr>
          <w:rFonts w:ascii="宋体" w:hAnsi="宋体" w:eastAsia="宋体" w:cs="宋体"/>
          <w:color w:val="auto"/>
          <w:spacing w:val="-13"/>
          <w:sz w:val="24"/>
          <w:szCs w:val="24"/>
          <w:highlight w:val="none"/>
        </w:rPr>
        <w:t>案</w:t>
      </w:r>
      <w:r>
        <w:rPr>
          <w:rFonts w:ascii="宋体" w:hAnsi="宋体" w:eastAsia="宋体" w:cs="宋体"/>
          <w:color w:val="auto"/>
          <w:spacing w:val="-21"/>
          <w:sz w:val="24"/>
          <w:szCs w:val="24"/>
          <w:highlight w:val="none"/>
        </w:rPr>
        <w:t>件当事人名单、政府采购严重违法失信行为记录名单；</w:t>
      </w:r>
    </w:p>
    <w:p w14:paraId="11B24DB2">
      <w:pPr>
        <w:spacing w:line="219" w:lineRule="auto"/>
        <w:ind w:left="449"/>
        <w:rPr>
          <w:rFonts w:ascii="宋体" w:hAnsi="宋体" w:eastAsia="宋体" w:cs="宋体"/>
          <w:color w:val="auto"/>
          <w:sz w:val="24"/>
          <w:szCs w:val="24"/>
          <w:highlight w:val="none"/>
        </w:rPr>
      </w:pPr>
      <w:r>
        <w:rPr>
          <w:rFonts w:ascii="宋体" w:hAnsi="宋体" w:eastAsia="宋体" w:cs="宋体"/>
          <w:color w:val="auto"/>
          <w:spacing w:val="-21"/>
          <w:sz w:val="24"/>
          <w:szCs w:val="24"/>
          <w:highlight w:val="none"/>
        </w:rPr>
        <w:t>（七）未被相关监管部门作出行政处罚且尚在处罚</w:t>
      </w:r>
      <w:r>
        <w:rPr>
          <w:rFonts w:ascii="宋体" w:hAnsi="宋体" w:eastAsia="宋体" w:cs="宋体"/>
          <w:color w:val="auto"/>
          <w:spacing w:val="-22"/>
          <w:sz w:val="24"/>
          <w:szCs w:val="24"/>
          <w:highlight w:val="none"/>
        </w:rPr>
        <w:t>有效期的；</w:t>
      </w:r>
    </w:p>
    <w:p w14:paraId="4460D70E">
      <w:pPr>
        <w:spacing w:before="183" w:line="219" w:lineRule="auto"/>
        <w:ind w:left="449"/>
        <w:rPr>
          <w:rFonts w:ascii="宋体" w:hAnsi="宋体" w:eastAsia="宋体" w:cs="宋体"/>
          <w:color w:val="auto"/>
          <w:sz w:val="24"/>
          <w:szCs w:val="24"/>
          <w:highlight w:val="none"/>
        </w:rPr>
      </w:pPr>
      <w:r>
        <w:rPr>
          <w:rFonts w:ascii="宋体" w:hAnsi="宋体" w:eastAsia="宋体" w:cs="宋体"/>
          <w:color w:val="auto"/>
          <w:spacing w:val="-21"/>
          <w:sz w:val="24"/>
          <w:szCs w:val="24"/>
          <w:highlight w:val="none"/>
        </w:rPr>
        <w:t>（八）未曾作出虚假采购承诺；</w:t>
      </w:r>
    </w:p>
    <w:p w14:paraId="6006B1BB">
      <w:pPr>
        <w:spacing w:before="184" w:line="219" w:lineRule="auto"/>
        <w:ind w:left="449"/>
        <w:rPr>
          <w:rFonts w:ascii="宋体" w:hAnsi="宋体" w:eastAsia="宋体" w:cs="宋体"/>
          <w:color w:val="auto"/>
          <w:sz w:val="24"/>
          <w:szCs w:val="24"/>
          <w:highlight w:val="none"/>
        </w:rPr>
      </w:pPr>
      <w:r>
        <w:rPr>
          <w:rFonts w:ascii="宋体" w:hAnsi="宋体" w:eastAsia="宋体" w:cs="宋体"/>
          <w:color w:val="auto"/>
          <w:spacing w:val="-21"/>
          <w:sz w:val="24"/>
          <w:szCs w:val="24"/>
          <w:highlight w:val="none"/>
        </w:rPr>
        <w:t>（九）符合法律、行政法规规定的其他条件。</w:t>
      </w:r>
    </w:p>
    <w:p w14:paraId="6D90BBCA">
      <w:pPr>
        <w:spacing w:before="179" w:line="361" w:lineRule="auto"/>
        <w:ind w:firstLine="440"/>
        <w:jc w:val="both"/>
        <w:rPr>
          <w:rFonts w:ascii="宋体" w:hAnsi="宋体" w:eastAsia="宋体" w:cs="宋体"/>
          <w:color w:val="auto"/>
          <w:sz w:val="24"/>
          <w:szCs w:val="24"/>
          <w:highlight w:val="none"/>
        </w:rPr>
      </w:pPr>
      <w:r>
        <w:rPr>
          <w:rFonts w:ascii="宋体" w:hAnsi="宋体" w:eastAsia="宋体" w:cs="宋体"/>
          <w:color w:val="auto"/>
          <w:spacing w:val="-21"/>
          <w:sz w:val="24"/>
          <w:szCs w:val="24"/>
          <w:highlight w:val="none"/>
        </w:rPr>
        <w:t>二、我单位（本人）保证上述承诺事项的真实</w:t>
      </w:r>
      <w:r>
        <w:rPr>
          <w:rFonts w:ascii="宋体" w:hAnsi="宋体" w:eastAsia="宋体" w:cs="宋体"/>
          <w:color w:val="auto"/>
          <w:spacing w:val="-22"/>
          <w:sz w:val="24"/>
          <w:szCs w:val="24"/>
          <w:highlight w:val="none"/>
        </w:rPr>
        <w:t>性。如有弄虚作假或其他违法违规行为，自愿按照规定将违背承诺行</w:t>
      </w:r>
      <w:r>
        <w:rPr>
          <w:rFonts w:ascii="宋体" w:hAnsi="宋体" w:eastAsia="宋体" w:cs="宋体"/>
          <w:color w:val="auto"/>
          <w:spacing w:val="-21"/>
          <w:sz w:val="24"/>
          <w:szCs w:val="24"/>
          <w:highlight w:val="none"/>
        </w:rPr>
        <w:t>为作为失信行为记录到社会</w:t>
      </w:r>
      <w:r>
        <w:rPr>
          <w:rFonts w:ascii="宋体" w:hAnsi="宋体" w:eastAsia="宋体" w:cs="宋体"/>
          <w:color w:val="auto"/>
          <w:spacing w:val="-22"/>
          <w:sz w:val="24"/>
          <w:szCs w:val="24"/>
          <w:highlight w:val="none"/>
        </w:rPr>
        <w:t>信用信息平台，并视同为“提供虚</w:t>
      </w:r>
      <w:r>
        <w:rPr>
          <w:rFonts w:ascii="宋体" w:hAnsi="宋体" w:eastAsia="宋体" w:cs="宋体"/>
          <w:color w:val="auto"/>
          <w:spacing w:val="-10"/>
          <w:sz w:val="24"/>
          <w:szCs w:val="24"/>
          <w:highlight w:val="none"/>
        </w:rPr>
        <w:t>假</w:t>
      </w:r>
      <w:r>
        <w:rPr>
          <w:rFonts w:ascii="宋体" w:hAnsi="宋体" w:eastAsia="宋体" w:cs="宋体"/>
          <w:color w:val="auto"/>
          <w:spacing w:val="-21"/>
          <w:sz w:val="24"/>
          <w:szCs w:val="24"/>
          <w:highlight w:val="none"/>
        </w:rPr>
        <w:t>材料谋取中标、成交”按照《中华人民共和国政府采购</w:t>
      </w:r>
      <w:r>
        <w:rPr>
          <w:rFonts w:ascii="宋体" w:hAnsi="宋体" w:eastAsia="宋体" w:cs="宋体"/>
          <w:color w:val="auto"/>
          <w:spacing w:val="-22"/>
          <w:sz w:val="24"/>
          <w:szCs w:val="24"/>
          <w:highlight w:val="none"/>
        </w:rPr>
        <w:t>法》第七十七条、第七十九条规定，处以采购金额千分</w:t>
      </w:r>
      <w:r>
        <w:rPr>
          <w:rFonts w:ascii="宋体" w:hAnsi="宋体" w:eastAsia="宋体" w:cs="宋体"/>
          <w:color w:val="auto"/>
          <w:spacing w:val="-21"/>
          <w:sz w:val="24"/>
          <w:szCs w:val="24"/>
          <w:highlight w:val="none"/>
        </w:rPr>
        <w:t>之五以上千分之十以下的罚款，</w:t>
      </w:r>
      <w:r>
        <w:rPr>
          <w:rFonts w:ascii="宋体" w:hAnsi="宋体" w:eastAsia="宋体" w:cs="宋体"/>
          <w:color w:val="auto"/>
          <w:spacing w:val="-22"/>
          <w:sz w:val="24"/>
          <w:szCs w:val="24"/>
          <w:highlight w:val="none"/>
        </w:rPr>
        <w:t>列入不良行为记录名单，在一至三年内</w:t>
      </w:r>
      <w:r>
        <w:rPr>
          <w:rFonts w:ascii="宋体" w:hAnsi="宋体" w:eastAsia="宋体" w:cs="宋体"/>
          <w:color w:val="auto"/>
          <w:spacing w:val="-14"/>
          <w:sz w:val="24"/>
          <w:szCs w:val="24"/>
          <w:highlight w:val="none"/>
        </w:rPr>
        <w:t>禁</w:t>
      </w:r>
      <w:r>
        <w:rPr>
          <w:rFonts w:ascii="宋体" w:hAnsi="宋体" w:eastAsia="宋体" w:cs="宋体"/>
          <w:color w:val="auto"/>
          <w:spacing w:val="-21"/>
          <w:sz w:val="24"/>
          <w:szCs w:val="24"/>
          <w:highlight w:val="none"/>
        </w:rPr>
        <w:t>止参加政府采购活动，有违法所得的，并处没收违</w:t>
      </w:r>
      <w:r>
        <w:rPr>
          <w:rFonts w:ascii="宋体" w:hAnsi="宋体" w:eastAsia="宋体" w:cs="宋体"/>
          <w:color w:val="auto"/>
          <w:spacing w:val="-22"/>
          <w:sz w:val="24"/>
          <w:szCs w:val="24"/>
          <w:highlight w:val="none"/>
        </w:rPr>
        <w:t>法所得，情节严重的，由市场监管部门吊销营业执照；构成犯</w:t>
      </w:r>
      <w:r>
        <w:rPr>
          <w:rFonts w:ascii="宋体" w:hAnsi="宋体" w:eastAsia="宋体" w:cs="宋体"/>
          <w:color w:val="auto"/>
          <w:spacing w:val="-21"/>
          <w:sz w:val="24"/>
          <w:szCs w:val="24"/>
          <w:highlight w:val="none"/>
        </w:rPr>
        <w:t>罪的，依法追究刑事责任；给</w:t>
      </w:r>
      <w:r>
        <w:rPr>
          <w:rFonts w:ascii="宋体" w:hAnsi="宋体" w:eastAsia="宋体" w:cs="宋体"/>
          <w:color w:val="auto"/>
          <w:spacing w:val="-22"/>
          <w:sz w:val="24"/>
          <w:szCs w:val="24"/>
          <w:highlight w:val="none"/>
        </w:rPr>
        <w:t>他人造成损失的，并应依照有关民事法</w:t>
      </w:r>
      <w:r>
        <w:rPr>
          <w:rFonts w:ascii="宋体" w:hAnsi="宋体" w:eastAsia="宋体" w:cs="宋体"/>
          <w:color w:val="auto"/>
          <w:spacing w:val="-13"/>
          <w:sz w:val="24"/>
          <w:szCs w:val="24"/>
          <w:highlight w:val="none"/>
        </w:rPr>
        <w:t>律</w:t>
      </w:r>
      <w:r>
        <w:rPr>
          <w:rFonts w:ascii="宋体" w:hAnsi="宋体" w:eastAsia="宋体" w:cs="宋体"/>
          <w:color w:val="auto"/>
          <w:spacing w:val="-19"/>
          <w:sz w:val="24"/>
          <w:szCs w:val="24"/>
          <w:highlight w:val="none"/>
        </w:rPr>
        <w:t>规定承担民事责任。</w:t>
      </w:r>
    </w:p>
    <w:p w14:paraId="4475FBA4">
      <w:pPr>
        <w:spacing w:line="361" w:lineRule="auto"/>
        <w:rPr>
          <w:rFonts w:ascii="宋体" w:hAnsi="宋体" w:eastAsia="宋体" w:cs="宋体"/>
          <w:color w:val="auto"/>
          <w:sz w:val="24"/>
          <w:szCs w:val="24"/>
          <w:highlight w:val="none"/>
        </w:rPr>
        <w:sectPr>
          <w:footerReference r:id="rId51" w:type="default"/>
          <w:pgSz w:w="11906" w:h="16839"/>
          <w:pgMar w:top="1431" w:right="1564" w:bottom="1443" w:left="1594" w:header="0" w:footer="1202" w:gutter="0"/>
          <w:pgNumType w:fmt="decimal"/>
          <w:cols w:space="720" w:num="1"/>
        </w:sectPr>
      </w:pPr>
    </w:p>
    <w:p w14:paraId="7A2CAAC8">
      <w:pPr>
        <w:spacing w:before="122" w:line="219" w:lineRule="auto"/>
        <w:ind w:left="436"/>
        <w:rPr>
          <w:rFonts w:ascii="宋体" w:hAnsi="宋体" w:eastAsia="宋体" w:cs="宋体"/>
          <w:color w:val="auto"/>
          <w:sz w:val="24"/>
          <w:szCs w:val="24"/>
          <w:highlight w:val="none"/>
        </w:rPr>
      </w:pPr>
      <w:r>
        <w:rPr>
          <w:rFonts w:ascii="宋体" w:hAnsi="宋体" w:eastAsia="宋体" w:cs="宋体"/>
          <w:color w:val="auto"/>
          <w:spacing w:val="-21"/>
          <w:sz w:val="24"/>
          <w:szCs w:val="24"/>
          <w:highlight w:val="none"/>
        </w:rPr>
        <w:t>供应商（电子章</w:t>
      </w:r>
      <w:r>
        <w:rPr>
          <w:rFonts w:ascii="宋体" w:hAnsi="宋体" w:eastAsia="宋体" w:cs="宋体"/>
          <w:color w:val="auto"/>
          <w:spacing w:val="-5"/>
          <w:sz w:val="24"/>
          <w:szCs w:val="24"/>
          <w:highlight w:val="none"/>
        </w:rPr>
        <w:t>）：</w:t>
      </w:r>
    </w:p>
    <w:p w14:paraId="62CFFE81">
      <w:pPr>
        <w:spacing w:before="183" w:line="219" w:lineRule="auto"/>
        <w:ind w:left="437"/>
        <w:rPr>
          <w:rFonts w:ascii="宋体" w:hAnsi="宋体" w:eastAsia="宋体" w:cs="宋体"/>
          <w:color w:val="auto"/>
          <w:sz w:val="24"/>
          <w:szCs w:val="24"/>
          <w:highlight w:val="none"/>
        </w:rPr>
      </w:pPr>
      <w:r>
        <w:rPr>
          <w:rFonts w:ascii="宋体" w:hAnsi="宋体" w:eastAsia="宋体" w:cs="宋体"/>
          <w:color w:val="auto"/>
          <w:spacing w:val="-22"/>
          <w:sz w:val="24"/>
          <w:szCs w:val="24"/>
          <w:highlight w:val="none"/>
        </w:rPr>
        <w:t>法定代表人、负责人、本人或授权代表（签字或电子印章</w:t>
      </w:r>
      <w:r>
        <w:rPr>
          <w:rFonts w:ascii="宋体" w:hAnsi="宋体" w:eastAsia="宋体" w:cs="宋体"/>
          <w:color w:val="auto"/>
          <w:spacing w:val="-2"/>
          <w:sz w:val="24"/>
          <w:szCs w:val="24"/>
          <w:highlight w:val="none"/>
        </w:rPr>
        <w:t>）：</w:t>
      </w:r>
    </w:p>
    <w:p w14:paraId="0E8D00E2">
      <w:pPr>
        <w:spacing w:before="184" w:line="219" w:lineRule="auto"/>
        <w:ind w:left="478"/>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日期：</w:t>
      </w:r>
      <w:r>
        <w:rPr>
          <w:rFonts w:ascii="宋体" w:hAnsi="宋体" w:eastAsia="宋体" w:cs="宋体"/>
          <w:color w:val="auto"/>
          <w:spacing w:val="7"/>
          <w:sz w:val="24"/>
          <w:szCs w:val="24"/>
          <w:highlight w:val="none"/>
        </w:rPr>
        <w:t xml:space="preserve">   </w:t>
      </w:r>
      <w:r>
        <w:rPr>
          <w:rFonts w:ascii="宋体" w:hAnsi="宋体" w:eastAsia="宋体" w:cs="宋体"/>
          <w:color w:val="auto"/>
          <w:spacing w:val="-17"/>
          <w:sz w:val="24"/>
          <w:szCs w:val="24"/>
          <w:highlight w:val="none"/>
        </w:rPr>
        <w:t>年</w:t>
      </w:r>
      <w:r>
        <w:rPr>
          <w:rFonts w:ascii="宋体" w:hAnsi="宋体" w:eastAsia="宋体" w:cs="宋体"/>
          <w:color w:val="auto"/>
          <w:spacing w:val="68"/>
          <w:sz w:val="24"/>
          <w:szCs w:val="24"/>
          <w:highlight w:val="none"/>
        </w:rPr>
        <w:t xml:space="preserve"> </w:t>
      </w:r>
      <w:r>
        <w:rPr>
          <w:rFonts w:ascii="宋体" w:hAnsi="宋体" w:eastAsia="宋体" w:cs="宋体"/>
          <w:color w:val="auto"/>
          <w:spacing w:val="-17"/>
          <w:sz w:val="24"/>
          <w:szCs w:val="24"/>
          <w:highlight w:val="none"/>
        </w:rPr>
        <w:t>月  日</w:t>
      </w:r>
    </w:p>
    <w:p w14:paraId="3DF26F39">
      <w:pPr>
        <w:pStyle w:val="5"/>
        <w:spacing w:line="297" w:lineRule="auto"/>
        <w:rPr>
          <w:color w:val="auto"/>
          <w:highlight w:val="none"/>
        </w:rPr>
      </w:pPr>
    </w:p>
    <w:p w14:paraId="018550E4">
      <w:pPr>
        <w:pStyle w:val="5"/>
        <w:spacing w:line="297" w:lineRule="auto"/>
        <w:rPr>
          <w:color w:val="auto"/>
          <w:highlight w:val="none"/>
        </w:rPr>
      </w:pPr>
    </w:p>
    <w:p w14:paraId="3072AF6C">
      <w:pPr>
        <w:pStyle w:val="5"/>
        <w:spacing w:line="297" w:lineRule="auto"/>
        <w:rPr>
          <w:color w:val="auto"/>
          <w:highlight w:val="none"/>
        </w:rPr>
      </w:pPr>
    </w:p>
    <w:p w14:paraId="2C489BFA">
      <w:pPr>
        <w:pStyle w:val="5"/>
        <w:spacing w:line="298" w:lineRule="auto"/>
        <w:rPr>
          <w:color w:val="auto"/>
          <w:highlight w:val="none"/>
        </w:rPr>
      </w:pPr>
    </w:p>
    <w:p w14:paraId="2169CAD8">
      <w:pPr>
        <w:spacing w:before="78" w:line="360" w:lineRule="auto"/>
        <w:ind w:left="1" w:hanging="1"/>
        <w:rPr>
          <w:rFonts w:ascii="宋体" w:hAnsi="宋体" w:eastAsia="宋体" w:cs="宋体"/>
          <w:color w:val="auto"/>
          <w:sz w:val="24"/>
          <w:szCs w:val="24"/>
          <w:highlight w:val="none"/>
        </w:rPr>
      </w:pPr>
      <w:r>
        <w:rPr>
          <w:rFonts w:ascii="宋体" w:hAnsi="宋体" w:eastAsia="宋体" w:cs="宋体"/>
          <w:b/>
          <w:bCs/>
          <w:color w:val="auto"/>
          <w:sz w:val="24"/>
          <w:szCs w:val="24"/>
          <w:highlight w:val="none"/>
        </w:rPr>
        <w:t>注：1.供应商须在响应文件中按此模板提供承诺函，</w:t>
      </w:r>
      <w:r>
        <w:rPr>
          <w:rFonts w:ascii="宋体" w:hAnsi="宋体" w:eastAsia="宋体" w:cs="宋体"/>
          <w:b/>
          <w:bCs/>
          <w:color w:val="auto"/>
          <w:spacing w:val="-1"/>
          <w:sz w:val="24"/>
          <w:szCs w:val="24"/>
          <w:highlight w:val="none"/>
        </w:rPr>
        <w:t>未提供视为未实质性响应磋商</w:t>
      </w:r>
      <w:r>
        <w:rPr>
          <w:rFonts w:ascii="宋体" w:hAnsi="宋体" w:eastAsia="宋体" w:cs="宋体"/>
          <w:b/>
          <w:bCs/>
          <w:color w:val="auto"/>
          <w:spacing w:val="-3"/>
          <w:sz w:val="24"/>
          <w:szCs w:val="24"/>
          <w:highlight w:val="none"/>
        </w:rPr>
        <w:t>文件要求，按无效投标处理。</w:t>
      </w:r>
    </w:p>
    <w:p w14:paraId="5A9B3206">
      <w:pPr>
        <w:spacing w:before="1" w:line="361" w:lineRule="auto"/>
        <w:ind w:left="2"/>
        <w:rPr>
          <w:rFonts w:ascii="宋体" w:hAnsi="宋体" w:eastAsia="宋体" w:cs="宋体"/>
          <w:color w:val="auto"/>
          <w:sz w:val="24"/>
          <w:szCs w:val="24"/>
          <w:highlight w:val="none"/>
        </w:rPr>
      </w:pPr>
      <w:r>
        <w:rPr>
          <w:rFonts w:ascii="宋体" w:hAnsi="宋体" w:eastAsia="宋体" w:cs="宋体"/>
          <w:b/>
          <w:bCs/>
          <w:color w:val="auto"/>
          <w:sz w:val="24"/>
          <w:szCs w:val="24"/>
          <w:highlight w:val="none"/>
        </w:rPr>
        <w:t>2.供应商的法定代表人或授权代表的签字或盖</w:t>
      </w:r>
      <w:r>
        <w:rPr>
          <w:rFonts w:ascii="宋体" w:hAnsi="宋体" w:eastAsia="宋体" w:cs="宋体"/>
          <w:b/>
          <w:bCs/>
          <w:color w:val="auto"/>
          <w:spacing w:val="-1"/>
          <w:sz w:val="24"/>
          <w:szCs w:val="24"/>
          <w:highlight w:val="none"/>
        </w:rPr>
        <w:t>章应真实、有效，如由授权代表签字或盖章的，应提供“法定代表人授权书”。</w:t>
      </w:r>
    </w:p>
    <w:p w14:paraId="6A7E8260">
      <w:pPr>
        <w:spacing w:line="361" w:lineRule="auto"/>
        <w:rPr>
          <w:rFonts w:ascii="宋体" w:hAnsi="宋体" w:eastAsia="宋体" w:cs="宋体"/>
          <w:color w:val="auto"/>
          <w:sz w:val="24"/>
          <w:szCs w:val="24"/>
          <w:highlight w:val="none"/>
        </w:rPr>
        <w:sectPr>
          <w:footerReference r:id="rId52" w:type="default"/>
          <w:pgSz w:w="11906" w:h="16839"/>
          <w:pgMar w:top="1431" w:right="1588" w:bottom="1443" w:left="1595" w:header="0" w:footer="1202" w:gutter="0"/>
          <w:pgNumType w:fmt="decimal"/>
          <w:cols w:space="720" w:num="1"/>
        </w:sectPr>
      </w:pPr>
    </w:p>
    <w:p w14:paraId="57F2DCA1">
      <w:pPr>
        <w:spacing w:before="172" w:line="219" w:lineRule="auto"/>
        <w:ind w:left="3395"/>
        <w:outlineLvl w:val="0"/>
        <w:rPr>
          <w:rFonts w:ascii="宋体" w:hAnsi="宋体" w:eastAsia="宋体" w:cs="宋体"/>
          <w:color w:val="auto"/>
          <w:sz w:val="30"/>
          <w:szCs w:val="30"/>
          <w:highlight w:val="none"/>
        </w:rPr>
      </w:pPr>
      <w:r>
        <w:rPr>
          <w:rFonts w:ascii="宋体" w:hAnsi="宋体" w:eastAsia="宋体" w:cs="宋体"/>
          <w:b/>
          <w:bCs/>
          <w:color w:val="auto"/>
          <w:spacing w:val="-5"/>
          <w:sz w:val="30"/>
          <w:szCs w:val="30"/>
          <w:highlight w:val="none"/>
        </w:rPr>
        <w:t>3.7磋商承诺函</w:t>
      </w:r>
    </w:p>
    <w:p w14:paraId="63AB19B4">
      <w:pPr>
        <w:spacing w:before="297" w:line="219" w:lineRule="auto"/>
        <w:ind w:left="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本企业郑重承诺：</w:t>
      </w:r>
    </w:p>
    <w:p w14:paraId="62B8537E">
      <w:pPr>
        <w:pStyle w:val="5"/>
        <w:spacing w:line="260" w:lineRule="auto"/>
        <w:rPr>
          <w:color w:val="auto"/>
          <w:highlight w:val="none"/>
        </w:rPr>
      </w:pPr>
    </w:p>
    <w:p w14:paraId="23CAC7AB">
      <w:pPr>
        <w:spacing w:before="78" w:line="480" w:lineRule="auto"/>
        <w:ind w:firstLine="482"/>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经研究，我方自愿参与贵方</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3"/>
          <w:sz w:val="24"/>
          <w:szCs w:val="24"/>
          <w:highlight w:val="none"/>
        </w:rPr>
        <w:t>年</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3"/>
          <w:sz w:val="24"/>
          <w:szCs w:val="24"/>
          <w:highlight w:val="none"/>
        </w:rPr>
        <w:t>月</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51"/>
          <w:sz w:val="24"/>
          <w:szCs w:val="24"/>
          <w:highlight w:val="none"/>
        </w:rPr>
        <w:t xml:space="preserve"> </w:t>
      </w:r>
      <w:r>
        <w:rPr>
          <w:rFonts w:ascii="宋体" w:hAnsi="宋体" w:eastAsia="宋体" w:cs="宋体"/>
          <w:color w:val="auto"/>
          <w:spacing w:val="-3"/>
          <w:sz w:val="24"/>
          <w:szCs w:val="24"/>
          <w:highlight w:val="none"/>
        </w:rPr>
        <w:t>日</w:t>
      </w:r>
      <w:r>
        <w:rPr>
          <w:rFonts w:ascii="宋体" w:hAnsi="宋体" w:eastAsia="宋体" w:cs="宋体"/>
          <w:color w:val="auto"/>
          <w:spacing w:val="-3"/>
          <w:sz w:val="24"/>
          <w:szCs w:val="24"/>
          <w:highlight w:val="none"/>
          <w:u w:val="single" w:color="auto"/>
        </w:rPr>
        <w:t>（招标编号、项目名称）</w:t>
      </w:r>
      <w:r>
        <w:rPr>
          <w:rFonts w:ascii="宋体" w:hAnsi="宋体" w:eastAsia="宋体" w:cs="宋体"/>
          <w:color w:val="auto"/>
          <w:spacing w:val="-3"/>
          <w:sz w:val="24"/>
          <w:szCs w:val="24"/>
          <w:highlight w:val="none"/>
        </w:rPr>
        <w:t>的投</w:t>
      </w:r>
      <w:r>
        <w:rPr>
          <w:rFonts w:ascii="宋体" w:hAnsi="宋体" w:eastAsia="宋体" w:cs="宋体"/>
          <w:color w:val="auto"/>
          <w:spacing w:val="2"/>
          <w:sz w:val="24"/>
          <w:szCs w:val="24"/>
          <w:highlight w:val="none"/>
        </w:rPr>
        <w:t>标，将严格遵守《中华人民共和国政府采购法》等相关法律法规规定，并无条件地遵守本次采购活动各项规定。我们郑重承诺：我方如果在本次投标活动中有下列情</w:t>
      </w:r>
      <w:r>
        <w:rPr>
          <w:rFonts w:ascii="宋体" w:hAnsi="宋体" w:eastAsia="宋体" w:cs="宋体"/>
          <w:color w:val="auto"/>
          <w:spacing w:val="1"/>
          <w:sz w:val="24"/>
          <w:szCs w:val="24"/>
          <w:highlight w:val="none"/>
        </w:rPr>
        <w:t>形之一的，</w:t>
      </w:r>
      <w:r>
        <w:rPr>
          <w:rFonts w:ascii="宋体" w:hAnsi="宋体" w:eastAsia="宋体" w:cs="宋体"/>
          <w:color w:val="auto"/>
          <w:spacing w:val="-69"/>
          <w:sz w:val="24"/>
          <w:szCs w:val="24"/>
          <w:highlight w:val="none"/>
        </w:rPr>
        <w:t xml:space="preserve"> </w:t>
      </w:r>
      <w:r>
        <w:rPr>
          <w:rFonts w:ascii="宋体" w:hAnsi="宋体" w:eastAsia="宋体" w:cs="宋体"/>
          <w:color w:val="auto"/>
          <w:spacing w:val="1"/>
          <w:sz w:val="24"/>
          <w:szCs w:val="24"/>
          <w:highlight w:val="none"/>
        </w:rPr>
        <w:t>自愿接受政府采购监督管理部门给予相关处罚并承诺依法</w:t>
      </w:r>
      <w:r>
        <w:rPr>
          <w:rFonts w:ascii="宋体" w:hAnsi="宋体" w:eastAsia="宋体" w:cs="宋体"/>
          <w:color w:val="auto"/>
          <w:sz w:val="24"/>
          <w:szCs w:val="24"/>
          <w:highlight w:val="none"/>
        </w:rPr>
        <w:t>承担相关的经</w:t>
      </w:r>
      <w:r>
        <w:rPr>
          <w:rFonts w:ascii="宋体" w:hAnsi="宋体" w:eastAsia="宋体" w:cs="宋体"/>
          <w:color w:val="auto"/>
          <w:spacing w:val="-1"/>
          <w:sz w:val="24"/>
          <w:szCs w:val="24"/>
          <w:highlight w:val="none"/>
        </w:rPr>
        <w:t>济赔偿责任和法律责任。</w:t>
      </w:r>
    </w:p>
    <w:p w14:paraId="7C57EFE8">
      <w:pPr>
        <w:spacing w:line="219" w:lineRule="auto"/>
        <w:ind w:left="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一、在投标有效期内撤销投标文件；</w:t>
      </w:r>
    </w:p>
    <w:p w14:paraId="30B35959">
      <w:pPr>
        <w:pStyle w:val="5"/>
        <w:spacing w:line="258" w:lineRule="auto"/>
        <w:rPr>
          <w:color w:val="auto"/>
          <w:highlight w:val="none"/>
        </w:rPr>
      </w:pPr>
    </w:p>
    <w:p w14:paraId="55511B66">
      <w:pPr>
        <w:spacing w:before="78" w:line="219" w:lineRule="auto"/>
        <w:ind w:left="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二、在投标文件中提供虚假材料；</w:t>
      </w:r>
    </w:p>
    <w:p w14:paraId="0BB41AF2">
      <w:pPr>
        <w:pStyle w:val="5"/>
        <w:spacing w:line="259" w:lineRule="auto"/>
        <w:rPr>
          <w:color w:val="auto"/>
          <w:highlight w:val="none"/>
        </w:rPr>
      </w:pPr>
    </w:p>
    <w:p w14:paraId="115AB7BE">
      <w:pPr>
        <w:spacing w:before="78" w:line="219" w:lineRule="auto"/>
        <w:ind w:left="480"/>
        <w:rPr>
          <w:rFonts w:ascii="宋体" w:hAnsi="宋体" w:eastAsia="宋体" w:cs="宋体"/>
          <w:color w:val="auto"/>
          <w:sz w:val="24"/>
          <w:szCs w:val="24"/>
          <w:highlight w:val="none"/>
        </w:rPr>
      </w:pPr>
      <w:r>
        <w:rPr>
          <w:rFonts w:ascii="宋体" w:hAnsi="宋体" w:eastAsia="宋体" w:cs="宋体"/>
          <w:color w:val="auto"/>
          <w:sz w:val="24"/>
          <w:szCs w:val="24"/>
          <w:highlight w:val="none"/>
        </w:rPr>
        <w:t>三、除因不可抗力或招标文件认可的情形以外，中标</w:t>
      </w:r>
      <w:r>
        <w:rPr>
          <w:rFonts w:ascii="宋体" w:hAnsi="宋体" w:eastAsia="宋体" w:cs="宋体"/>
          <w:color w:val="auto"/>
          <w:spacing w:val="-1"/>
          <w:sz w:val="24"/>
          <w:szCs w:val="24"/>
          <w:highlight w:val="none"/>
        </w:rPr>
        <w:t>后不与采购人签订合同；</w:t>
      </w:r>
    </w:p>
    <w:p w14:paraId="15900172">
      <w:pPr>
        <w:pStyle w:val="5"/>
        <w:spacing w:line="259" w:lineRule="auto"/>
        <w:rPr>
          <w:color w:val="auto"/>
          <w:highlight w:val="none"/>
        </w:rPr>
      </w:pPr>
    </w:p>
    <w:p w14:paraId="41013A22">
      <w:pPr>
        <w:spacing w:before="79" w:line="219" w:lineRule="auto"/>
        <w:ind w:left="50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四、与采购人、其他投标人或者采购代理机构恶意串通；</w:t>
      </w:r>
    </w:p>
    <w:p w14:paraId="2B649C4C">
      <w:pPr>
        <w:pStyle w:val="5"/>
        <w:spacing w:line="259" w:lineRule="auto"/>
        <w:rPr>
          <w:color w:val="auto"/>
          <w:highlight w:val="none"/>
        </w:rPr>
      </w:pPr>
    </w:p>
    <w:p w14:paraId="14355683">
      <w:pPr>
        <w:spacing w:before="79" w:line="219" w:lineRule="auto"/>
        <w:ind w:left="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五、法律法规及本招标文件规定的其他严重违法行为。</w:t>
      </w:r>
    </w:p>
    <w:p w14:paraId="5AA2CF3F">
      <w:pPr>
        <w:pStyle w:val="5"/>
        <w:spacing w:line="297" w:lineRule="auto"/>
        <w:rPr>
          <w:color w:val="auto"/>
          <w:highlight w:val="none"/>
        </w:rPr>
      </w:pPr>
    </w:p>
    <w:p w14:paraId="00DC810C">
      <w:pPr>
        <w:pStyle w:val="5"/>
        <w:spacing w:line="297" w:lineRule="auto"/>
        <w:rPr>
          <w:color w:val="auto"/>
          <w:highlight w:val="none"/>
        </w:rPr>
      </w:pPr>
    </w:p>
    <w:p w14:paraId="212A8C7A">
      <w:pPr>
        <w:pStyle w:val="5"/>
        <w:spacing w:line="297" w:lineRule="auto"/>
        <w:rPr>
          <w:color w:val="auto"/>
          <w:highlight w:val="none"/>
        </w:rPr>
      </w:pPr>
    </w:p>
    <w:p w14:paraId="6A419E2D">
      <w:pPr>
        <w:pStyle w:val="5"/>
        <w:spacing w:line="298" w:lineRule="auto"/>
        <w:rPr>
          <w:color w:val="auto"/>
          <w:highlight w:val="none"/>
        </w:rPr>
      </w:pPr>
    </w:p>
    <w:p w14:paraId="6C694E9C">
      <w:pPr>
        <w:spacing w:before="79" w:line="219" w:lineRule="auto"/>
        <w:ind w:left="49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供应商名称（并加盖公章</w:t>
      </w:r>
      <w:r>
        <w:rPr>
          <w:rFonts w:ascii="宋体" w:hAnsi="宋体" w:eastAsia="宋体" w:cs="宋体"/>
          <w:color w:val="auto"/>
          <w:sz w:val="24"/>
          <w:szCs w:val="24"/>
          <w:highlight w:val="none"/>
        </w:rPr>
        <w:t>）：</w:t>
      </w:r>
    </w:p>
    <w:p w14:paraId="677676CA">
      <w:pPr>
        <w:pStyle w:val="5"/>
        <w:spacing w:line="260" w:lineRule="auto"/>
        <w:rPr>
          <w:color w:val="auto"/>
          <w:highlight w:val="none"/>
        </w:rPr>
      </w:pPr>
    </w:p>
    <w:p w14:paraId="1E42DD26">
      <w:pPr>
        <w:spacing w:before="78" w:line="219" w:lineRule="auto"/>
        <w:ind w:left="5022"/>
        <w:rPr>
          <w:rFonts w:ascii="宋体" w:hAnsi="宋体" w:eastAsia="宋体" w:cs="宋体"/>
          <w:color w:val="auto"/>
          <w:sz w:val="24"/>
          <w:szCs w:val="24"/>
          <w:highlight w:val="none"/>
        </w:rPr>
      </w:pPr>
      <w:r>
        <w:rPr>
          <w:rFonts w:ascii="宋体" w:hAnsi="宋体" w:eastAsia="宋体" w:cs="宋体"/>
          <w:color w:val="auto"/>
          <w:spacing w:val="-20"/>
          <w:sz w:val="24"/>
          <w:szCs w:val="24"/>
          <w:highlight w:val="none"/>
        </w:rPr>
        <w:t>日</w:t>
      </w:r>
      <w:r>
        <w:rPr>
          <w:rFonts w:ascii="宋体" w:hAnsi="宋体" w:eastAsia="宋体" w:cs="宋体"/>
          <w:color w:val="auto"/>
          <w:spacing w:val="3"/>
          <w:sz w:val="24"/>
          <w:szCs w:val="24"/>
          <w:highlight w:val="none"/>
        </w:rPr>
        <w:t xml:space="preserve">    </w:t>
      </w:r>
      <w:r>
        <w:rPr>
          <w:rFonts w:ascii="宋体" w:hAnsi="宋体" w:eastAsia="宋体" w:cs="宋体"/>
          <w:color w:val="auto"/>
          <w:spacing w:val="-20"/>
          <w:sz w:val="24"/>
          <w:szCs w:val="24"/>
          <w:highlight w:val="none"/>
        </w:rPr>
        <w:t>期</w:t>
      </w:r>
      <w:r>
        <w:rPr>
          <w:rFonts w:ascii="宋体" w:hAnsi="宋体" w:eastAsia="宋体" w:cs="宋体"/>
          <w:color w:val="auto"/>
          <w:spacing w:val="-89"/>
          <w:sz w:val="24"/>
          <w:szCs w:val="24"/>
          <w:highlight w:val="none"/>
        </w:rPr>
        <w:t xml:space="preserve"> </w:t>
      </w:r>
      <w:r>
        <w:rPr>
          <w:rFonts w:ascii="宋体" w:hAnsi="宋体" w:eastAsia="宋体" w:cs="宋体"/>
          <w:color w:val="auto"/>
          <w:spacing w:val="-20"/>
          <w:sz w:val="24"/>
          <w:szCs w:val="24"/>
          <w:highlight w:val="none"/>
        </w:rPr>
        <w:t>：</w:t>
      </w:r>
      <w:r>
        <w:rPr>
          <w:rFonts w:ascii="宋体" w:hAnsi="宋体" w:eastAsia="宋体" w:cs="宋体"/>
          <w:color w:val="auto"/>
          <w:spacing w:val="1"/>
          <w:sz w:val="24"/>
          <w:szCs w:val="24"/>
          <w:highlight w:val="none"/>
        </w:rPr>
        <w:t xml:space="preserve">      </w:t>
      </w:r>
      <w:r>
        <w:rPr>
          <w:rFonts w:ascii="宋体" w:hAnsi="宋体" w:eastAsia="宋体" w:cs="宋体"/>
          <w:color w:val="auto"/>
          <w:spacing w:val="-20"/>
          <w:sz w:val="24"/>
          <w:szCs w:val="24"/>
          <w:highlight w:val="none"/>
        </w:rPr>
        <w:t>年</w:t>
      </w:r>
      <w:r>
        <w:rPr>
          <w:rFonts w:ascii="宋体" w:hAnsi="宋体" w:eastAsia="宋体" w:cs="宋体"/>
          <w:color w:val="auto"/>
          <w:spacing w:val="4"/>
          <w:sz w:val="24"/>
          <w:szCs w:val="24"/>
          <w:highlight w:val="none"/>
        </w:rPr>
        <w:t xml:space="preserve">    </w:t>
      </w:r>
      <w:r>
        <w:rPr>
          <w:rFonts w:ascii="宋体" w:hAnsi="宋体" w:eastAsia="宋体" w:cs="宋体"/>
          <w:color w:val="auto"/>
          <w:spacing w:val="-20"/>
          <w:sz w:val="24"/>
          <w:szCs w:val="24"/>
          <w:highlight w:val="none"/>
        </w:rPr>
        <w:t>月</w:t>
      </w:r>
      <w:r>
        <w:rPr>
          <w:rFonts w:ascii="宋体" w:hAnsi="宋体" w:eastAsia="宋体" w:cs="宋体"/>
          <w:color w:val="auto"/>
          <w:spacing w:val="13"/>
          <w:sz w:val="24"/>
          <w:szCs w:val="24"/>
          <w:highlight w:val="none"/>
        </w:rPr>
        <w:t xml:space="preserve">    </w:t>
      </w:r>
      <w:r>
        <w:rPr>
          <w:rFonts w:ascii="宋体" w:hAnsi="宋体" w:eastAsia="宋体" w:cs="宋体"/>
          <w:color w:val="auto"/>
          <w:spacing w:val="-20"/>
          <w:sz w:val="24"/>
          <w:szCs w:val="24"/>
          <w:highlight w:val="none"/>
        </w:rPr>
        <w:t>日</w:t>
      </w:r>
    </w:p>
    <w:p w14:paraId="33F4A368">
      <w:pPr>
        <w:spacing w:line="219" w:lineRule="auto"/>
        <w:rPr>
          <w:rFonts w:ascii="宋体" w:hAnsi="宋体" w:eastAsia="宋体" w:cs="宋体"/>
          <w:color w:val="auto"/>
          <w:sz w:val="24"/>
          <w:szCs w:val="24"/>
          <w:highlight w:val="none"/>
        </w:rPr>
        <w:sectPr>
          <w:footerReference r:id="rId53" w:type="default"/>
          <w:pgSz w:w="11906" w:h="16839"/>
          <w:pgMar w:top="1431" w:right="1585" w:bottom="1443" w:left="1594" w:header="0" w:footer="1202" w:gutter="0"/>
          <w:pgNumType w:fmt="decimal"/>
          <w:cols w:space="720" w:num="1"/>
        </w:sectPr>
      </w:pPr>
    </w:p>
    <w:p w14:paraId="50E0A155">
      <w:pPr>
        <w:spacing w:before="172" w:line="384" w:lineRule="auto"/>
        <w:ind w:left="1051" w:right="102" w:hanging="1052"/>
        <w:outlineLvl w:val="0"/>
        <w:rPr>
          <w:rFonts w:ascii="宋体" w:hAnsi="宋体" w:eastAsia="宋体" w:cs="宋体"/>
          <w:color w:val="auto"/>
          <w:sz w:val="30"/>
          <w:szCs w:val="30"/>
          <w:highlight w:val="none"/>
        </w:rPr>
      </w:pPr>
      <w:r>
        <w:rPr>
          <w:rFonts w:ascii="宋体" w:hAnsi="宋体" w:eastAsia="宋体" w:cs="宋体"/>
          <w:b/>
          <w:bCs/>
          <w:color w:val="auto"/>
          <w:spacing w:val="-3"/>
          <w:sz w:val="30"/>
          <w:szCs w:val="30"/>
          <w:highlight w:val="none"/>
        </w:rPr>
        <w:t>3.8</w:t>
      </w:r>
      <w:r>
        <w:rPr>
          <w:rFonts w:ascii="宋体" w:hAnsi="宋体" w:eastAsia="宋体" w:cs="宋体"/>
          <w:color w:val="auto"/>
          <w:spacing w:val="-3"/>
          <w:sz w:val="30"/>
          <w:szCs w:val="30"/>
          <w:highlight w:val="none"/>
        </w:rPr>
        <w:t xml:space="preserve"> </w:t>
      </w:r>
      <w:r>
        <w:rPr>
          <w:rFonts w:ascii="宋体" w:hAnsi="宋体" w:eastAsia="宋体" w:cs="宋体"/>
          <w:b/>
          <w:bCs/>
          <w:color w:val="auto"/>
          <w:spacing w:val="-3"/>
          <w:sz w:val="30"/>
          <w:szCs w:val="30"/>
          <w:highlight w:val="none"/>
        </w:rPr>
        <w:t>供应商提供与参加本项目投标的其他供应商之间，单位负责人不为同一人并且不存在直接控股、管理关系承诺函</w:t>
      </w:r>
    </w:p>
    <w:p w14:paraId="07E60C42">
      <w:pPr>
        <w:spacing w:line="218" w:lineRule="auto"/>
        <w:ind w:left="3016"/>
        <w:outlineLvl w:val="0"/>
        <w:rPr>
          <w:rFonts w:ascii="宋体" w:hAnsi="宋体" w:eastAsia="宋体" w:cs="宋体"/>
          <w:color w:val="auto"/>
          <w:sz w:val="30"/>
          <w:szCs w:val="30"/>
          <w:highlight w:val="none"/>
        </w:rPr>
      </w:pPr>
      <w:r>
        <w:rPr>
          <w:rFonts w:ascii="宋体" w:hAnsi="宋体" w:eastAsia="宋体" w:cs="宋体"/>
          <w:b/>
          <w:bCs/>
          <w:color w:val="auto"/>
          <w:spacing w:val="-6"/>
          <w:sz w:val="30"/>
          <w:szCs w:val="30"/>
          <w:highlight w:val="none"/>
        </w:rPr>
        <w:t>（承诺函格式自拟）</w:t>
      </w:r>
    </w:p>
    <w:p w14:paraId="0020BAD9">
      <w:pPr>
        <w:pStyle w:val="5"/>
        <w:spacing w:line="251" w:lineRule="auto"/>
        <w:rPr>
          <w:color w:val="auto"/>
          <w:highlight w:val="none"/>
        </w:rPr>
      </w:pPr>
    </w:p>
    <w:p w14:paraId="27FA76EE">
      <w:pPr>
        <w:pStyle w:val="5"/>
        <w:spacing w:line="251" w:lineRule="auto"/>
        <w:rPr>
          <w:color w:val="auto"/>
          <w:highlight w:val="none"/>
        </w:rPr>
      </w:pPr>
    </w:p>
    <w:p w14:paraId="5E7F1018">
      <w:pPr>
        <w:pStyle w:val="5"/>
        <w:spacing w:line="251" w:lineRule="auto"/>
        <w:rPr>
          <w:color w:val="auto"/>
          <w:highlight w:val="none"/>
        </w:rPr>
      </w:pPr>
    </w:p>
    <w:p w14:paraId="513C276A">
      <w:pPr>
        <w:pStyle w:val="5"/>
        <w:spacing w:line="251" w:lineRule="auto"/>
        <w:rPr>
          <w:color w:val="auto"/>
          <w:highlight w:val="none"/>
        </w:rPr>
      </w:pPr>
    </w:p>
    <w:p w14:paraId="05913685">
      <w:pPr>
        <w:pStyle w:val="5"/>
        <w:spacing w:line="251" w:lineRule="auto"/>
        <w:rPr>
          <w:color w:val="auto"/>
          <w:highlight w:val="none"/>
        </w:rPr>
      </w:pPr>
    </w:p>
    <w:p w14:paraId="5BE1B639">
      <w:pPr>
        <w:pStyle w:val="5"/>
        <w:spacing w:line="252" w:lineRule="auto"/>
        <w:rPr>
          <w:color w:val="auto"/>
          <w:highlight w:val="none"/>
        </w:rPr>
      </w:pPr>
    </w:p>
    <w:p w14:paraId="6A0FD124">
      <w:pPr>
        <w:pStyle w:val="5"/>
        <w:spacing w:line="252" w:lineRule="auto"/>
        <w:rPr>
          <w:color w:val="auto"/>
          <w:highlight w:val="none"/>
        </w:rPr>
      </w:pPr>
    </w:p>
    <w:p w14:paraId="15CC4760">
      <w:pPr>
        <w:pStyle w:val="5"/>
        <w:spacing w:line="252" w:lineRule="auto"/>
        <w:rPr>
          <w:color w:val="auto"/>
          <w:highlight w:val="none"/>
        </w:rPr>
      </w:pPr>
    </w:p>
    <w:p w14:paraId="50FBCFCF">
      <w:pPr>
        <w:pStyle w:val="5"/>
        <w:spacing w:line="252" w:lineRule="auto"/>
        <w:rPr>
          <w:color w:val="auto"/>
          <w:highlight w:val="none"/>
        </w:rPr>
      </w:pPr>
    </w:p>
    <w:p w14:paraId="5DB370C5">
      <w:pPr>
        <w:pStyle w:val="5"/>
        <w:spacing w:line="252" w:lineRule="auto"/>
        <w:rPr>
          <w:color w:val="auto"/>
          <w:highlight w:val="none"/>
        </w:rPr>
      </w:pPr>
    </w:p>
    <w:p w14:paraId="3C622029">
      <w:pPr>
        <w:pStyle w:val="5"/>
        <w:spacing w:line="252" w:lineRule="auto"/>
        <w:rPr>
          <w:color w:val="auto"/>
          <w:highlight w:val="none"/>
        </w:rPr>
      </w:pPr>
    </w:p>
    <w:p w14:paraId="4A7C8E2D">
      <w:pPr>
        <w:pStyle w:val="5"/>
        <w:spacing w:line="252" w:lineRule="auto"/>
        <w:rPr>
          <w:color w:val="auto"/>
          <w:highlight w:val="none"/>
        </w:rPr>
      </w:pPr>
    </w:p>
    <w:p w14:paraId="3BF27F31">
      <w:pPr>
        <w:pStyle w:val="5"/>
        <w:spacing w:line="252" w:lineRule="auto"/>
        <w:rPr>
          <w:color w:val="auto"/>
          <w:highlight w:val="none"/>
        </w:rPr>
      </w:pPr>
    </w:p>
    <w:p w14:paraId="25DD11DA">
      <w:pPr>
        <w:spacing w:before="97" w:line="384" w:lineRule="auto"/>
        <w:ind w:left="2703" w:hanging="2704"/>
        <w:outlineLvl w:val="0"/>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3.9供应商提供未为本项目提供整体设计、规范</w:t>
      </w:r>
      <w:r>
        <w:rPr>
          <w:rFonts w:ascii="宋体" w:hAnsi="宋体" w:eastAsia="宋体" w:cs="宋体"/>
          <w:b/>
          <w:bCs/>
          <w:color w:val="auto"/>
          <w:spacing w:val="-5"/>
          <w:sz w:val="30"/>
          <w:szCs w:val="30"/>
          <w:highlight w:val="none"/>
        </w:rPr>
        <w:t>编制或者项目管理、</w:t>
      </w:r>
      <w:r>
        <w:rPr>
          <w:rFonts w:ascii="宋体" w:hAnsi="宋体" w:eastAsia="宋体" w:cs="宋体"/>
          <w:b/>
          <w:bCs/>
          <w:color w:val="auto"/>
          <w:spacing w:val="-4"/>
          <w:sz w:val="30"/>
          <w:szCs w:val="30"/>
          <w:highlight w:val="none"/>
        </w:rPr>
        <w:t>监理、检测等服务承诺函</w:t>
      </w:r>
    </w:p>
    <w:p w14:paraId="03C30B58">
      <w:pPr>
        <w:spacing w:line="218" w:lineRule="auto"/>
        <w:ind w:left="3016"/>
        <w:outlineLvl w:val="0"/>
        <w:rPr>
          <w:rFonts w:ascii="宋体" w:hAnsi="宋体" w:eastAsia="宋体" w:cs="宋体"/>
          <w:color w:val="auto"/>
          <w:sz w:val="30"/>
          <w:szCs w:val="30"/>
          <w:highlight w:val="none"/>
        </w:rPr>
      </w:pPr>
      <w:r>
        <w:rPr>
          <w:rFonts w:ascii="宋体" w:hAnsi="宋体" w:eastAsia="宋体" w:cs="宋体"/>
          <w:b/>
          <w:bCs/>
          <w:color w:val="auto"/>
          <w:spacing w:val="-6"/>
          <w:sz w:val="30"/>
          <w:szCs w:val="30"/>
          <w:highlight w:val="none"/>
        </w:rPr>
        <w:t>（承诺函格式自拟）</w:t>
      </w:r>
    </w:p>
    <w:p w14:paraId="08C8BE52">
      <w:pPr>
        <w:pStyle w:val="5"/>
        <w:spacing w:line="251" w:lineRule="auto"/>
        <w:rPr>
          <w:color w:val="auto"/>
          <w:highlight w:val="none"/>
        </w:rPr>
      </w:pPr>
    </w:p>
    <w:p w14:paraId="45566780">
      <w:pPr>
        <w:pStyle w:val="5"/>
        <w:spacing w:line="251" w:lineRule="auto"/>
        <w:rPr>
          <w:color w:val="auto"/>
          <w:highlight w:val="none"/>
        </w:rPr>
      </w:pPr>
    </w:p>
    <w:p w14:paraId="1A642065">
      <w:pPr>
        <w:pStyle w:val="5"/>
        <w:spacing w:line="251" w:lineRule="auto"/>
        <w:rPr>
          <w:color w:val="auto"/>
          <w:highlight w:val="none"/>
        </w:rPr>
      </w:pPr>
    </w:p>
    <w:p w14:paraId="4159CDCD">
      <w:pPr>
        <w:pStyle w:val="5"/>
        <w:spacing w:line="251" w:lineRule="auto"/>
        <w:rPr>
          <w:color w:val="auto"/>
          <w:highlight w:val="none"/>
        </w:rPr>
      </w:pPr>
    </w:p>
    <w:p w14:paraId="003416BD">
      <w:pPr>
        <w:pStyle w:val="5"/>
        <w:spacing w:line="251" w:lineRule="auto"/>
        <w:rPr>
          <w:color w:val="auto"/>
          <w:highlight w:val="none"/>
        </w:rPr>
      </w:pPr>
    </w:p>
    <w:p w14:paraId="5A943DE7">
      <w:pPr>
        <w:pStyle w:val="5"/>
        <w:spacing w:line="251" w:lineRule="auto"/>
        <w:rPr>
          <w:color w:val="auto"/>
          <w:highlight w:val="none"/>
        </w:rPr>
      </w:pPr>
    </w:p>
    <w:p w14:paraId="548B0DE8">
      <w:pPr>
        <w:pStyle w:val="5"/>
        <w:spacing w:line="252" w:lineRule="auto"/>
        <w:rPr>
          <w:color w:val="auto"/>
          <w:highlight w:val="none"/>
        </w:rPr>
      </w:pPr>
    </w:p>
    <w:p w14:paraId="48CB5F80">
      <w:pPr>
        <w:pStyle w:val="5"/>
        <w:spacing w:line="252" w:lineRule="auto"/>
        <w:rPr>
          <w:color w:val="auto"/>
          <w:highlight w:val="none"/>
        </w:rPr>
      </w:pPr>
    </w:p>
    <w:p w14:paraId="633C443C">
      <w:pPr>
        <w:pStyle w:val="5"/>
        <w:spacing w:line="252" w:lineRule="auto"/>
        <w:rPr>
          <w:color w:val="auto"/>
          <w:highlight w:val="none"/>
        </w:rPr>
      </w:pPr>
    </w:p>
    <w:p w14:paraId="3BB9DC74">
      <w:pPr>
        <w:pStyle w:val="5"/>
        <w:spacing w:line="252" w:lineRule="auto"/>
        <w:rPr>
          <w:color w:val="auto"/>
          <w:highlight w:val="none"/>
        </w:rPr>
      </w:pPr>
    </w:p>
    <w:p w14:paraId="1A0F6C4B">
      <w:pPr>
        <w:pStyle w:val="5"/>
        <w:spacing w:line="252" w:lineRule="auto"/>
        <w:rPr>
          <w:color w:val="auto"/>
          <w:highlight w:val="none"/>
        </w:rPr>
      </w:pPr>
    </w:p>
    <w:p w14:paraId="5CB881AE">
      <w:pPr>
        <w:pStyle w:val="5"/>
        <w:spacing w:line="252" w:lineRule="auto"/>
        <w:rPr>
          <w:color w:val="auto"/>
          <w:highlight w:val="none"/>
        </w:rPr>
      </w:pPr>
    </w:p>
    <w:p w14:paraId="288516B2">
      <w:pPr>
        <w:pStyle w:val="5"/>
        <w:spacing w:line="252" w:lineRule="auto"/>
        <w:rPr>
          <w:color w:val="auto"/>
          <w:highlight w:val="none"/>
        </w:rPr>
      </w:pPr>
    </w:p>
    <w:p w14:paraId="4DB97E4A">
      <w:pPr>
        <w:spacing w:before="98" w:line="219" w:lineRule="auto"/>
        <w:ind w:left="2632"/>
        <w:outlineLvl w:val="0"/>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3.10</w:t>
      </w:r>
      <w:r>
        <w:rPr>
          <w:rFonts w:ascii="宋体" w:hAnsi="宋体" w:eastAsia="宋体" w:cs="宋体"/>
          <w:color w:val="auto"/>
          <w:spacing w:val="-4"/>
          <w:sz w:val="30"/>
          <w:szCs w:val="30"/>
          <w:highlight w:val="none"/>
        </w:rPr>
        <w:t xml:space="preserve"> </w:t>
      </w:r>
      <w:r>
        <w:rPr>
          <w:rFonts w:ascii="宋体" w:hAnsi="宋体" w:eastAsia="宋体" w:cs="宋体"/>
          <w:b/>
          <w:bCs/>
          <w:color w:val="auto"/>
          <w:spacing w:val="-4"/>
          <w:sz w:val="30"/>
          <w:szCs w:val="30"/>
          <w:highlight w:val="none"/>
        </w:rPr>
        <w:t>其他资格证书或材料</w:t>
      </w:r>
    </w:p>
    <w:p w14:paraId="50AF263E">
      <w:pPr>
        <w:spacing w:line="219" w:lineRule="auto"/>
        <w:rPr>
          <w:rFonts w:ascii="宋体" w:hAnsi="宋体" w:eastAsia="宋体" w:cs="宋体"/>
          <w:color w:val="auto"/>
          <w:sz w:val="30"/>
          <w:szCs w:val="30"/>
          <w:highlight w:val="none"/>
        </w:rPr>
        <w:sectPr>
          <w:footerReference r:id="rId54" w:type="default"/>
          <w:pgSz w:w="11906" w:h="16839"/>
          <w:pgMar w:top="1431" w:right="1485" w:bottom="1443" w:left="1604" w:header="0" w:footer="1202" w:gutter="0"/>
          <w:pgNumType w:fmt="decimal"/>
          <w:cols w:space="720" w:num="1"/>
        </w:sectPr>
      </w:pPr>
    </w:p>
    <w:p w14:paraId="560E2136">
      <w:pPr>
        <w:spacing w:before="162" w:line="224" w:lineRule="auto"/>
        <w:ind w:left="2629"/>
        <w:rPr>
          <w:rFonts w:ascii="宋体" w:hAnsi="宋体" w:eastAsia="宋体" w:cs="宋体"/>
          <w:color w:val="auto"/>
          <w:sz w:val="31"/>
          <w:szCs w:val="31"/>
          <w:highlight w:val="none"/>
        </w:rPr>
      </w:pPr>
      <w:r>
        <w:rPr>
          <w:rFonts w:ascii="宋体" w:hAnsi="宋体" w:eastAsia="宋体" w:cs="宋体"/>
          <w:b/>
          <w:bCs/>
          <w:color w:val="auto"/>
          <w:spacing w:val="4"/>
          <w:sz w:val="31"/>
          <w:szCs w:val="31"/>
          <w:highlight w:val="none"/>
        </w:rPr>
        <w:t>四、符合性审查证明材料</w:t>
      </w:r>
    </w:p>
    <w:p w14:paraId="43D27486">
      <w:pPr>
        <w:pStyle w:val="5"/>
        <w:spacing w:line="311" w:lineRule="auto"/>
        <w:rPr>
          <w:color w:val="auto"/>
          <w:highlight w:val="none"/>
        </w:rPr>
      </w:pPr>
    </w:p>
    <w:p w14:paraId="3FB49DAC">
      <w:pPr>
        <w:pStyle w:val="5"/>
        <w:spacing w:line="312" w:lineRule="auto"/>
        <w:rPr>
          <w:color w:val="auto"/>
          <w:highlight w:val="none"/>
        </w:rPr>
      </w:pPr>
    </w:p>
    <w:p w14:paraId="2F120D41">
      <w:pPr>
        <w:spacing w:before="98" w:line="218" w:lineRule="auto"/>
        <w:ind w:left="3007"/>
        <w:outlineLvl w:val="0"/>
        <w:rPr>
          <w:rFonts w:ascii="宋体" w:hAnsi="宋体" w:eastAsia="宋体" w:cs="宋体"/>
          <w:color w:val="auto"/>
          <w:sz w:val="30"/>
          <w:szCs w:val="30"/>
          <w:highlight w:val="none"/>
        </w:rPr>
      </w:pPr>
      <w:r>
        <w:rPr>
          <w:rFonts w:ascii="宋体" w:hAnsi="宋体" w:eastAsia="宋体" w:cs="宋体"/>
          <w:b/>
          <w:bCs/>
          <w:color w:val="auto"/>
          <w:spacing w:val="-3"/>
          <w:sz w:val="30"/>
          <w:szCs w:val="30"/>
          <w:highlight w:val="none"/>
        </w:rPr>
        <w:t>4.1</w:t>
      </w:r>
      <w:r>
        <w:rPr>
          <w:rFonts w:ascii="宋体" w:hAnsi="宋体" w:eastAsia="宋体" w:cs="宋体"/>
          <w:color w:val="auto"/>
          <w:spacing w:val="-3"/>
          <w:sz w:val="30"/>
          <w:szCs w:val="30"/>
          <w:highlight w:val="none"/>
        </w:rPr>
        <w:t xml:space="preserve"> </w:t>
      </w:r>
      <w:r>
        <w:rPr>
          <w:rFonts w:ascii="宋体" w:hAnsi="宋体" w:eastAsia="宋体" w:cs="宋体"/>
          <w:b/>
          <w:bCs/>
          <w:color w:val="auto"/>
          <w:spacing w:val="-3"/>
          <w:sz w:val="30"/>
          <w:szCs w:val="30"/>
          <w:highlight w:val="none"/>
        </w:rPr>
        <w:t>投标分项报价表</w:t>
      </w:r>
    </w:p>
    <w:p w14:paraId="35321D91">
      <w:pPr>
        <w:pStyle w:val="5"/>
        <w:spacing w:line="254" w:lineRule="auto"/>
        <w:rPr>
          <w:color w:val="auto"/>
          <w:sz w:val="24"/>
          <w:szCs w:val="24"/>
          <w:highlight w:val="none"/>
        </w:rPr>
      </w:pPr>
    </w:p>
    <w:p w14:paraId="3172D079">
      <w:pPr>
        <w:spacing w:before="217" w:line="219" w:lineRule="auto"/>
        <w:ind w:left="2334"/>
        <w:outlineLvl w:val="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（供应商根据磋商文件要求自行编制）</w:t>
      </w:r>
    </w:p>
    <w:p w14:paraId="2ACDB5FF">
      <w:pPr>
        <w:pStyle w:val="5"/>
        <w:spacing w:line="254" w:lineRule="auto"/>
        <w:rPr>
          <w:color w:val="auto"/>
          <w:sz w:val="24"/>
          <w:szCs w:val="24"/>
          <w:highlight w:val="none"/>
        </w:rPr>
      </w:pPr>
    </w:p>
    <w:p w14:paraId="563CD1F1">
      <w:pPr>
        <w:pStyle w:val="5"/>
        <w:spacing w:line="254" w:lineRule="auto"/>
        <w:rPr>
          <w:color w:val="auto"/>
          <w:sz w:val="24"/>
          <w:szCs w:val="24"/>
          <w:highlight w:val="none"/>
        </w:rPr>
      </w:pPr>
    </w:p>
    <w:p w14:paraId="44CDF8EE">
      <w:pPr>
        <w:pStyle w:val="5"/>
        <w:spacing w:line="254" w:lineRule="auto"/>
        <w:rPr>
          <w:color w:val="auto"/>
          <w:sz w:val="24"/>
          <w:szCs w:val="24"/>
          <w:highlight w:val="none"/>
        </w:rPr>
      </w:pPr>
    </w:p>
    <w:p w14:paraId="625E8278">
      <w:pPr>
        <w:pStyle w:val="5"/>
        <w:spacing w:line="254" w:lineRule="auto"/>
        <w:rPr>
          <w:color w:val="auto"/>
          <w:sz w:val="24"/>
          <w:szCs w:val="24"/>
          <w:highlight w:val="none"/>
        </w:rPr>
      </w:pPr>
    </w:p>
    <w:p w14:paraId="438F39FE">
      <w:pPr>
        <w:pStyle w:val="5"/>
        <w:spacing w:line="254" w:lineRule="auto"/>
        <w:rPr>
          <w:color w:val="auto"/>
          <w:sz w:val="24"/>
          <w:szCs w:val="24"/>
          <w:highlight w:val="none"/>
        </w:rPr>
      </w:pPr>
    </w:p>
    <w:p w14:paraId="7AA404E2">
      <w:pPr>
        <w:spacing w:before="65" w:line="227" w:lineRule="auto"/>
        <w:ind w:left="125"/>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投标人（公章</w:t>
      </w:r>
      <w:r>
        <w:rPr>
          <w:rFonts w:ascii="宋体" w:hAnsi="宋体" w:eastAsia="宋体" w:cs="宋体"/>
          <w:color w:val="auto"/>
          <w:spacing w:val="2"/>
          <w:sz w:val="24"/>
          <w:szCs w:val="24"/>
          <w:highlight w:val="none"/>
        </w:rPr>
        <w:t>）：</w:t>
      </w:r>
    </w:p>
    <w:p w14:paraId="2B5348C1">
      <w:pPr>
        <w:pStyle w:val="5"/>
        <w:spacing w:line="311" w:lineRule="auto"/>
        <w:rPr>
          <w:color w:val="auto"/>
          <w:sz w:val="24"/>
          <w:szCs w:val="24"/>
          <w:highlight w:val="none"/>
        </w:rPr>
      </w:pPr>
    </w:p>
    <w:p w14:paraId="51F462EA">
      <w:pPr>
        <w:pStyle w:val="5"/>
        <w:spacing w:line="252" w:lineRule="auto"/>
        <w:rPr>
          <w:color w:val="auto"/>
          <w:sz w:val="24"/>
          <w:szCs w:val="24"/>
          <w:highlight w:val="none"/>
        </w:rPr>
      </w:pPr>
      <w:r>
        <w:rPr>
          <w:rFonts w:ascii="宋体" w:hAnsi="宋体" w:eastAsia="宋体" w:cs="宋体"/>
          <w:color w:val="auto"/>
          <w:spacing w:val="9"/>
          <w:sz w:val="24"/>
          <w:szCs w:val="24"/>
          <w:highlight w:val="none"/>
        </w:rPr>
        <w:t>投标人法定代表人（单位负责人）或授权代表（签字或盖章</w:t>
      </w:r>
      <w:r>
        <w:rPr>
          <w:rFonts w:ascii="宋体" w:hAnsi="宋体" w:eastAsia="宋体" w:cs="宋体"/>
          <w:color w:val="auto"/>
          <w:spacing w:val="5"/>
          <w:sz w:val="24"/>
          <w:szCs w:val="24"/>
          <w:highlight w:val="none"/>
        </w:rPr>
        <w:t>）</w:t>
      </w:r>
    </w:p>
    <w:p w14:paraId="23504C51">
      <w:pPr>
        <w:pStyle w:val="5"/>
        <w:spacing w:line="252" w:lineRule="auto"/>
        <w:rPr>
          <w:color w:val="auto"/>
          <w:sz w:val="24"/>
          <w:szCs w:val="24"/>
          <w:highlight w:val="none"/>
        </w:rPr>
      </w:pPr>
    </w:p>
    <w:p w14:paraId="26AD5A36">
      <w:pPr>
        <w:pStyle w:val="5"/>
        <w:spacing w:line="252" w:lineRule="auto"/>
        <w:rPr>
          <w:color w:val="auto"/>
          <w:highlight w:val="none"/>
        </w:rPr>
      </w:pPr>
    </w:p>
    <w:p w14:paraId="6DC101CA">
      <w:pPr>
        <w:pStyle w:val="5"/>
        <w:spacing w:line="252" w:lineRule="auto"/>
        <w:rPr>
          <w:color w:val="auto"/>
          <w:highlight w:val="none"/>
        </w:rPr>
      </w:pPr>
    </w:p>
    <w:p w14:paraId="34AA5A58">
      <w:pPr>
        <w:pStyle w:val="5"/>
        <w:spacing w:line="252" w:lineRule="auto"/>
        <w:rPr>
          <w:color w:val="auto"/>
          <w:highlight w:val="none"/>
        </w:rPr>
      </w:pPr>
    </w:p>
    <w:p w14:paraId="22C80F2B">
      <w:pPr>
        <w:pStyle w:val="5"/>
        <w:spacing w:line="252" w:lineRule="auto"/>
        <w:rPr>
          <w:color w:val="auto"/>
          <w:highlight w:val="none"/>
        </w:rPr>
      </w:pPr>
    </w:p>
    <w:p w14:paraId="7F741B66">
      <w:pPr>
        <w:pStyle w:val="5"/>
        <w:spacing w:line="253" w:lineRule="auto"/>
        <w:rPr>
          <w:color w:val="auto"/>
          <w:highlight w:val="none"/>
        </w:rPr>
      </w:pPr>
    </w:p>
    <w:p w14:paraId="7FA35F7E">
      <w:pPr>
        <w:pStyle w:val="5"/>
        <w:spacing w:line="253" w:lineRule="auto"/>
        <w:rPr>
          <w:color w:val="auto"/>
          <w:highlight w:val="none"/>
        </w:rPr>
      </w:pPr>
    </w:p>
    <w:p w14:paraId="31527CDB">
      <w:pPr>
        <w:pStyle w:val="5"/>
        <w:spacing w:line="253" w:lineRule="auto"/>
        <w:rPr>
          <w:color w:val="auto"/>
          <w:highlight w:val="none"/>
        </w:rPr>
      </w:pPr>
    </w:p>
    <w:p w14:paraId="48388964">
      <w:pPr>
        <w:pStyle w:val="5"/>
        <w:spacing w:line="253" w:lineRule="auto"/>
        <w:rPr>
          <w:color w:val="auto"/>
          <w:highlight w:val="none"/>
        </w:rPr>
      </w:pPr>
    </w:p>
    <w:p w14:paraId="39336E82">
      <w:pPr>
        <w:pStyle w:val="5"/>
        <w:spacing w:line="253" w:lineRule="auto"/>
        <w:rPr>
          <w:color w:val="auto"/>
          <w:highlight w:val="none"/>
        </w:rPr>
      </w:pPr>
    </w:p>
    <w:p w14:paraId="2196E77B">
      <w:pPr>
        <w:pStyle w:val="5"/>
        <w:spacing w:line="253" w:lineRule="auto"/>
        <w:rPr>
          <w:color w:val="auto"/>
          <w:highlight w:val="none"/>
        </w:rPr>
      </w:pPr>
    </w:p>
    <w:p w14:paraId="5B54572D">
      <w:pPr>
        <w:pStyle w:val="5"/>
        <w:spacing w:line="253" w:lineRule="auto"/>
        <w:rPr>
          <w:color w:val="auto"/>
          <w:highlight w:val="none"/>
        </w:rPr>
      </w:pPr>
    </w:p>
    <w:p w14:paraId="59D96E89">
      <w:pPr>
        <w:pStyle w:val="5"/>
        <w:spacing w:line="253" w:lineRule="auto"/>
        <w:rPr>
          <w:color w:val="auto"/>
          <w:highlight w:val="none"/>
        </w:rPr>
      </w:pPr>
    </w:p>
    <w:p w14:paraId="27A8D63C">
      <w:pPr>
        <w:pStyle w:val="5"/>
        <w:spacing w:line="253" w:lineRule="auto"/>
        <w:rPr>
          <w:color w:val="auto"/>
          <w:highlight w:val="none"/>
        </w:rPr>
      </w:pPr>
    </w:p>
    <w:p w14:paraId="07A55499">
      <w:pPr>
        <w:pStyle w:val="5"/>
        <w:spacing w:line="253" w:lineRule="auto"/>
        <w:rPr>
          <w:color w:val="auto"/>
          <w:highlight w:val="none"/>
        </w:rPr>
      </w:pPr>
    </w:p>
    <w:p w14:paraId="596D1DD7">
      <w:pPr>
        <w:pStyle w:val="5"/>
        <w:spacing w:line="253" w:lineRule="auto"/>
        <w:rPr>
          <w:color w:val="auto"/>
          <w:highlight w:val="none"/>
        </w:rPr>
      </w:pPr>
    </w:p>
    <w:p w14:paraId="785CCA2B">
      <w:pPr>
        <w:pStyle w:val="5"/>
        <w:spacing w:line="253" w:lineRule="auto"/>
        <w:rPr>
          <w:color w:val="auto"/>
          <w:highlight w:val="none"/>
        </w:rPr>
      </w:pPr>
    </w:p>
    <w:p w14:paraId="6F924713">
      <w:pPr>
        <w:pStyle w:val="5"/>
        <w:spacing w:line="253" w:lineRule="auto"/>
        <w:rPr>
          <w:color w:val="auto"/>
          <w:highlight w:val="none"/>
        </w:rPr>
      </w:pPr>
    </w:p>
    <w:p w14:paraId="5393AFF2">
      <w:pPr>
        <w:pStyle w:val="5"/>
        <w:spacing w:line="253" w:lineRule="auto"/>
        <w:rPr>
          <w:color w:val="auto"/>
          <w:highlight w:val="none"/>
        </w:rPr>
      </w:pPr>
    </w:p>
    <w:p w14:paraId="6B5CA3C3">
      <w:pPr>
        <w:pStyle w:val="5"/>
        <w:spacing w:line="253" w:lineRule="auto"/>
        <w:rPr>
          <w:color w:val="auto"/>
          <w:highlight w:val="none"/>
        </w:rPr>
      </w:pPr>
    </w:p>
    <w:p w14:paraId="4EF35404">
      <w:pPr>
        <w:pStyle w:val="5"/>
        <w:spacing w:line="253" w:lineRule="auto"/>
        <w:rPr>
          <w:color w:val="auto"/>
          <w:highlight w:val="none"/>
        </w:rPr>
      </w:pPr>
    </w:p>
    <w:p w14:paraId="6E54A1E0">
      <w:pPr>
        <w:spacing w:before="172" w:line="219" w:lineRule="auto"/>
        <w:ind w:left="2856"/>
        <w:outlineLvl w:val="0"/>
        <w:rPr>
          <w:rFonts w:ascii="宋体" w:hAnsi="宋体" w:eastAsia="宋体" w:cs="宋体"/>
          <w:color w:val="auto"/>
          <w:sz w:val="30"/>
          <w:szCs w:val="30"/>
          <w:highlight w:val="none"/>
        </w:rPr>
      </w:pPr>
      <w:r>
        <w:rPr>
          <w:rFonts w:ascii="宋体" w:hAnsi="宋体" w:eastAsia="宋体" w:cs="宋体"/>
          <w:b/>
          <w:bCs/>
          <w:color w:val="auto"/>
          <w:spacing w:val="-3"/>
          <w:sz w:val="30"/>
          <w:szCs w:val="30"/>
          <w:highlight w:val="none"/>
        </w:rPr>
        <w:t>4.2</w:t>
      </w:r>
      <w:r>
        <w:rPr>
          <w:rFonts w:ascii="宋体" w:hAnsi="宋体" w:eastAsia="宋体" w:cs="宋体"/>
          <w:color w:val="auto"/>
          <w:spacing w:val="-3"/>
          <w:sz w:val="30"/>
          <w:szCs w:val="30"/>
          <w:highlight w:val="none"/>
        </w:rPr>
        <w:t xml:space="preserve"> </w:t>
      </w:r>
      <w:r>
        <w:rPr>
          <w:rFonts w:ascii="宋体" w:hAnsi="宋体" w:eastAsia="宋体" w:cs="宋体"/>
          <w:b/>
          <w:bCs/>
          <w:color w:val="auto"/>
          <w:spacing w:val="-3"/>
          <w:sz w:val="30"/>
          <w:szCs w:val="30"/>
          <w:highlight w:val="none"/>
        </w:rPr>
        <w:t>技术（实施）方案</w:t>
      </w:r>
    </w:p>
    <w:p w14:paraId="38CFFC00">
      <w:pPr>
        <w:spacing w:before="217" w:line="219" w:lineRule="auto"/>
        <w:ind w:left="2334"/>
        <w:outlineLvl w:val="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（供应商根据磋商文件要求自行编制）</w:t>
      </w:r>
    </w:p>
    <w:p w14:paraId="0C2888E4">
      <w:pPr>
        <w:pStyle w:val="5"/>
        <w:spacing w:line="244" w:lineRule="auto"/>
        <w:rPr>
          <w:color w:val="auto"/>
          <w:highlight w:val="none"/>
        </w:rPr>
      </w:pPr>
    </w:p>
    <w:p w14:paraId="15091F23">
      <w:pPr>
        <w:pStyle w:val="5"/>
        <w:spacing w:line="245" w:lineRule="auto"/>
        <w:rPr>
          <w:color w:val="auto"/>
          <w:highlight w:val="none"/>
        </w:rPr>
      </w:pPr>
    </w:p>
    <w:p w14:paraId="6F6B256C">
      <w:pPr>
        <w:pStyle w:val="5"/>
        <w:spacing w:line="245" w:lineRule="auto"/>
        <w:rPr>
          <w:color w:val="auto"/>
          <w:highlight w:val="none"/>
        </w:rPr>
      </w:pPr>
    </w:p>
    <w:p w14:paraId="133AAD13">
      <w:pPr>
        <w:pStyle w:val="5"/>
        <w:spacing w:line="245" w:lineRule="auto"/>
        <w:rPr>
          <w:color w:val="auto"/>
          <w:highlight w:val="none"/>
        </w:rPr>
      </w:pPr>
    </w:p>
    <w:p w14:paraId="4342CC98">
      <w:pPr>
        <w:pStyle w:val="5"/>
        <w:spacing w:line="245" w:lineRule="auto"/>
        <w:rPr>
          <w:color w:val="auto"/>
          <w:highlight w:val="none"/>
        </w:rPr>
      </w:pPr>
    </w:p>
    <w:p w14:paraId="660E1740">
      <w:pPr>
        <w:pStyle w:val="5"/>
        <w:spacing w:line="245" w:lineRule="auto"/>
        <w:rPr>
          <w:color w:val="auto"/>
          <w:highlight w:val="none"/>
        </w:rPr>
      </w:pPr>
    </w:p>
    <w:p w14:paraId="67102853">
      <w:pPr>
        <w:pStyle w:val="5"/>
        <w:spacing w:line="245" w:lineRule="auto"/>
        <w:rPr>
          <w:color w:val="auto"/>
          <w:highlight w:val="none"/>
        </w:rPr>
      </w:pPr>
    </w:p>
    <w:p w14:paraId="440A03D1">
      <w:pPr>
        <w:pStyle w:val="5"/>
        <w:spacing w:line="245" w:lineRule="auto"/>
        <w:rPr>
          <w:color w:val="auto"/>
          <w:highlight w:val="none"/>
        </w:rPr>
      </w:pPr>
    </w:p>
    <w:p w14:paraId="55D2102E">
      <w:pPr>
        <w:pStyle w:val="5"/>
        <w:spacing w:line="245" w:lineRule="auto"/>
        <w:rPr>
          <w:color w:val="auto"/>
          <w:highlight w:val="none"/>
        </w:rPr>
      </w:pPr>
    </w:p>
    <w:p w14:paraId="156CAF30">
      <w:pPr>
        <w:spacing w:before="172" w:line="220" w:lineRule="auto"/>
        <w:ind w:firstLine="3225" w:firstLineChars="1100"/>
        <w:outlineLvl w:val="0"/>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4.</w:t>
      </w:r>
      <w:r>
        <w:rPr>
          <w:rFonts w:hint="eastAsia" w:ascii="宋体" w:hAnsi="宋体" w:eastAsia="宋体" w:cs="宋体"/>
          <w:b/>
          <w:bCs/>
          <w:color w:val="auto"/>
          <w:spacing w:val="-4"/>
          <w:sz w:val="30"/>
          <w:szCs w:val="30"/>
          <w:highlight w:val="none"/>
          <w:lang w:val="en-US" w:eastAsia="zh-CN"/>
        </w:rPr>
        <w:t>3</w:t>
      </w:r>
      <w:r>
        <w:rPr>
          <w:rFonts w:ascii="宋体" w:hAnsi="宋体" w:eastAsia="宋体" w:cs="宋体"/>
          <w:b/>
          <w:bCs/>
          <w:color w:val="auto"/>
          <w:spacing w:val="-4"/>
          <w:sz w:val="30"/>
          <w:szCs w:val="30"/>
          <w:highlight w:val="none"/>
        </w:rPr>
        <w:t>业绩情况表</w:t>
      </w:r>
    </w:p>
    <w:p w14:paraId="3E27167F">
      <w:pPr>
        <w:spacing w:before="217" w:line="219" w:lineRule="auto"/>
        <w:ind w:left="12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项目编号：</w:t>
      </w:r>
    </w:p>
    <w:p w14:paraId="2207B0E5">
      <w:pPr>
        <w:spacing w:before="103" w:line="220" w:lineRule="auto"/>
        <w:ind w:left="12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项目名称：</w:t>
      </w:r>
    </w:p>
    <w:p w14:paraId="40E2EF90">
      <w:pPr>
        <w:spacing w:line="146" w:lineRule="exact"/>
        <w:rPr>
          <w:color w:val="auto"/>
          <w:highlight w:val="none"/>
        </w:rPr>
      </w:pPr>
    </w:p>
    <w:tbl>
      <w:tblPr>
        <w:tblStyle w:val="11"/>
        <w:tblW w:w="92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6"/>
        <w:gridCol w:w="1807"/>
        <w:gridCol w:w="3577"/>
        <w:gridCol w:w="1439"/>
        <w:gridCol w:w="1710"/>
      </w:tblGrid>
      <w:tr w14:paraId="5D695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716" w:type="dxa"/>
            <w:shd w:val="clear" w:color="auto" w:fill="F3F3F3"/>
            <w:vAlign w:val="top"/>
          </w:tcPr>
          <w:p w14:paraId="66BD5CD2">
            <w:pPr>
              <w:pStyle w:val="12"/>
              <w:spacing w:before="287" w:line="229" w:lineRule="auto"/>
              <w:ind w:left="152"/>
              <w:rPr>
                <w:color w:val="auto"/>
                <w:sz w:val="20"/>
                <w:szCs w:val="20"/>
                <w:highlight w:val="none"/>
              </w:rPr>
            </w:pPr>
            <w:r>
              <w:rPr>
                <w:b/>
                <w:bCs/>
                <w:color w:val="auto"/>
                <w:spacing w:val="4"/>
                <w:sz w:val="20"/>
                <w:szCs w:val="20"/>
                <w:highlight w:val="none"/>
              </w:rPr>
              <w:t>序号</w:t>
            </w:r>
          </w:p>
        </w:tc>
        <w:tc>
          <w:tcPr>
            <w:tcW w:w="1807" w:type="dxa"/>
            <w:shd w:val="clear" w:color="auto" w:fill="F3F3F3"/>
            <w:vAlign w:val="top"/>
          </w:tcPr>
          <w:p w14:paraId="559F3336">
            <w:pPr>
              <w:pStyle w:val="12"/>
              <w:spacing w:before="288" w:line="228" w:lineRule="auto"/>
              <w:ind w:left="277"/>
              <w:rPr>
                <w:color w:val="auto"/>
                <w:sz w:val="20"/>
                <w:szCs w:val="20"/>
                <w:highlight w:val="none"/>
              </w:rPr>
            </w:pPr>
            <w:r>
              <w:rPr>
                <w:b/>
                <w:bCs/>
                <w:color w:val="auto"/>
                <w:spacing w:val="6"/>
                <w:sz w:val="20"/>
                <w:szCs w:val="20"/>
                <w:highlight w:val="none"/>
              </w:rPr>
              <w:t>客户单位名称</w:t>
            </w:r>
          </w:p>
        </w:tc>
        <w:tc>
          <w:tcPr>
            <w:tcW w:w="3577" w:type="dxa"/>
            <w:shd w:val="clear" w:color="auto" w:fill="F3F3F3"/>
            <w:vAlign w:val="top"/>
          </w:tcPr>
          <w:p w14:paraId="4ECC7C1F">
            <w:pPr>
              <w:pStyle w:val="12"/>
              <w:spacing w:before="287" w:line="228" w:lineRule="auto"/>
              <w:ind w:left="850"/>
              <w:rPr>
                <w:color w:val="auto"/>
                <w:sz w:val="20"/>
                <w:szCs w:val="20"/>
                <w:highlight w:val="none"/>
              </w:rPr>
            </w:pPr>
            <w:r>
              <w:rPr>
                <w:b/>
                <w:bCs/>
                <w:color w:val="auto"/>
                <w:spacing w:val="7"/>
                <w:sz w:val="20"/>
                <w:szCs w:val="20"/>
                <w:highlight w:val="none"/>
              </w:rPr>
              <w:t>项目名称及主要内容</w:t>
            </w:r>
          </w:p>
        </w:tc>
        <w:tc>
          <w:tcPr>
            <w:tcW w:w="1439" w:type="dxa"/>
            <w:shd w:val="clear" w:color="auto" w:fill="F3F3F3"/>
            <w:vAlign w:val="top"/>
          </w:tcPr>
          <w:p w14:paraId="553CA7B8">
            <w:pPr>
              <w:pStyle w:val="12"/>
              <w:spacing w:before="131" w:line="290" w:lineRule="auto"/>
              <w:ind w:left="315" w:right="293" w:hanging="9"/>
              <w:rPr>
                <w:color w:val="auto"/>
                <w:sz w:val="20"/>
                <w:szCs w:val="20"/>
                <w:highlight w:val="none"/>
              </w:rPr>
            </w:pPr>
            <w:r>
              <w:rPr>
                <w:b/>
                <w:bCs/>
                <w:color w:val="auto"/>
                <w:spacing w:val="6"/>
                <w:sz w:val="20"/>
                <w:szCs w:val="20"/>
                <w:highlight w:val="none"/>
              </w:rPr>
              <w:t>合同金额</w:t>
            </w:r>
            <w:r>
              <w:rPr>
                <w:b/>
                <w:bCs/>
                <w:color w:val="auto"/>
                <w:spacing w:val="1"/>
                <w:sz w:val="20"/>
                <w:szCs w:val="20"/>
                <w:highlight w:val="none"/>
              </w:rPr>
              <w:t>（万元）</w:t>
            </w:r>
          </w:p>
        </w:tc>
        <w:tc>
          <w:tcPr>
            <w:tcW w:w="1710" w:type="dxa"/>
            <w:shd w:val="clear" w:color="auto" w:fill="F3F3F3"/>
            <w:vAlign w:val="top"/>
          </w:tcPr>
          <w:p w14:paraId="1941C5DE">
            <w:pPr>
              <w:pStyle w:val="12"/>
              <w:spacing w:before="287" w:line="230" w:lineRule="auto"/>
              <w:ind w:left="228"/>
              <w:rPr>
                <w:color w:val="auto"/>
                <w:sz w:val="20"/>
                <w:szCs w:val="20"/>
                <w:highlight w:val="none"/>
              </w:rPr>
            </w:pPr>
            <w:r>
              <w:rPr>
                <w:b/>
                <w:bCs/>
                <w:color w:val="auto"/>
                <w:spacing w:val="6"/>
                <w:sz w:val="20"/>
                <w:szCs w:val="20"/>
                <w:highlight w:val="none"/>
              </w:rPr>
              <w:t>联系人及电话</w:t>
            </w:r>
          </w:p>
        </w:tc>
      </w:tr>
      <w:tr w14:paraId="449D8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716" w:type="dxa"/>
            <w:vAlign w:val="top"/>
          </w:tcPr>
          <w:p w14:paraId="3FCB19F2">
            <w:pPr>
              <w:pStyle w:val="12"/>
              <w:spacing w:before="236" w:line="270" w:lineRule="exact"/>
              <w:ind w:left="325"/>
              <w:rPr>
                <w:color w:val="auto"/>
                <w:sz w:val="20"/>
                <w:szCs w:val="20"/>
                <w:highlight w:val="none"/>
              </w:rPr>
            </w:pPr>
            <w:r>
              <w:rPr>
                <w:color w:val="auto"/>
                <w:position w:val="1"/>
                <w:sz w:val="20"/>
                <w:szCs w:val="20"/>
                <w:highlight w:val="none"/>
              </w:rPr>
              <w:t>1</w:t>
            </w:r>
          </w:p>
        </w:tc>
        <w:tc>
          <w:tcPr>
            <w:tcW w:w="1807" w:type="dxa"/>
            <w:vAlign w:val="top"/>
          </w:tcPr>
          <w:p w14:paraId="2D4414BA">
            <w:pPr>
              <w:rPr>
                <w:rFonts w:ascii="Arial"/>
                <w:color w:val="auto"/>
                <w:sz w:val="21"/>
                <w:highlight w:val="none"/>
              </w:rPr>
            </w:pPr>
          </w:p>
        </w:tc>
        <w:tc>
          <w:tcPr>
            <w:tcW w:w="3577" w:type="dxa"/>
            <w:vAlign w:val="top"/>
          </w:tcPr>
          <w:p w14:paraId="655E72DB">
            <w:pPr>
              <w:rPr>
                <w:rFonts w:ascii="Arial"/>
                <w:color w:val="auto"/>
                <w:sz w:val="21"/>
                <w:highlight w:val="none"/>
              </w:rPr>
            </w:pPr>
          </w:p>
        </w:tc>
        <w:tc>
          <w:tcPr>
            <w:tcW w:w="1439" w:type="dxa"/>
            <w:vAlign w:val="top"/>
          </w:tcPr>
          <w:p w14:paraId="3A547740">
            <w:pPr>
              <w:rPr>
                <w:rFonts w:ascii="Arial"/>
                <w:color w:val="auto"/>
                <w:sz w:val="21"/>
                <w:highlight w:val="none"/>
              </w:rPr>
            </w:pPr>
          </w:p>
        </w:tc>
        <w:tc>
          <w:tcPr>
            <w:tcW w:w="1710" w:type="dxa"/>
            <w:vAlign w:val="top"/>
          </w:tcPr>
          <w:p w14:paraId="1E23B905">
            <w:pPr>
              <w:rPr>
                <w:rFonts w:ascii="Arial"/>
                <w:color w:val="auto"/>
                <w:sz w:val="21"/>
                <w:highlight w:val="none"/>
              </w:rPr>
            </w:pPr>
          </w:p>
        </w:tc>
      </w:tr>
      <w:tr w14:paraId="0CE24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716" w:type="dxa"/>
            <w:vAlign w:val="top"/>
          </w:tcPr>
          <w:p w14:paraId="543D8E83">
            <w:pPr>
              <w:pStyle w:val="12"/>
              <w:spacing w:before="235" w:line="270" w:lineRule="exact"/>
              <w:ind w:left="312"/>
              <w:rPr>
                <w:color w:val="auto"/>
                <w:sz w:val="20"/>
                <w:szCs w:val="20"/>
                <w:highlight w:val="none"/>
              </w:rPr>
            </w:pPr>
            <w:r>
              <w:rPr>
                <w:color w:val="auto"/>
                <w:position w:val="1"/>
                <w:sz w:val="20"/>
                <w:szCs w:val="20"/>
                <w:highlight w:val="none"/>
              </w:rPr>
              <w:t>2</w:t>
            </w:r>
          </w:p>
        </w:tc>
        <w:tc>
          <w:tcPr>
            <w:tcW w:w="1807" w:type="dxa"/>
            <w:vAlign w:val="top"/>
          </w:tcPr>
          <w:p w14:paraId="6271A6AC">
            <w:pPr>
              <w:rPr>
                <w:rFonts w:ascii="Arial"/>
                <w:color w:val="auto"/>
                <w:sz w:val="21"/>
                <w:highlight w:val="none"/>
              </w:rPr>
            </w:pPr>
          </w:p>
        </w:tc>
        <w:tc>
          <w:tcPr>
            <w:tcW w:w="3577" w:type="dxa"/>
            <w:vAlign w:val="top"/>
          </w:tcPr>
          <w:p w14:paraId="44340C04">
            <w:pPr>
              <w:rPr>
                <w:rFonts w:ascii="Arial"/>
                <w:color w:val="auto"/>
                <w:sz w:val="21"/>
                <w:highlight w:val="none"/>
              </w:rPr>
            </w:pPr>
          </w:p>
        </w:tc>
        <w:tc>
          <w:tcPr>
            <w:tcW w:w="1439" w:type="dxa"/>
            <w:vAlign w:val="top"/>
          </w:tcPr>
          <w:p w14:paraId="5462C7A8">
            <w:pPr>
              <w:rPr>
                <w:rFonts w:ascii="Arial"/>
                <w:color w:val="auto"/>
                <w:sz w:val="21"/>
                <w:highlight w:val="none"/>
              </w:rPr>
            </w:pPr>
          </w:p>
        </w:tc>
        <w:tc>
          <w:tcPr>
            <w:tcW w:w="1710" w:type="dxa"/>
            <w:vAlign w:val="top"/>
          </w:tcPr>
          <w:p w14:paraId="4B1DD714">
            <w:pPr>
              <w:rPr>
                <w:rFonts w:ascii="Arial"/>
                <w:color w:val="auto"/>
                <w:sz w:val="21"/>
                <w:highlight w:val="none"/>
              </w:rPr>
            </w:pPr>
          </w:p>
        </w:tc>
      </w:tr>
      <w:tr w14:paraId="53B1E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716" w:type="dxa"/>
            <w:vAlign w:val="top"/>
          </w:tcPr>
          <w:p w14:paraId="7B69991E">
            <w:pPr>
              <w:pStyle w:val="12"/>
              <w:spacing w:before="238" w:line="268" w:lineRule="exact"/>
              <w:ind w:left="313"/>
              <w:rPr>
                <w:color w:val="auto"/>
                <w:sz w:val="20"/>
                <w:szCs w:val="20"/>
                <w:highlight w:val="none"/>
              </w:rPr>
            </w:pPr>
            <w:r>
              <w:rPr>
                <w:color w:val="auto"/>
                <w:position w:val="1"/>
                <w:sz w:val="20"/>
                <w:szCs w:val="20"/>
                <w:highlight w:val="none"/>
              </w:rPr>
              <w:t>3</w:t>
            </w:r>
          </w:p>
        </w:tc>
        <w:tc>
          <w:tcPr>
            <w:tcW w:w="1807" w:type="dxa"/>
            <w:vAlign w:val="top"/>
          </w:tcPr>
          <w:p w14:paraId="2E9AFCC1">
            <w:pPr>
              <w:rPr>
                <w:rFonts w:ascii="Arial"/>
                <w:color w:val="auto"/>
                <w:sz w:val="21"/>
                <w:highlight w:val="none"/>
              </w:rPr>
            </w:pPr>
          </w:p>
        </w:tc>
        <w:tc>
          <w:tcPr>
            <w:tcW w:w="3577" w:type="dxa"/>
            <w:vAlign w:val="top"/>
          </w:tcPr>
          <w:p w14:paraId="442280CE">
            <w:pPr>
              <w:rPr>
                <w:rFonts w:ascii="Arial"/>
                <w:color w:val="auto"/>
                <w:sz w:val="21"/>
                <w:highlight w:val="none"/>
              </w:rPr>
            </w:pPr>
          </w:p>
        </w:tc>
        <w:tc>
          <w:tcPr>
            <w:tcW w:w="1439" w:type="dxa"/>
            <w:vAlign w:val="top"/>
          </w:tcPr>
          <w:p w14:paraId="1DBDB3B1">
            <w:pPr>
              <w:rPr>
                <w:rFonts w:ascii="Arial"/>
                <w:color w:val="auto"/>
                <w:sz w:val="21"/>
                <w:highlight w:val="none"/>
              </w:rPr>
            </w:pPr>
          </w:p>
        </w:tc>
        <w:tc>
          <w:tcPr>
            <w:tcW w:w="1710" w:type="dxa"/>
            <w:vAlign w:val="top"/>
          </w:tcPr>
          <w:p w14:paraId="4186739B">
            <w:pPr>
              <w:rPr>
                <w:rFonts w:ascii="Arial"/>
                <w:color w:val="auto"/>
                <w:sz w:val="21"/>
                <w:highlight w:val="none"/>
              </w:rPr>
            </w:pPr>
          </w:p>
        </w:tc>
      </w:tr>
      <w:tr w14:paraId="3D698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716" w:type="dxa"/>
            <w:vAlign w:val="top"/>
          </w:tcPr>
          <w:p w14:paraId="58BC63FE">
            <w:pPr>
              <w:pStyle w:val="12"/>
              <w:spacing w:before="237" w:line="270" w:lineRule="exact"/>
              <w:ind w:left="308"/>
              <w:rPr>
                <w:color w:val="auto"/>
                <w:sz w:val="20"/>
                <w:szCs w:val="20"/>
                <w:highlight w:val="none"/>
              </w:rPr>
            </w:pPr>
            <w:r>
              <w:rPr>
                <w:color w:val="auto"/>
                <w:position w:val="1"/>
                <w:sz w:val="20"/>
                <w:szCs w:val="20"/>
                <w:highlight w:val="none"/>
              </w:rPr>
              <w:t>4</w:t>
            </w:r>
          </w:p>
        </w:tc>
        <w:tc>
          <w:tcPr>
            <w:tcW w:w="1807" w:type="dxa"/>
            <w:vAlign w:val="top"/>
          </w:tcPr>
          <w:p w14:paraId="2D532D8E">
            <w:pPr>
              <w:rPr>
                <w:rFonts w:ascii="Arial"/>
                <w:color w:val="auto"/>
                <w:sz w:val="21"/>
                <w:highlight w:val="none"/>
              </w:rPr>
            </w:pPr>
          </w:p>
        </w:tc>
        <w:tc>
          <w:tcPr>
            <w:tcW w:w="3577" w:type="dxa"/>
            <w:vAlign w:val="top"/>
          </w:tcPr>
          <w:p w14:paraId="0F8DF11A">
            <w:pPr>
              <w:rPr>
                <w:rFonts w:ascii="Arial"/>
                <w:color w:val="auto"/>
                <w:sz w:val="21"/>
                <w:highlight w:val="none"/>
              </w:rPr>
            </w:pPr>
          </w:p>
        </w:tc>
        <w:tc>
          <w:tcPr>
            <w:tcW w:w="1439" w:type="dxa"/>
            <w:vAlign w:val="top"/>
          </w:tcPr>
          <w:p w14:paraId="09E70193">
            <w:pPr>
              <w:rPr>
                <w:rFonts w:ascii="Arial"/>
                <w:color w:val="auto"/>
                <w:sz w:val="21"/>
                <w:highlight w:val="none"/>
              </w:rPr>
            </w:pPr>
          </w:p>
        </w:tc>
        <w:tc>
          <w:tcPr>
            <w:tcW w:w="1710" w:type="dxa"/>
            <w:vAlign w:val="top"/>
          </w:tcPr>
          <w:p w14:paraId="3C6AE778">
            <w:pPr>
              <w:rPr>
                <w:rFonts w:ascii="Arial"/>
                <w:color w:val="auto"/>
                <w:sz w:val="21"/>
                <w:highlight w:val="none"/>
              </w:rPr>
            </w:pPr>
          </w:p>
        </w:tc>
      </w:tr>
      <w:tr w14:paraId="5DDF1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16" w:type="dxa"/>
            <w:vAlign w:val="top"/>
          </w:tcPr>
          <w:p w14:paraId="6084D7AB">
            <w:pPr>
              <w:pStyle w:val="12"/>
              <w:spacing w:before="240" w:line="324" w:lineRule="exact"/>
              <w:ind w:left="166"/>
              <w:rPr>
                <w:color w:val="auto"/>
                <w:sz w:val="20"/>
                <w:szCs w:val="20"/>
                <w:highlight w:val="none"/>
              </w:rPr>
            </w:pPr>
            <w:r>
              <w:rPr>
                <w:color w:val="auto"/>
                <w:spacing w:val="-2"/>
                <w:position w:val="2"/>
                <w:sz w:val="20"/>
                <w:szCs w:val="20"/>
                <w:highlight w:val="none"/>
              </w:rPr>
              <w:t>……</w:t>
            </w:r>
          </w:p>
        </w:tc>
        <w:tc>
          <w:tcPr>
            <w:tcW w:w="1807" w:type="dxa"/>
            <w:vAlign w:val="top"/>
          </w:tcPr>
          <w:p w14:paraId="026DC422">
            <w:pPr>
              <w:rPr>
                <w:rFonts w:ascii="Arial"/>
                <w:color w:val="auto"/>
                <w:sz w:val="21"/>
                <w:highlight w:val="none"/>
              </w:rPr>
            </w:pPr>
          </w:p>
        </w:tc>
        <w:tc>
          <w:tcPr>
            <w:tcW w:w="3577" w:type="dxa"/>
            <w:vAlign w:val="top"/>
          </w:tcPr>
          <w:p w14:paraId="792EAB54">
            <w:pPr>
              <w:rPr>
                <w:rFonts w:ascii="Arial"/>
                <w:color w:val="auto"/>
                <w:sz w:val="21"/>
                <w:highlight w:val="none"/>
              </w:rPr>
            </w:pPr>
          </w:p>
        </w:tc>
        <w:tc>
          <w:tcPr>
            <w:tcW w:w="1439" w:type="dxa"/>
            <w:vAlign w:val="top"/>
          </w:tcPr>
          <w:p w14:paraId="0C79CD22">
            <w:pPr>
              <w:rPr>
                <w:rFonts w:ascii="Arial"/>
                <w:color w:val="auto"/>
                <w:sz w:val="21"/>
                <w:highlight w:val="none"/>
              </w:rPr>
            </w:pPr>
          </w:p>
        </w:tc>
        <w:tc>
          <w:tcPr>
            <w:tcW w:w="1710" w:type="dxa"/>
            <w:vAlign w:val="top"/>
          </w:tcPr>
          <w:p w14:paraId="3B597969">
            <w:pPr>
              <w:rPr>
                <w:rFonts w:ascii="Arial"/>
                <w:color w:val="auto"/>
                <w:sz w:val="21"/>
                <w:highlight w:val="none"/>
              </w:rPr>
            </w:pPr>
          </w:p>
        </w:tc>
      </w:tr>
    </w:tbl>
    <w:p w14:paraId="4141C941">
      <w:pPr>
        <w:spacing w:before="192" w:line="219" w:lineRule="auto"/>
        <w:ind w:left="12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供应商（公章</w:t>
      </w:r>
      <w:r>
        <w:rPr>
          <w:rFonts w:ascii="宋体" w:hAnsi="宋体" w:eastAsia="宋体" w:cs="宋体"/>
          <w:color w:val="auto"/>
          <w:sz w:val="24"/>
          <w:szCs w:val="24"/>
          <w:highlight w:val="none"/>
        </w:rPr>
        <w:t>）：</w:t>
      </w:r>
    </w:p>
    <w:p w14:paraId="6D41E7B9">
      <w:pPr>
        <w:pStyle w:val="5"/>
        <w:spacing w:line="259" w:lineRule="auto"/>
        <w:rPr>
          <w:color w:val="auto"/>
          <w:highlight w:val="none"/>
        </w:rPr>
      </w:pPr>
    </w:p>
    <w:p w14:paraId="792AF9FC">
      <w:pPr>
        <w:spacing w:before="79" w:line="219" w:lineRule="auto"/>
        <w:ind w:left="121"/>
        <w:rPr>
          <w:rFonts w:ascii="宋体" w:hAnsi="宋体" w:eastAsia="宋体" w:cs="宋体"/>
          <w:color w:val="auto"/>
          <w:spacing w:val="7"/>
          <w:sz w:val="24"/>
          <w:szCs w:val="24"/>
          <w:highlight w:val="none"/>
        </w:rPr>
      </w:pPr>
      <w:r>
        <w:rPr>
          <w:rFonts w:ascii="宋体" w:hAnsi="宋体" w:eastAsia="宋体" w:cs="宋体"/>
          <w:color w:val="auto"/>
          <w:spacing w:val="-1"/>
          <w:sz w:val="24"/>
          <w:szCs w:val="24"/>
          <w:highlight w:val="none"/>
        </w:rPr>
        <w:t>供应商法定代表人（单位负责人）或授权代表（签字或盖章</w:t>
      </w:r>
      <w:r>
        <w:rPr>
          <w:rFonts w:ascii="宋体" w:hAnsi="宋体" w:eastAsia="宋体" w:cs="宋体"/>
          <w:color w:val="auto"/>
          <w:spacing w:val="7"/>
          <w:sz w:val="24"/>
          <w:szCs w:val="24"/>
          <w:highlight w:val="none"/>
        </w:rPr>
        <w:t>）：</w:t>
      </w:r>
    </w:p>
    <w:p w14:paraId="2D8D81D4">
      <w:pPr>
        <w:spacing w:before="79" w:line="219" w:lineRule="auto"/>
        <w:ind w:left="121"/>
        <w:rPr>
          <w:rFonts w:ascii="宋体" w:hAnsi="宋体" w:eastAsia="宋体" w:cs="宋体"/>
          <w:color w:val="auto"/>
          <w:spacing w:val="7"/>
          <w:sz w:val="24"/>
          <w:szCs w:val="24"/>
          <w:highlight w:val="none"/>
        </w:rPr>
      </w:pPr>
    </w:p>
    <w:p w14:paraId="62B86B19">
      <w:pPr>
        <w:spacing w:before="79" w:line="219" w:lineRule="auto"/>
        <w:ind w:left="121"/>
        <w:rPr>
          <w:rFonts w:ascii="宋体" w:hAnsi="宋体" w:eastAsia="宋体" w:cs="宋体"/>
          <w:color w:val="auto"/>
          <w:spacing w:val="7"/>
          <w:sz w:val="24"/>
          <w:szCs w:val="24"/>
          <w:highlight w:val="none"/>
        </w:rPr>
      </w:pPr>
    </w:p>
    <w:p w14:paraId="41AD9561">
      <w:pPr>
        <w:pStyle w:val="2"/>
        <w:rPr>
          <w:rFonts w:ascii="宋体" w:hAnsi="宋体" w:eastAsia="宋体" w:cs="宋体"/>
          <w:color w:val="auto"/>
          <w:spacing w:val="7"/>
          <w:sz w:val="24"/>
          <w:szCs w:val="24"/>
          <w:highlight w:val="none"/>
        </w:rPr>
      </w:pPr>
    </w:p>
    <w:p w14:paraId="6B845560">
      <w:pPr>
        <w:rPr>
          <w:color w:val="auto"/>
          <w:highlight w:val="none"/>
        </w:rPr>
      </w:pPr>
    </w:p>
    <w:p w14:paraId="1B3E329C">
      <w:pPr>
        <w:spacing w:before="102" w:line="225" w:lineRule="auto"/>
        <w:ind w:left="3390"/>
        <w:outlineLvl w:val="0"/>
        <w:rPr>
          <w:rFonts w:ascii="宋体" w:hAnsi="宋体" w:eastAsia="宋体" w:cs="宋体"/>
          <w:color w:val="auto"/>
          <w:sz w:val="31"/>
          <w:szCs w:val="31"/>
          <w:highlight w:val="none"/>
        </w:rPr>
      </w:pPr>
      <w:r>
        <w:rPr>
          <w:rFonts w:ascii="宋体" w:hAnsi="宋体" w:eastAsia="宋体" w:cs="宋体"/>
          <w:b/>
          <w:bCs/>
          <w:color w:val="auto"/>
          <w:spacing w:val="4"/>
          <w:sz w:val="31"/>
          <w:szCs w:val="31"/>
          <w:highlight w:val="none"/>
        </w:rPr>
        <w:t>4.4</w:t>
      </w:r>
      <w:r>
        <w:rPr>
          <w:rFonts w:ascii="宋体" w:hAnsi="宋体" w:eastAsia="宋体" w:cs="宋体"/>
          <w:color w:val="auto"/>
          <w:spacing w:val="4"/>
          <w:sz w:val="31"/>
          <w:szCs w:val="31"/>
          <w:highlight w:val="none"/>
        </w:rPr>
        <w:t xml:space="preserve">  </w:t>
      </w:r>
      <w:r>
        <w:rPr>
          <w:rFonts w:ascii="宋体" w:hAnsi="宋体" w:eastAsia="宋体" w:cs="宋体"/>
          <w:b/>
          <w:bCs/>
          <w:color w:val="auto"/>
          <w:spacing w:val="4"/>
          <w:sz w:val="31"/>
          <w:szCs w:val="31"/>
          <w:highlight w:val="none"/>
        </w:rPr>
        <w:t>服务承诺</w:t>
      </w:r>
    </w:p>
    <w:p w14:paraId="548EA802">
      <w:pPr>
        <w:spacing w:before="217" w:line="219" w:lineRule="auto"/>
        <w:ind w:left="2334"/>
        <w:outlineLvl w:val="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（供应商根据磋商文件要求自行编制）</w:t>
      </w:r>
    </w:p>
    <w:p w14:paraId="0F26B0C6">
      <w:pPr>
        <w:spacing w:before="79" w:line="219" w:lineRule="auto"/>
        <w:ind w:left="121"/>
        <w:rPr>
          <w:rFonts w:ascii="宋体" w:hAnsi="宋体" w:eastAsia="宋体" w:cs="宋体"/>
          <w:color w:val="auto"/>
          <w:spacing w:val="7"/>
          <w:sz w:val="24"/>
          <w:szCs w:val="24"/>
          <w:highlight w:val="none"/>
        </w:rPr>
      </w:pPr>
    </w:p>
    <w:p w14:paraId="26382532">
      <w:pPr>
        <w:spacing w:before="79" w:line="219" w:lineRule="auto"/>
        <w:ind w:left="121"/>
        <w:rPr>
          <w:rFonts w:ascii="宋体" w:hAnsi="宋体" w:eastAsia="宋体" w:cs="宋体"/>
          <w:color w:val="auto"/>
          <w:spacing w:val="7"/>
          <w:sz w:val="24"/>
          <w:szCs w:val="24"/>
          <w:highlight w:val="none"/>
        </w:rPr>
      </w:pPr>
    </w:p>
    <w:p w14:paraId="1F98CC6C">
      <w:pPr>
        <w:spacing w:before="79" w:line="219" w:lineRule="auto"/>
        <w:ind w:left="121"/>
        <w:rPr>
          <w:rFonts w:ascii="宋体" w:hAnsi="宋体" w:eastAsia="宋体" w:cs="宋体"/>
          <w:color w:val="auto"/>
          <w:spacing w:val="7"/>
          <w:sz w:val="24"/>
          <w:szCs w:val="24"/>
          <w:highlight w:val="none"/>
        </w:rPr>
      </w:pPr>
    </w:p>
    <w:p w14:paraId="282CB1FC">
      <w:pPr>
        <w:spacing w:before="79" w:line="219" w:lineRule="auto"/>
        <w:ind w:left="121"/>
        <w:rPr>
          <w:rFonts w:ascii="宋体" w:hAnsi="宋体" w:eastAsia="宋体" w:cs="宋体"/>
          <w:color w:val="auto"/>
          <w:spacing w:val="7"/>
          <w:sz w:val="24"/>
          <w:szCs w:val="24"/>
          <w:highlight w:val="none"/>
        </w:rPr>
      </w:pPr>
    </w:p>
    <w:p w14:paraId="6194F137">
      <w:pPr>
        <w:pStyle w:val="2"/>
        <w:rPr>
          <w:rFonts w:ascii="宋体" w:hAnsi="宋体" w:eastAsia="宋体" w:cs="宋体"/>
          <w:color w:val="auto"/>
          <w:spacing w:val="7"/>
          <w:sz w:val="24"/>
          <w:szCs w:val="24"/>
          <w:highlight w:val="none"/>
        </w:rPr>
      </w:pPr>
    </w:p>
    <w:p w14:paraId="3EA06934">
      <w:pPr>
        <w:spacing w:before="102" w:line="225" w:lineRule="auto"/>
        <w:ind w:left="3390"/>
        <w:outlineLvl w:val="0"/>
        <w:rPr>
          <w:rFonts w:hint="default" w:ascii="宋体" w:hAnsi="宋体" w:eastAsia="宋体" w:cs="宋体"/>
          <w:b/>
          <w:bCs/>
          <w:color w:val="auto"/>
          <w:spacing w:val="4"/>
          <w:sz w:val="31"/>
          <w:szCs w:val="31"/>
          <w:highlight w:val="none"/>
          <w:lang w:val="en-US" w:eastAsia="zh-CN"/>
        </w:rPr>
      </w:pPr>
      <w:r>
        <w:rPr>
          <w:rFonts w:hint="eastAsia" w:ascii="宋体" w:hAnsi="宋体" w:eastAsia="宋体" w:cs="宋体"/>
          <w:b/>
          <w:bCs/>
          <w:color w:val="auto"/>
          <w:spacing w:val="4"/>
          <w:sz w:val="31"/>
          <w:szCs w:val="31"/>
          <w:highlight w:val="none"/>
          <w:lang w:val="en-US" w:eastAsia="zh-CN"/>
        </w:rPr>
        <w:t>4.5管理人员配备</w:t>
      </w:r>
    </w:p>
    <w:p w14:paraId="2F1013D5">
      <w:pPr>
        <w:pStyle w:val="2"/>
        <w:rPr>
          <w:rFonts w:ascii="宋体" w:hAnsi="宋体" w:eastAsia="宋体" w:cs="宋体"/>
          <w:color w:val="auto"/>
          <w:spacing w:val="7"/>
          <w:sz w:val="24"/>
          <w:szCs w:val="24"/>
          <w:highlight w:val="none"/>
        </w:rPr>
      </w:pPr>
    </w:p>
    <w:p w14:paraId="689EBFED">
      <w:pPr>
        <w:spacing w:before="217" w:line="219" w:lineRule="auto"/>
        <w:ind w:left="2334"/>
        <w:outlineLvl w:val="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（供应商根据磋商文件要求自行编制）</w:t>
      </w:r>
    </w:p>
    <w:p w14:paraId="5E8DB299">
      <w:pPr>
        <w:rPr>
          <w:color w:val="auto"/>
          <w:highlight w:val="none"/>
        </w:rPr>
      </w:pPr>
    </w:p>
    <w:p w14:paraId="71A97B7A">
      <w:pPr>
        <w:pStyle w:val="2"/>
        <w:rPr>
          <w:color w:val="auto"/>
          <w:highlight w:val="none"/>
        </w:rPr>
      </w:pPr>
    </w:p>
    <w:p w14:paraId="7A8286B0">
      <w:pPr>
        <w:rPr>
          <w:color w:val="auto"/>
          <w:highlight w:val="none"/>
        </w:rPr>
      </w:pPr>
    </w:p>
    <w:p w14:paraId="325F844E">
      <w:pPr>
        <w:pStyle w:val="2"/>
        <w:rPr>
          <w:color w:val="auto"/>
          <w:highlight w:val="none"/>
        </w:rPr>
      </w:pPr>
    </w:p>
    <w:p w14:paraId="7F058128">
      <w:pPr>
        <w:rPr>
          <w:color w:val="auto"/>
          <w:highlight w:val="none"/>
        </w:rPr>
      </w:pPr>
    </w:p>
    <w:p w14:paraId="5C6C7C64">
      <w:pPr>
        <w:pStyle w:val="2"/>
        <w:rPr>
          <w:color w:val="auto"/>
          <w:highlight w:val="none"/>
        </w:rPr>
      </w:pPr>
    </w:p>
    <w:p w14:paraId="565AA7F3">
      <w:pPr>
        <w:spacing w:before="79" w:line="219" w:lineRule="auto"/>
        <w:ind w:left="121"/>
        <w:jc w:val="center"/>
        <w:rPr>
          <w:rFonts w:ascii="宋体" w:hAnsi="宋体" w:eastAsia="宋体" w:cs="宋体"/>
          <w:color w:val="auto"/>
          <w:sz w:val="35"/>
          <w:szCs w:val="35"/>
          <w:highlight w:val="none"/>
        </w:rPr>
      </w:pPr>
      <w:r>
        <w:rPr>
          <w:rFonts w:ascii="宋体" w:hAnsi="宋体" w:eastAsia="宋体" w:cs="宋体"/>
          <w:b/>
          <w:bCs/>
          <w:color w:val="auto"/>
          <w:spacing w:val="4"/>
          <w:sz w:val="35"/>
          <w:szCs w:val="35"/>
          <w:highlight w:val="none"/>
        </w:rPr>
        <w:t>五、其他资料（若有）</w:t>
      </w:r>
    </w:p>
    <w:p w14:paraId="74C862C1">
      <w:pPr>
        <w:pStyle w:val="5"/>
        <w:spacing w:line="255" w:lineRule="auto"/>
        <w:rPr>
          <w:color w:val="auto"/>
          <w:highlight w:val="none"/>
        </w:rPr>
      </w:pPr>
    </w:p>
    <w:p w14:paraId="550C53C0">
      <w:pPr>
        <w:pStyle w:val="5"/>
        <w:spacing w:line="255" w:lineRule="auto"/>
        <w:rPr>
          <w:color w:val="auto"/>
          <w:highlight w:val="none"/>
        </w:rPr>
      </w:pPr>
    </w:p>
    <w:p w14:paraId="4CFBC6D9">
      <w:pPr>
        <w:pStyle w:val="5"/>
        <w:spacing w:line="256" w:lineRule="auto"/>
        <w:rPr>
          <w:color w:val="auto"/>
          <w:highlight w:val="none"/>
        </w:rPr>
      </w:pPr>
    </w:p>
    <w:p w14:paraId="57FB4534">
      <w:pPr>
        <w:spacing w:before="91" w:line="219" w:lineRule="auto"/>
        <w:jc w:val="right"/>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除磋商文件另有规定外，供应商认为需要提交的其他证明材料或资料加</w:t>
      </w:r>
    </w:p>
    <w:p w14:paraId="6FCE6813">
      <w:pPr>
        <w:spacing w:before="291" w:line="219" w:lineRule="auto"/>
        <w:ind w:left="1810"/>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盖供应商的单位公章后应在此项下提交。</w:t>
      </w:r>
    </w:p>
    <w:sectPr>
      <w:footerReference r:id="rId55" w:type="default"/>
      <w:pgSz w:w="11906" w:h="16839"/>
      <w:pgMar w:top="1431" w:right="1595" w:bottom="1443" w:left="1623" w:header="0" w:footer="120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5D50F">
    <w:pPr>
      <w:spacing w:line="230" w:lineRule="exact"/>
      <w:ind w:left="4008"/>
      <w:rPr>
        <w:rFonts w:ascii="Calibri" w:hAnsi="Calibri" w:eastAsia="Calibri" w:cs="Calibri"/>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CF58F">
    <w:pPr>
      <w:spacing w:line="230" w:lineRule="exact"/>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7E0AD6">
                          <w:pPr>
                            <w:pStyle w:val="6"/>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1D7E0AD6">
                    <w:pPr>
                      <w:pStyle w:val="6"/>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E94E0">
    <w:pPr>
      <w:spacing w:line="230" w:lineRule="exact"/>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8D0091">
                          <w:pPr>
                            <w:pStyle w:val="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758D0091">
                    <w:pPr>
                      <w:pStyle w:val="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94654">
    <w:pPr>
      <w:spacing w:line="230" w:lineRule="exact"/>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6C7E51">
                          <w:pPr>
                            <w:pStyle w:val="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0B6C7E51">
                    <w:pPr>
                      <w:pStyle w:val="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17BB5">
    <w:pPr>
      <w:spacing w:line="230" w:lineRule="exact"/>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AEB6D">
                          <w:pPr>
                            <w:pStyle w:val="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485AEB6D">
                    <w:pPr>
                      <w:pStyle w:val="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0050B">
    <w:pPr>
      <w:spacing w:line="230" w:lineRule="exact"/>
      <w:ind w:left="4153"/>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257BB">
                          <w:pPr>
                            <w:pStyle w:val="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534257BB">
                    <w:pPr>
                      <w:pStyle w:val="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E4C6F">
    <w:pPr>
      <w:spacing w:line="230" w:lineRule="exact"/>
      <w:ind w:left="4153"/>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94A20A">
                          <w:pPr>
                            <w:pStyle w:val="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4194A20A">
                    <w:pPr>
                      <w:pStyle w:val="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415B8">
    <w:pPr>
      <w:spacing w:line="230" w:lineRule="exact"/>
      <w:ind w:left="4153"/>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46B172">
                          <w:pPr>
                            <w:pStyle w:val="6"/>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0E46B172">
                    <w:pPr>
                      <w:pStyle w:val="6"/>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A067F">
    <w:pPr>
      <w:spacing w:line="230" w:lineRule="exact"/>
      <w:ind w:left="4151"/>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AE6876">
                          <w:pPr>
                            <w:pStyle w:val="6"/>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14AE6876">
                    <w:pPr>
                      <w:pStyle w:val="6"/>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23FF5">
    <w:pPr>
      <w:spacing w:line="230" w:lineRule="exact"/>
      <w:ind w:left="4154"/>
      <w:rPr>
        <w:rFonts w:ascii="Calibri" w:hAnsi="Calibri" w:eastAsia="Calibri" w:cs="Calibri"/>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E2290B">
                          <w:pPr>
                            <w:pStyle w:val="6"/>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1DE2290B">
                    <w:pPr>
                      <w:pStyle w:val="6"/>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549B3">
    <w:pPr>
      <w:spacing w:line="230" w:lineRule="exact"/>
      <w:ind w:left="4153"/>
      <w:rPr>
        <w:rFonts w:ascii="Calibri" w:hAnsi="Calibri" w:eastAsia="Calibri" w:cs="Calibri"/>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167D43">
                          <w:pPr>
                            <w:pStyle w:val="6"/>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29167D43">
                    <w:pPr>
                      <w:pStyle w:val="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203A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4BEE9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554BEE9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38F4A">
    <w:pPr>
      <w:spacing w:line="230" w:lineRule="exact"/>
      <w:ind w:left="4154"/>
      <w:rPr>
        <w:rFonts w:ascii="Calibri" w:hAnsi="Calibri" w:eastAsia="Calibri" w:cs="Calibri"/>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BBDE5E">
                          <w:pPr>
                            <w:pStyle w:val="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3DBBDE5E">
                    <w:pPr>
                      <w:pStyle w:val="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855FE">
    <w:pPr>
      <w:spacing w:line="230" w:lineRule="exact"/>
      <w:ind w:left="4153"/>
      <w:rPr>
        <w:rFonts w:ascii="Calibri" w:hAnsi="Calibri" w:eastAsia="Calibri" w:cs="Calibri"/>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CBAB61">
                          <w:pPr>
                            <w:pStyle w:val="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37CBAB61">
                    <w:pPr>
                      <w:pStyle w:val="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D0A66">
    <w:pPr>
      <w:spacing w:line="230" w:lineRule="exact"/>
      <w:rPr>
        <w:rFonts w:ascii="Calibri" w:hAnsi="Calibri" w:eastAsia="Calibri" w:cs="Calibri"/>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6B88F2">
                          <w:pPr>
                            <w:pStyle w:val="6"/>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4D6B88F2">
                    <w:pPr>
                      <w:pStyle w:val="6"/>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B7718">
    <w:pPr>
      <w:spacing w:line="230" w:lineRule="exact"/>
      <w:rPr>
        <w:rFonts w:ascii="Calibri" w:hAnsi="Calibri" w:eastAsia="Calibri" w:cs="Calibri"/>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BDAAA">
                          <w:pPr>
                            <w:pStyle w:val="6"/>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159BDAAA">
                    <w:pPr>
                      <w:pStyle w:val="6"/>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8D43">
    <w:pPr>
      <w:spacing w:line="230" w:lineRule="exact"/>
      <w:rPr>
        <w:rFonts w:ascii="Calibri" w:hAnsi="Calibri" w:eastAsia="Calibri" w:cs="Calibri"/>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AD80FC">
                          <w:pPr>
                            <w:pStyle w:val="6"/>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07AD80FC">
                    <w:pPr>
                      <w:pStyle w:val="6"/>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DA6F2">
    <w:pPr>
      <w:spacing w:line="230" w:lineRule="exact"/>
      <w:rPr>
        <w:rFonts w:ascii="Calibri" w:hAnsi="Calibri" w:eastAsia="Calibri" w:cs="Calibri"/>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5C701D">
                          <w:pPr>
                            <w:pStyle w:val="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455C701D">
                    <w:pPr>
                      <w:pStyle w:val="6"/>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9509E">
    <w:pPr>
      <w:spacing w:line="230" w:lineRule="exact"/>
      <w:ind w:left="4154"/>
      <w:rPr>
        <w:rFonts w:ascii="Calibri" w:hAnsi="Calibri" w:eastAsia="Calibri" w:cs="Calibri"/>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230D1D">
                          <w:pPr>
                            <w:pStyle w:val="6"/>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4B230D1D">
                    <w:pPr>
                      <w:pStyle w:val="6"/>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8FD62">
    <w:pPr>
      <w:spacing w:line="230" w:lineRule="exact"/>
      <w:rPr>
        <w:rFonts w:ascii="Calibri" w:hAnsi="Calibri" w:eastAsia="Calibri" w:cs="Calibri"/>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1B6CF">
                          <w:pPr>
                            <w:pStyle w:val="6"/>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5AF1B6CF">
                    <w:pPr>
                      <w:pStyle w:val="6"/>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DE22A">
    <w:pPr>
      <w:spacing w:line="230" w:lineRule="exact"/>
      <w:ind w:left="4153"/>
      <w:rPr>
        <w:rFonts w:ascii="Calibri" w:hAnsi="Calibri" w:eastAsia="Calibri" w:cs="Calibri"/>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78AB1E">
                          <w:pPr>
                            <w:pStyle w:val="6"/>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5978AB1E">
                    <w:pPr>
                      <w:pStyle w:val="6"/>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BD865">
    <w:pPr>
      <w:spacing w:line="230" w:lineRule="exact"/>
      <w:ind w:left="4153"/>
      <w:rPr>
        <w:rFonts w:ascii="Calibri" w:hAnsi="Calibri" w:eastAsia="Calibri" w:cs="Calibri"/>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0296A">
                          <w:pPr>
                            <w:pStyle w:val="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2660296A">
                    <w:pPr>
                      <w:pStyle w:val="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397DE">
    <w:pPr>
      <w:spacing w:line="230" w:lineRule="exact"/>
      <w:ind w:left="4830"/>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7B3D5">
                          <w:pPr>
                            <w:pStyle w:val="6"/>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7B57B3D5">
                    <w:pPr>
                      <w:pStyle w:val="6"/>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2B187">
    <w:pPr>
      <w:spacing w:line="230" w:lineRule="exact"/>
      <w:ind w:left="4153"/>
      <w:rPr>
        <w:rFonts w:ascii="Calibri" w:hAnsi="Calibri" w:eastAsia="Calibri" w:cs="Calibri"/>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1DF25">
                          <w:pPr>
                            <w:pStyle w:val="6"/>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7E51DF25">
                    <w:pPr>
                      <w:pStyle w:val="6"/>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D894A">
    <w:pPr>
      <w:spacing w:line="230" w:lineRule="exact"/>
      <w:ind w:left="4315"/>
      <w:rPr>
        <w:rFonts w:ascii="Calibri" w:hAnsi="Calibri" w:eastAsia="Calibri" w:cs="Calibri"/>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FF774">
                          <w:pPr>
                            <w:pStyle w:val="6"/>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104FF774">
                    <w:pPr>
                      <w:pStyle w:val="6"/>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AA285">
    <w:pPr>
      <w:spacing w:line="230" w:lineRule="exact"/>
      <w:rPr>
        <w:rFonts w:ascii="Calibri" w:hAnsi="Calibri" w:eastAsia="Calibri" w:cs="Calibri"/>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348DA">
                          <w:pPr>
                            <w:pStyle w:val="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1F5348DA">
                    <w:pPr>
                      <w:pStyle w:val="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85167">
    <w:pPr>
      <w:spacing w:line="230" w:lineRule="exact"/>
      <w:rPr>
        <w:rFonts w:ascii="Calibri" w:hAnsi="Calibri" w:eastAsia="Calibri" w:cs="Calibri"/>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EBBCA">
                          <w:pPr>
                            <w:pStyle w:val="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646EBBCA">
                    <w:pPr>
                      <w:pStyle w:val="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57E6F">
    <w:pPr>
      <w:spacing w:line="230" w:lineRule="exact"/>
      <w:rPr>
        <w:rFonts w:ascii="Calibri" w:hAnsi="Calibri" w:eastAsia="Calibri" w:cs="Calibri"/>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A62639">
                          <w:pPr>
                            <w:pStyle w:val="6"/>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14:paraId="02A62639">
                    <w:pPr>
                      <w:pStyle w:val="6"/>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A61EA">
    <w:pPr>
      <w:spacing w:line="230" w:lineRule="exact"/>
      <w:ind w:left="4150"/>
      <w:rPr>
        <w:rFonts w:ascii="Calibri" w:hAnsi="Calibri" w:eastAsia="Calibri" w:cs="Calibri"/>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DB0F90">
                          <w:pPr>
                            <w:pStyle w:val="6"/>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79DB0F90">
                    <w:pPr>
                      <w:pStyle w:val="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01E79">
    <w:pPr>
      <w:pStyle w:val="5"/>
      <w:spacing w:line="14" w:lineRule="auto"/>
      <w:rPr>
        <w:sz w:val="2"/>
      </w:rPr>
    </w:pPr>
    <w:r>
      <w:rPr>
        <w:sz w:val="2"/>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2FBCD7">
                          <w:pPr>
                            <w:pStyle w:val="6"/>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2E2FBCD7">
                    <w:pPr>
                      <w:pStyle w:val="6"/>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09EEC">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02F028">
                          <w:pPr>
                            <w:pStyle w:val="6"/>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2402F028">
                    <w:pPr>
                      <w:pStyle w:val="6"/>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F5BC">
    <w:pPr>
      <w:spacing w:line="230" w:lineRule="exact"/>
      <w:ind w:left="3963"/>
      <w:rPr>
        <w:rFonts w:ascii="Calibri" w:hAnsi="Calibri" w:eastAsia="Calibri" w:cs="Calibri"/>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D61961">
                          <w:pPr>
                            <w:pStyle w:val="6"/>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14:paraId="30D61961">
                    <w:pPr>
                      <w:pStyle w:val="6"/>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89E79">
    <w:pPr>
      <w:spacing w:line="230" w:lineRule="exact"/>
      <w:ind w:left="3963"/>
      <w:rPr>
        <w:rFonts w:ascii="Calibri" w:hAnsi="Calibri" w:eastAsia="Calibri" w:cs="Calibri"/>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FAB372">
                          <w:pPr>
                            <w:pStyle w:val="6"/>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1BFAB372">
                    <w:pPr>
                      <w:pStyle w:val="6"/>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BFF5D">
    <w:pPr>
      <w:spacing w:line="230" w:lineRule="exact"/>
      <w:ind w:left="4830"/>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AA046E">
                          <w:pPr>
                            <w:pStyle w:val="6"/>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13AA046E">
                    <w:pPr>
                      <w:pStyle w:val="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AF2A2">
    <w:pPr>
      <w:spacing w:line="230" w:lineRule="exact"/>
      <w:ind w:left="4277"/>
      <w:rPr>
        <w:rFonts w:ascii="Calibri" w:hAnsi="Calibri" w:eastAsia="Calibri" w:cs="Calibri"/>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D1E1C">
                          <w:pPr>
                            <w:pStyle w:val="6"/>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14:paraId="57DD1E1C">
                    <w:pPr>
                      <w:pStyle w:val="6"/>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883A4">
    <w:pPr>
      <w:spacing w:line="230" w:lineRule="exact"/>
      <w:ind w:left="4155"/>
      <w:rPr>
        <w:rFonts w:ascii="Calibri" w:hAnsi="Calibri" w:eastAsia="Calibri" w:cs="Calibri"/>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E30CC">
                          <w:pPr>
                            <w:pStyle w:val="6"/>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14:paraId="60CE30CC">
                    <w:pPr>
                      <w:pStyle w:val="6"/>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004BF">
    <w:pPr>
      <w:spacing w:line="230" w:lineRule="exact"/>
      <w:ind w:left="4154"/>
      <w:rPr>
        <w:rFonts w:ascii="Calibri" w:hAnsi="Calibri" w:eastAsia="Calibri" w:cs="Calibri"/>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C784EA">
                          <w:pPr>
                            <w:pStyle w:val="6"/>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14:paraId="5DC784EA">
                    <w:pPr>
                      <w:pStyle w:val="6"/>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2732F">
    <w:pPr>
      <w:spacing w:line="230" w:lineRule="exact"/>
      <w:rPr>
        <w:rFonts w:ascii="Calibri" w:hAnsi="Calibri" w:eastAsia="Calibri" w:cs="Calibri"/>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BFEF62">
                          <w:pPr>
                            <w:pStyle w:val="6"/>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fill on="f" focussize="0,0"/>
              <v:stroke on="f" weight="0.5pt"/>
              <v:imagedata o:title=""/>
              <o:lock v:ext="edit" aspectratio="f"/>
              <v:textbox inset="0mm,0mm,0mm,0mm" style="mso-fit-shape-to-text:t;">
                <w:txbxContent>
                  <w:p w14:paraId="37BFEF62">
                    <w:pPr>
                      <w:pStyle w:val="6"/>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8E2A3">
    <w:pPr>
      <w:spacing w:line="230" w:lineRule="exact"/>
      <w:rPr>
        <w:rFonts w:ascii="Calibri" w:hAnsi="Calibri" w:eastAsia="Calibri" w:cs="Calibri"/>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06EB48">
                          <w:pPr>
                            <w:pStyle w:val="6"/>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fill on="f" focussize="0,0"/>
              <v:stroke on="f" weight="0.5pt"/>
              <v:imagedata o:title=""/>
              <o:lock v:ext="edit" aspectratio="f"/>
              <v:textbox inset="0mm,0mm,0mm,0mm" style="mso-fit-shape-to-text:t;">
                <w:txbxContent>
                  <w:p w14:paraId="6406EB48">
                    <w:pPr>
                      <w:pStyle w:val="6"/>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0C15D">
    <w:pPr>
      <w:spacing w:line="230" w:lineRule="exact"/>
      <w:rPr>
        <w:rFonts w:ascii="Calibri" w:hAnsi="Calibri" w:eastAsia="Calibri" w:cs="Calibri"/>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1A189E">
                          <w:pPr>
                            <w:pStyle w:val="6"/>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601A189E">
                    <w:pPr>
                      <w:pStyle w:val="6"/>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A2924">
    <w:pPr>
      <w:spacing w:line="230" w:lineRule="exact"/>
      <w:ind w:left="4154"/>
      <w:rPr>
        <w:rFonts w:ascii="Calibri" w:hAnsi="Calibri" w:eastAsia="Calibri" w:cs="Calibri"/>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C70A8C">
                          <w:pPr>
                            <w:pStyle w:val="6"/>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14:paraId="08C70A8C">
                    <w:pPr>
                      <w:pStyle w:val="6"/>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70414">
    <w:pPr>
      <w:spacing w:line="230" w:lineRule="exact"/>
      <w:ind w:left="4154"/>
      <w:rPr>
        <w:rFonts w:ascii="Calibri" w:hAnsi="Calibri" w:eastAsia="Calibri" w:cs="Calibri"/>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B99D9D">
                          <w:pPr>
                            <w:pStyle w:val="6"/>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GgdY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Qfr6n3VXUDv&#10;WRa2+sHymCYK6e3qECBm0jgK1KnS64buS1XqJyW295/7FP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hoHWNAIAAGUEAAAOAAAAAAAAAAEAIAAAAB8BAABkcnMvZTJvRG9jLnhtbFBL&#10;BQYAAAAABgAGAFkBAADFBQAAAAA=&#10;">
              <v:fill on="f" focussize="0,0"/>
              <v:stroke on="f" weight="0.5pt"/>
              <v:imagedata o:title=""/>
              <o:lock v:ext="edit" aspectratio="f"/>
              <v:textbox inset="0mm,0mm,0mm,0mm" style="mso-fit-shape-to-text:t;">
                <w:txbxContent>
                  <w:p w14:paraId="42B99D9D">
                    <w:pPr>
                      <w:pStyle w:val="6"/>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ED71F">
    <w:pPr>
      <w:spacing w:line="230" w:lineRule="exact"/>
      <w:ind w:left="4152"/>
      <w:rPr>
        <w:rFonts w:ascii="Calibri" w:hAnsi="Calibri" w:eastAsia="Calibri" w:cs="Calibri"/>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17D624">
                          <w:pPr>
                            <w:pStyle w:val="6"/>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fill on="f" focussize="0,0"/>
              <v:stroke on="f" weight="0.5pt"/>
              <v:imagedata o:title=""/>
              <o:lock v:ext="edit" aspectratio="f"/>
              <v:textbox inset="0mm,0mm,0mm,0mm" style="mso-fit-shape-to-text:t;">
                <w:txbxContent>
                  <w:p w14:paraId="1A17D624">
                    <w:pPr>
                      <w:pStyle w:val="6"/>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9E102">
    <w:pPr>
      <w:spacing w:line="230" w:lineRule="exact"/>
      <w:ind w:left="4153"/>
      <w:rPr>
        <w:rFonts w:ascii="Calibri" w:hAnsi="Calibri" w:eastAsia="Calibri" w:cs="Calibri"/>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3481E">
                          <w:pPr>
                            <w:pStyle w:val="6"/>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4zT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00NAIAAGUEAAAOAAAAAAAAAAEAIAAAAB8BAABkcnMvZTJvRG9jLnhtbFBL&#10;BQYAAAAABgAGAFkBAADFBQAAAAA=&#10;">
              <v:fill on="f" focussize="0,0"/>
              <v:stroke on="f" weight="0.5pt"/>
              <v:imagedata o:title=""/>
              <o:lock v:ext="edit" aspectratio="f"/>
              <v:textbox inset="0mm,0mm,0mm,0mm" style="mso-fit-shape-to-text:t;">
                <w:txbxContent>
                  <w:p w14:paraId="5F73481E">
                    <w:pPr>
                      <w:pStyle w:val="6"/>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5F36A">
    <w:pPr>
      <w:spacing w:line="230" w:lineRule="exact"/>
      <w:ind w:left="4830"/>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C4FE2D">
                          <w:pPr>
                            <w:pStyle w:val="6"/>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42C4FE2D">
                    <w:pPr>
                      <w:pStyle w:val="6"/>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27B93">
    <w:pPr>
      <w:spacing w:line="230" w:lineRule="exact"/>
      <w:ind w:left="4144"/>
      <w:rPr>
        <w:rFonts w:ascii="Calibri" w:hAnsi="Calibri" w:eastAsia="Calibri" w:cs="Calibri"/>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80BC5D">
                          <w:pPr>
                            <w:pStyle w:val="6"/>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p w14:paraId="1C80BC5D">
                    <w:pPr>
                      <w:pStyle w:val="6"/>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077A6">
    <w:pPr>
      <w:spacing w:line="230" w:lineRule="exact"/>
      <w:ind w:left="4124"/>
      <w:rPr>
        <w:rFonts w:ascii="Calibri" w:hAnsi="Calibri" w:eastAsia="Calibri" w:cs="Calibri"/>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673070">
                          <w:pPr>
                            <w:pStyle w:val="6"/>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14:paraId="6A673070">
                    <w:pPr>
                      <w:pStyle w:val="6"/>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89305">
    <w:pPr>
      <w:spacing w:line="230" w:lineRule="exact"/>
      <w:ind w:left="4830"/>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A58128">
                          <w:pPr>
                            <w:pStyle w:val="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02A58128">
                    <w:pPr>
                      <w:pStyle w:val="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950F1">
    <w:pPr>
      <w:spacing w:line="230" w:lineRule="exact"/>
      <w:ind w:left="4830"/>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5F2911">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1A5F2911">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2985E">
    <w:pPr>
      <w:spacing w:line="230" w:lineRule="exact"/>
      <w:ind w:left="4830"/>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A89BE7">
                          <w:pPr>
                            <w:pStyle w:val="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2CA89BE7">
                    <w:pPr>
                      <w:pStyle w:val="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22F38">
    <w:pPr>
      <w:spacing w:line="230" w:lineRule="exact"/>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3FCD06">
                          <w:pPr>
                            <w:pStyle w:val="6"/>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7C3FCD06">
                    <w:pPr>
                      <w:pStyle w:val="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FC1A3F"/>
    <w:multiLevelType w:val="singleLevel"/>
    <w:tmpl w:val="09FC1A3F"/>
    <w:lvl w:ilvl="0" w:tentative="0">
      <w:start w:val="5"/>
      <w:numFmt w:val="decimal"/>
      <w:suff w:val="nothing"/>
      <w:lvlText w:val="%1、"/>
      <w:lvlJc w:val="left"/>
    </w:lvl>
  </w:abstractNum>
  <w:abstractNum w:abstractNumId="1">
    <w:nsid w:val="60600D80"/>
    <w:multiLevelType w:val="multilevel"/>
    <w:tmpl w:val="60600D80"/>
    <w:lvl w:ilvl="0" w:tentative="0">
      <w:start w:val="1"/>
      <w:numFmt w:val="bullet"/>
      <w:pStyle w:val="3"/>
      <w:lvlText w:val=""/>
      <w:lvlJc w:val="left"/>
      <w:pPr>
        <w:tabs>
          <w:tab w:val="left" w:pos="-5"/>
        </w:tabs>
        <w:ind w:left="-5" w:hanging="420"/>
      </w:pPr>
      <w:rPr>
        <w:rFonts w:hint="default" w:ascii="Wingdings" w:hAnsi="Wingdings"/>
      </w:rPr>
    </w:lvl>
    <w:lvl w:ilvl="1" w:tentative="0">
      <w:start w:val="1"/>
      <w:numFmt w:val="decimal"/>
      <w:isLgl/>
      <w:lvlText w:val="%1.%2"/>
      <w:lvlJc w:val="left"/>
      <w:pPr>
        <w:tabs>
          <w:tab w:val="left" w:pos="567"/>
        </w:tabs>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1559"/>
        </w:tabs>
        <w:ind w:left="1559" w:hanging="708"/>
      </w:pPr>
      <w:rPr>
        <w:rFonts w:hint="eastAsia"/>
      </w:rPr>
    </w:lvl>
    <w:lvl w:ilvl="4" w:tentative="0">
      <w:start w:val="1"/>
      <w:numFmt w:val="decimal"/>
      <w:lvlText w:val="%1.%2.%3.%4.%5"/>
      <w:lvlJc w:val="left"/>
      <w:pPr>
        <w:tabs>
          <w:tab w:val="left" w:pos="2126"/>
        </w:tabs>
        <w:ind w:left="2126" w:hanging="850"/>
      </w:pPr>
      <w:rPr>
        <w:rFonts w:hint="eastAsia"/>
      </w:rPr>
    </w:lvl>
    <w:lvl w:ilvl="5" w:tentative="0">
      <w:start w:val="1"/>
      <w:numFmt w:val="decimal"/>
      <w:lvlText w:val="%1.%2.%3.%4.%5.%6"/>
      <w:lvlJc w:val="left"/>
      <w:pPr>
        <w:tabs>
          <w:tab w:val="left" w:pos="2835"/>
        </w:tabs>
        <w:ind w:left="2835" w:hanging="1134"/>
      </w:pPr>
      <w:rPr>
        <w:rFonts w:hint="eastAsia"/>
      </w:rPr>
    </w:lvl>
    <w:lvl w:ilvl="6" w:tentative="0">
      <w:start w:val="1"/>
      <w:numFmt w:val="decimal"/>
      <w:lvlText w:val="%1.%2.%3.%4.%5.%6.%7"/>
      <w:lvlJc w:val="left"/>
      <w:pPr>
        <w:tabs>
          <w:tab w:val="left" w:pos="3402"/>
        </w:tabs>
        <w:ind w:left="3402" w:hanging="1276"/>
      </w:pPr>
      <w:rPr>
        <w:rFonts w:hint="eastAsia"/>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FC3E1B"/>
    <w:rsid w:val="02BD7B8B"/>
    <w:rsid w:val="02D768EE"/>
    <w:rsid w:val="032B6C3A"/>
    <w:rsid w:val="0335536C"/>
    <w:rsid w:val="037E456C"/>
    <w:rsid w:val="03A03184"/>
    <w:rsid w:val="03A2514E"/>
    <w:rsid w:val="03EA08A3"/>
    <w:rsid w:val="051C4A8C"/>
    <w:rsid w:val="059C18BA"/>
    <w:rsid w:val="06565D7C"/>
    <w:rsid w:val="069845E6"/>
    <w:rsid w:val="07397B77"/>
    <w:rsid w:val="077B7FB0"/>
    <w:rsid w:val="07E35D35"/>
    <w:rsid w:val="07ED25AB"/>
    <w:rsid w:val="08395955"/>
    <w:rsid w:val="0878647D"/>
    <w:rsid w:val="08DA0EE6"/>
    <w:rsid w:val="09AB2883"/>
    <w:rsid w:val="09ED2E9B"/>
    <w:rsid w:val="0A64315D"/>
    <w:rsid w:val="0B137E4E"/>
    <w:rsid w:val="0B582596"/>
    <w:rsid w:val="0B8F3E6D"/>
    <w:rsid w:val="0C6A2581"/>
    <w:rsid w:val="0CAE0BF3"/>
    <w:rsid w:val="0CE02843"/>
    <w:rsid w:val="0CE20369"/>
    <w:rsid w:val="0D004C93"/>
    <w:rsid w:val="0D2E1801"/>
    <w:rsid w:val="0DDA7292"/>
    <w:rsid w:val="0DF540CC"/>
    <w:rsid w:val="0E082052"/>
    <w:rsid w:val="0E4D215A"/>
    <w:rsid w:val="0EDD34DE"/>
    <w:rsid w:val="111F7DDE"/>
    <w:rsid w:val="114A472F"/>
    <w:rsid w:val="115A7068"/>
    <w:rsid w:val="11694C99"/>
    <w:rsid w:val="11965BC6"/>
    <w:rsid w:val="122A278C"/>
    <w:rsid w:val="12BC340B"/>
    <w:rsid w:val="136F66CF"/>
    <w:rsid w:val="138008DC"/>
    <w:rsid w:val="145F7B80"/>
    <w:rsid w:val="14641FAC"/>
    <w:rsid w:val="14863CD0"/>
    <w:rsid w:val="14883EEC"/>
    <w:rsid w:val="14BB6361"/>
    <w:rsid w:val="14C30A80"/>
    <w:rsid w:val="14EF7AC7"/>
    <w:rsid w:val="15787ABD"/>
    <w:rsid w:val="159D380D"/>
    <w:rsid w:val="160E6673"/>
    <w:rsid w:val="16704C38"/>
    <w:rsid w:val="169326D4"/>
    <w:rsid w:val="16BF34C9"/>
    <w:rsid w:val="1703785A"/>
    <w:rsid w:val="170610F8"/>
    <w:rsid w:val="172B0B5F"/>
    <w:rsid w:val="1767603B"/>
    <w:rsid w:val="17A038D0"/>
    <w:rsid w:val="17AF353E"/>
    <w:rsid w:val="17B84AE8"/>
    <w:rsid w:val="1853036D"/>
    <w:rsid w:val="188B6471"/>
    <w:rsid w:val="18BE612E"/>
    <w:rsid w:val="197902A7"/>
    <w:rsid w:val="199B021E"/>
    <w:rsid w:val="19BC1F42"/>
    <w:rsid w:val="1A4C32C6"/>
    <w:rsid w:val="1B487F31"/>
    <w:rsid w:val="1B8F3DB2"/>
    <w:rsid w:val="1BC3478C"/>
    <w:rsid w:val="1BC82E20"/>
    <w:rsid w:val="1BF87F24"/>
    <w:rsid w:val="1C00080C"/>
    <w:rsid w:val="1C4E77C9"/>
    <w:rsid w:val="1CDE345E"/>
    <w:rsid w:val="1D0C4F8F"/>
    <w:rsid w:val="1D65301C"/>
    <w:rsid w:val="1D750D86"/>
    <w:rsid w:val="1DC51D0D"/>
    <w:rsid w:val="1EB12291"/>
    <w:rsid w:val="1FA45952"/>
    <w:rsid w:val="20210D51"/>
    <w:rsid w:val="20270A5D"/>
    <w:rsid w:val="20362B8D"/>
    <w:rsid w:val="207E43F5"/>
    <w:rsid w:val="20847C5E"/>
    <w:rsid w:val="210E39CB"/>
    <w:rsid w:val="22565DD3"/>
    <w:rsid w:val="2265761B"/>
    <w:rsid w:val="22754013"/>
    <w:rsid w:val="23541BFF"/>
    <w:rsid w:val="24030E99"/>
    <w:rsid w:val="252B7EB5"/>
    <w:rsid w:val="27076EF2"/>
    <w:rsid w:val="275F5AB1"/>
    <w:rsid w:val="2790513A"/>
    <w:rsid w:val="27C0557B"/>
    <w:rsid w:val="297F5466"/>
    <w:rsid w:val="299B7DC6"/>
    <w:rsid w:val="29BF5492"/>
    <w:rsid w:val="29C64FDC"/>
    <w:rsid w:val="29FE32E9"/>
    <w:rsid w:val="2A6C52BE"/>
    <w:rsid w:val="2A895E70"/>
    <w:rsid w:val="2BAF7B59"/>
    <w:rsid w:val="2C496CF0"/>
    <w:rsid w:val="2C657E08"/>
    <w:rsid w:val="2C9254B0"/>
    <w:rsid w:val="2CA45415"/>
    <w:rsid w:val="2CC80ED2"/>
    <w:rsid w:val="2D1B36F8"/>
    <w:rsid w:val="2D5409B8"/>
    <w:rsid w:val="2D872B3B"/>
    <w:rsid w:val="2E0C3040"/>
    <w:rsid w:val="2E1D6FFC"/>
    <w:rsid w:val="2E813A2E"/>
    <w:rsid w:val="2E8157DC"/>
    <w:rsid w:val="2E8B21B7"/>
    <w:rsid w:val="2F2820FC"/>
    <w:rsid w:val="30085A89"/>
    <w:rsid w:val="305F1B4D"/>
    <w:rsid w:val="31093867"/>
    <w:rsid w:val="31347487"/>
    <w:rsid w:val="32144BB9"/>
    <w:rsid w:val="325D030E"/>
    <w:rsid w:val="32F80037"/>
    <w:rsid w:val="33E16D1D"/>
    <w:rsid w:val="33EF4F96"/>
    <w:rsid w:val="3437693D"/>
    <w:rsid w:val="34841945"/>
    <w:rsid w:val="349873DC"/>
    <w:rsid w:val="34CB5AE2"/>
    <w:rsid w:val="34E97C37"/>
    <w:rsid w:val="34F353CC"/>
    <w:rsid w:val="350C7DCA"/>
    <w:rsid w:val="35441312"/>
    <w:rsid w:val="35523A2F"/>
    <w:rsid w:val="3578720D"/>
    <w:rsid w:val="35B50461"/>
    <w:rsid w:val="35C47314"/>
    <w:rsid w:val="38934A8A"/>
    <w:rsid w:val="3894610C"/>
    <w:rsid w:val="390F7E89"/>
    <w:rsid w:val="39B36A66"/>
    <w:rsid w:val="39F96B6F"/>
    <w:rsid w:val="3AF37A62"/>
    <w:rsid w:val="3B265EF7"/>
    <w:rsid w:val="3B2A0FAA"/>
    <w:rsid w:val="3B3A4078"/>
    <w:rsid w:val="3B694BE1"/>
    <w:rsid w:val="3BAC19BF"/>
    <w:rsid w:val="3C1F0432"/>
    <w:rsid w:val="3C6F09C7"/>
    <w:rsid w:val="3C9E1C4F"/>
    <w:rsid w:val="3D600CB3"/>
    <w:rsid w:val="3DE73182"/>
    <w:rsid w:val="3E8B07C8"/>
    <w:rsid w:val="3FE0432D"/>
    <w:rsid w:val="3FEC4A80"/>
    <w:rsid w:val="40073668"/>
    <w:rsid w:val="408B4299"/>
    <w:rsid w:val="40D66347"/>
    <w:rsid w:val="40DA0D7C"/>
    <w:rsid w:val="41765BEF"/>
    <w:rsid w:val="41A970CC"/>
    <w:rsid w:val="41CF6407"/>
    <w:rsid w:val="423151F1"/>
    <w:rsid w:val="42BE0955"/>
    <w:rsid w:val="42C83582"/>
    <w:rsid w:val="445D419E"/>
    <w:rsid w:val="446472DA"/>
    <w:rsid w:val="44F93EC7"/>
    <w:rsid w:val="4521341D"/>
    <w:rsid w:val="454A1AE7"/>
    <w:rsid w:val="45813806"/>
    <w:rsid w:val="45B002FD"/>
    <w:rsid w:val="468F05E0"/>
    <w:rsid w:val="46CC1167"/>
    <w:rsid w:val="4723347D"/>
    <w:rsid w:val="472B2331"/>
    <w:rsid w:val="47A65E5C"/>
    <w:rsid w:val="48166B3E"/>
    <w:rsid w:val="484C6A03"/>
    <w:rsid w:val="48BB76E5"/>
    <w:rsid w:val="48DA400F"/>
    <w:rsid w:val="491312CF"/>
    <w:rsid w:val="49F83B66"/>
    <w:rsid w:val="4A201EF6"/>
    <w:rsid w:val="4A205A52"/>
    <w:rsid w:val="4B35552D"/>
    <w:rsid w:val="4B674615"/>
    <w:rsid w:val="4B871B00"/>
    <w:rsid w:val="4B991F60"/>
    <w:rsid w:val="4C33136B"/>
    <w:rsid w:val="4C3752D5"/>
    <w:rsid w:val="4CD34FFD"/>
    <w:rsid w:val="4D1216E3"/>
    <w:rsid w:val="4D9C7AE5"/>
    <w:rsid w:val="4E29093D"/>
    <w:rsid w:val="4E6F0D56"/>
    <w:rsid w:val="4EA604F0"/>
    <w:rsid w:val="4ED11A10"/>
    <w:rsid w:val="4EFE032C"/>
    <w:rsid w:val="4F0E5830"/>
    <w:rsid w:val="4F7A01C0"/>
    <w:rsid w:val="4FC6709B"/>
    <w:rsid w:val="4FF84D7B"/>
    <w:rsid w:val="4FFE6835"/>
    <w:rsid w:val="50D41344"/>
    <w:rsid w:val="50EA0B67"/>
    <w:rsid w:val="51583D23"/>
    <w:rsid w:val="51954F77"/>
    <w:rsid w:val="52FE4D9E"/>
    <w:rsid w:val="533D4A63"/>
    <w:rsid w:val="53E93358"/>
    <w:rsid w:val="53FA5565"/>
    <w:rsid w:val="544762D1"/>
    <w:rsid w:val="545A4256"/>
    <w:rsid w:val="54905ECA"/>
    <w:rsid w:val="549C486F"/>
    <w:rsid w:val="54AB5BF1"/>
    <w:rsid w:val="560B3A5A"/>
    <w:rsid w:val="5701492B"/>
    <w:rsid w:val="57120E18"/>
    <w:rsid w:val="572172AD"/>
    <w:rsid w:val="580E7831"/>
    <w:rsid w:val="583D3C73"/>
    <w:rsid w:val="58F72073"/>
    <w:rsid w:val="593A7665"/>
    <w:rsid w:val="5AE754A4"/>
    <w:rsid w:val="5AED7BD2"/>
    <w:rsid w:val="5B101B12"/>
    <w:rsid w:val="5B184523"/>
    <w:rsid w:val="5B863B83"/>
    <w:rsid w:val="5C225659"/>
    <w:rsid w:val="5C6A5252"/>
    <w:rsid w:val="5C8A1451"/>
    <w:rsid w:val="5CDD3C76"/>
    <w:rsid w:val="5D2B2C34"/>
    <w:rsid w:val="5E070FAB"/>
    <w:rsid w:val="5F697A43"/>
    <w:rsid w:val="5FBF679C"/>
    <w:rsid w:val="5FFB4B3F"/>
    <w:rsid w:val="610E08A2"/>
    <w:rsid w:val="61614E76"/>
    <w:rsid w:val="61A134C4"/>
    <w:rsid w:val="61FE0917"/>
    <w:rsid w:val="62612C54"/>
    <w:rsid w:val="628506F0"/>
    <w:rsid w:val="62B73763"/>
    <w:rsid w:val="639F57E1"/>
    <w:rsid w:val="64265F03"/>
    <w:rsid w:val="64357EF4"/>
    <w:rsid w:val="644C14E9"/>
    <w:rsid w:val="64D94D23"/>
    <w:rsid w:val="65143FAD"/>
    <w:rsid w:val="65420B1A"/>
    <w:rsid w:val="65837C89"/>
    <w:rsid w:val="658A426F"/>
    <w:rsid w:val="669730E8"/>
    <w:rsid w:val="66D65076"/>
    <w:rsid w:val="66E05D3F"/>
    <w:rsid w:val="6739419F"/>
    <w:rsid w:val="67787CAA"/>
    <w:rsid w:val="67917B37"/>
    <w:rsid w:val="67B53825"/>
    <w:rsid w:val="67F325A0"/>
    <w:rsid w:val="68FB5BB0"/>
    <w:rsid w:val="692F7608"/>
    <w:rsid w:val="69A27DD9"/>
    <w:rsid w:val="69CC4E56"/>
    <w:rsid w:val="69DF47A3"/>
    <w:rsid w:val="6A6A3304"/>
    <w:rsid w:val="6B817C70"/>
    <w:rsid w:val="6B882FFF"/>
    <w:rsid w:val="6BC7335C"/>
    <w:rsid w:val="6C8E0AE9"/>
    <w:rsid w:val="6D8603D6"/>
    <w:rsid w:val="6DC81DD9"/>
    <w:rsid w:val="6E1312A6"/>
    <w:rsid w:val="6E511DCE"/>
    <w:rsid w:val="6E8B52E0"/>
    <w:rsid w:val="6F045092"/>
    <w:rsid w:val="6F241291"/>
    <w:rsid w:val="6F394D3C"/>
    <w:rsid w:val="6FC767EC"/>
    <w:rsid w:val="6FE253D4"/>
    <w:rsid w:val="701B4AE6"/>
    <w:rsid w:val="71F47640"/>
    <w:rsid w:val="720D24B0"/>
    <w:rsid w:val="72937C5E"/>
    <w:rsid w:val="729C3F60"/>
    <w:rsid w:val="7366631C"/>
    <w:rsid w:val="73C13552"/>
    <w:rsid w:val="74634609"/>
    <w:rsid w:val="74D53759"/>
    <w:rsid w:val="74D647A6"/>
    <w:rsid w:val="757765BE"/>
    <w:rsid w:val="757C3BD5"/>
    <w:rsid w:val="75A804DF"/>
    <w:rsid w:val="75FC4D15"/>
    <w:rsid w:val="76A5715B"/>
    <w:rsid w:val="76CA6BC2"/>
    <w:rsid w:val="78054355"/>
    <w:rsid w:val="792E51E6"/>
    <w:rsid w:val="79393B8B"/>
    <w:rsid w:val="795A5FDB"/>
    <w:rsid w:val="79C124FE"/>
    <w:rsid w:val="7A3507F6"/>
    <w:rsid w:val="7B615D46"/>
    <w:rsid w:val="7B7315D6"/>
    <w:rsid w:val="7B9854E0"/>
    <w:rsid w:val="7BB9769B"/>
    <w:rsid w:val="7C653614"/>
    <w:rsid w:val="7D43322A"/>
    <w:rsid w:val="7E95503D"/>
    <w:rsid w:val="7E9E4BBC"/>
    <w:rsid w:val="7EBE525E"/>
    <w:rsid w:val="7F6E58CD"/>
    <w:rsid w:val="7FAC13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numPr>
        <w:ilvl w:val="0"/>
        <w:numId w:val="0"/>
      </w:numPr>
      <w:spacing w:after="120"/>
      <w:ind w:left="420" w:leftChars="200" w:firstLine="420" w:firstLineChars="200"/>
    </w:pPr>
  </w:style>
  <w:style w:type="paragraph" w:styleId="3">
    <w:name w:val="Body Text Indent"/>
    <w:basedOn w:val="1"/>
    <w:next w:val="4"/>
    <w:qFormat/>
    <w:uiPriority w:val="0"/>
    <w:pPr>
      <w:numPr>
        <w:ilvl w:val="0"/>
        <w:numId w:val="1"/>
      </w:numPr>
      <w:tabs>
        <w:tab w:val="clear" w:pos="-5"/>
      </w:tabs>
      <w:ind w:left="0" w:firstLine="420"/>
    </w:pPr>
  </w:style>
  <w:style w:type="paragraph" w:styleId="4">
    <w:name w:val="envelope return"/>
    <w:basedOn w:val="1"/>
    <w:qFormat/>
    <w:uiPriority w:val="99"/>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8" Type="http://schemas.openxmlformats.org/officeDocument/2006/relationships/fontTable" Target="fontTable.xml"/><Relationship Id="rId67" Type="http://schemas.openxmlformats.org/officeDocument/2006/relationships/numbering" Target="numbering.xml"/><Relationship Id="rId66" Type="http://schemas.openxmlformats.org/officeDocument/2006/relationships/customXml" Target="../customXml/item1.xml"/><Relationship Id="rId65" Type="http://schemas.openxmlformats.org/officeDocument/2006/relationships/image" Target="media/image9.png"/><Relationship Id="rId64" Type="http://schemas.openxmlformats.org/officeDocument/2006/relationships/image" Target="media/image8.png"/><Relationship Id="rId63" Type="http://schemas.openxmlformats.org/officeDocument/2006/relationships/image" Target="media/image7.png"/><Relationship Id="rId62" Type="http://schemas.openxmlformats.org/officeDocument/2006/relationships/image" Target="media/image6.png"/><Relationship Id="rId61" Type="http://schemas.openxmlformats.org/officeDocument/2006/relationships/image" Target="media/image5.png"/><Relationship Id="rId60" Type="http://schemas.openxmlformats.org/officeDocument/2006/relationships/image" Target="media/image4.png"/><Relationship Id="rId6" Type="http://schemas.openxmlformats.org/officeDocument/2006/relationships/footer" Target="footer2.xml"/><Relationship Id="rId59" Type="http://schemas.openxmlformats.org/officeDocument/2006/relationships/image" Target="media/image3.png"/><Relationship Id="rId58" Type="http://schemas.openxmlformats.org/officeDocument/2006/relationships/image" Target="media/image2.png"/><Relationship Id="rId57" Type="http://schemas.openxmlformats.org/officeDocument/2006/relationships/image" Target="media/image1.png"/><Relationship Id="rId56" Type="http://schemas.openxmlformats.org/officeDocument/2006/relationships/theme" Target="theme/theme1.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70</Pages>
  <Words>7161</Words>
  <Characters>7896</Characters>
  <TotalTime>25</TotalTime>
  <ScaleCrop>false</ScaleCrop>
  <LinksUpToDate>false</LinksUpToDate>
  <CharactersWithSpaces>8032</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2026-06-12T12:26:00Z</dcterms:created>
  <dc:creator>河南四方建设管理有限公司:河南四方建设管理有限公司</dc:creator>
  <cp:lastModifiedBy>河南建纳工程管理有限公司:郭小柯</cp:lastModifiedBy>
  <cp:lastPrinted>2026-07-14T06:50:00Z</cp:lastPrinted>
  <dcterms:modified xsi:type="dcterms:W3CDTF">2026-07-14T10:39:21Z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2026-06-12T17:21:57Z</vt:filetime>
  </property>
  <property fmtid="{D5CDD505-2E9C-101B-9397-08002B2CF9AE}" pid="4" name="KSOTemplateDocerSaveRecord">
    <vt:lpwstr>eyJoZGlkIjoiYTJmZjQ2MGFlYzBkOTY4YjQ4MzAyNmNiMjc5MzY4NzMiLCJ1c2VySWQiOiI5MDk0Nzk2NTUifQ==</vt:lpwstr>
  </property>
  <property fmtid="{D5CDD505-2E9C-101B-9397-08002B2CF9AE}" pid="5" name="KSOProductBuildVer">
    <vt:lpwstr>2052-12.1.0.26895</vt:lpwstr>
  </property>
  <property fmtid="{D5CDD505-2E9C-101B-9397-08002B2CF9AE}" pid="6" name="ICV">
    <vt:lpwstr>949DA616ABD54115BBE74F5965E20CB4_13</vt:lpwstr>
  </property>
</Properties>
</file>