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2794D">
      <w:pPr>
        <w:spacing w:line="360" w:lineRule="auto"/>
        <w:jc w:val="center"/>
        <w:rPr>
          <w:rFonts w:hint="eastAsia" w:asciiTheme="minorEastAsia" w:hAnsiTheme="minorEastAsia" w:eastAsiaTheme="minorEastAsia" w:cstheme="minorEastAsia"/>
          <w:b/>
          <w:color w:val="auto"/>
          <w:sz w:val="48"/>
          <w:szCs w:val="48"/>
          <w:highlight w:val="none"/>
          <w:lang w:eastAsia="zh-CN"/>
        </w:rPr>
      </w:pPr>
      <w:bookmarkStart w:id="0" w:name="OLE_LINK86"/>
      <w:r>
        <w:rPr>
          <w:rFonts w:hint="eastAsia" w:asciiTheme="minorEastAsia" w:hAnsiTheme="minorEastAsia" w:eastAsiaTheme="minorEastAsia" w:cstheme="minorEastAsia"/>
          <w:b/>
          <w:color w:val="auto"/>
          <w:sz w:val="48"/>
          <w:szCs w:val="48"/>
          <w:highlight w:val="none"/>
          <w:lang w:eastAsia="zh-CN"/>
        </w:rPr>
        <w:t>灵宝市教育体育局校园重点部位视频监控升级项目</w:t>
      </w:r>
    </w:p>
    <w:bookmarkEnd w:id="0"/>
    <w:p w14:paraId="57C0DCB4">
      <w:pPr>
        <w:spacing w:line="480" w:lineRule="auto"/>
        <w:ind w:firstLine="480" w:firstLineChars="200"/>
        <w:jc w:val="center"/>
        <w:rPr>
          <w:rFonts w:hint="eastAsia" w:asciiTheme="minorEastAsia" w:hAnsiTheme="minorEastAsia" w:eastAsiaTheme="minorEastAsia" w:cstheme="minorEastAsia"/>
          <w:color w:val="auto"/>
          <w:sz w:val="24"/>
          <w:szCs w:val="24"/>
          <w:highlight w:val="none"/>
          <w:lang w:bidi="ar"/>
        </w:rPr>
      </w:pPr>
    </w:p>
    <w:p w14:paraId="47DDB684">
      <w:pPr>
        <w:jc w:val="center"/>
        <w:rPr>
          <w:rFonts w:hint="eastAsia" w:asciiTheme="minorEastAsia" w:hAnsiTheme="minorEastAsia" w:eastAsiaTheme="minorEastAsia" w:cstheme="minorEastAsia"/>
          <w:b/>
          <w:color w:val="auto"/>
          <w:sz w:val="72"/>
          <w:szCs w:val="44"/>
          <w:highlight w:val="none"/>
        </w:rPr>
      </w:pPr>
      <w:r>
        <w:rPr>
          <w:rFonts w:hint="eastAsia" w:asciiTheme="minorEastAsia" w:hAnsiTheme="minorEastAsia" w:eastAsiaTheme="minorEastAsia" w:cstheme="minorEastAsia"/>
          <w:b/>
          <w:color w:val="auto"/>
          <w:sz w:val="72"/>
          <w:szCs w:val="44"/>
          <w:highlight w:val="none"/>
        </w:rPr>
        <w:t>招 标 文 件</w:t>
      </w:r>
    </w:p>
    <w:p w14:paraId="1D855572">
      <w:pPr>
        <w:spacing w:line="360" w:lineRule="auto"/>
        <w:jc w:val="center"/>
        <w:rPr>
          <w:rFonts w:hint="eastAsia" w:asciiTheme="minorEastAsia" w:hAnsiTheme="minorEastAsia" w:eastAsiaTheme="minorEastAsia" w:cstheme="minorEastAsia"/>
          <w:b/>
          <w:color w:val="auto"/>
          <w:sz w:val="24"/>
          <w:szCs w:val="28"/>
          <w:highlight w:val="none"/>
          <w:lang w:eastAsia="zh-CN"/>
        </w:rPr>
      </w:pPr>
      <w:r>
        <w:rPr>
          <w:rFonts w:hint="eastAsia" w:asciiTheme="minorEastAsia" w:hAnsiTheme="minorEastAsia" w:eastAsiaTheme="minorEastAsia" w:cstheme="minorEastAsia"/>
          <w:b/>
          <w:color w:val="auto"/>
          <w:sz w:val="24"/>
          <w:szCs w:val="28"/>
          <w:highlight w:val="none"/>
        </w:rPr>
        <w:t>项目编号：</w:t>
      </w:r>
      <w:r>
        <w:rPr>
          <w:rFonts w:hint="eastAsia" w:asciiTheme="minorEastAsia" w:hAnsiTheme="minorEastAsia" w:eastAsiaTheme="minorEastAsia" w:cstheme="minorEastAsia"/>
          <w:b/>
          <w:color w:val="auto"/>
          <w:sz w:val="24"/>
          <w:szCs w:val="28"/>
          <w:highlight w:val="none"/>
          <w:lang w:eastAsia="zh-CN"/>
        </w:rPr>
        <w:t>灵宝公开采购-2026-28</w:t>
      </w:r>
    </w:p>
    <w:p w14:paraId="2EC9B667">
      <w:pPr>
        <w:spacing w:line="360" w:lineRule="auto"/>
        <w:jc w:val="center"/>
        <w:rPr>
          <w:rFonts w:hint="eastAsia" w:asciiTheme="minorEastAsia" w:hAnsiTheme="minorEastAsia" w:eastAsiaTheme="minorEastAsia" w:cstheme="minorEastAsia"/>
          <w:b/>
          <w:color w:val="auto"/>
          <w:sz w:val="24"/>
          <w:szCs w:val="28"/>
          <w:highlight w:val="none"/>
          <w:lang w:eastAsia="zh-CN"/>
        </w:rPr>
      </w:pPr>
      <w:r>
        <w:rPr>
          <w:rFonts w:hint="eastAsia" w:asciiTheme="minorEastAsia" w:hAnsiTheme="minorEastAsia" w:eastAsiaTheme="minorEastAsia" w:cstheme="minorEastAsia"/>
          <w:b/>
          <w:color w:val="auto"/>
          <w:sz w:val="24"/>
          <w:szCs w:val="28"/>
          <w:highlight w:val="none"/>
        </w:rPr>
        <w:t>包号</w:t>
      </w:r>
      <w:r>
        <w:rPr>
          <w:rFonts w:hint="eastAsia" w:asciiTheme="minorEastAsia" w:hAnsiTheme="minorEastAsia" w:eastAsiaTheme="minorEastAsia" w:cstheme="minorEastAsia"/>
          <w:b/>
          <w:color w:val="auto"/>
          <w:sz w:val="24"/>
          <w:szCs w:val="28"/>
          <w:highlight w:val="none"/>
          <w:lang w:eastAsia="zh-CN"/>
        </w:rPr>
        <w:t>：LBGZ[2026]162-ZC125</w:t>
      </w:r>
    </w:p>
    <w:p w14:paraId="397425D3">
      <w:pPr>
        <w:jc w:val="center"/>
        <w:rPr>
          <w:rFonts w:hint="eastAsia" w:asciiTheme="minorEastAsia" w:hAnsiTheme="minorEastAsia" w:eastAsiaTheme="minorEastAsia" w:cstheme="minorEastAsia"/>
          <w:color w:val="auto"/>
          <w:szCs w:val="24"/>
          <w:highlight w:val="none"/>
        </w:rPr>
      </w:pPr>
    </w:p>
    <w:p w14:paraId="6E93ED7E">
      <w:pPr>
        <w:jc w:val="center"/>
        <w:rPr>
          <w:rFonts w:hint="eastAsia" w:asciiTheme="minorEastAsia" w:hAnsiTheme="minorEastAsia" w:eastAsiaTheme="minorEastAsia" w:cstheme="minorEastAsia"/>
          <w:color w:val="auto"/>
          <w:szCs w:val="24"/>
          <w:highlight w:val="none"/>
        </w:rPr>
      </w:pPr>
    </w:p>
    <w:p w14:paraId="1B0D4F17">
      <w:pPr>
        <w:jc w:val="center"/>
        <w:rPr>
          <w:rFonts w:hint="eastAsia" w:asciiTheme="minorEastAsia" w:hAnsiTheme="minorEastAsia" w:eastAsiaTheme="minorEastAsia" w:cstheme="minorEastAsia"/>
          <w:color w:val="auto"/>
          <w:szCs w:val="24"/>
          <w:highlight w:val="none"/>
        </w:rPr>
      </w:pPr>
    </w:p>
    <w:p w14:paraId="0685569F">
      <w:pPr>
        <w:pStyle w:val="3"/>
        <w:rPr>
          <w:rFonts w:hint="eastAsia" w:asciiTheme="minorEastAsia" w:hAnsiTheme="minorEastAsia" w:eastAsiaTheme="minorEastAsia" w:cstheme="minorEastAsia"/>
          <w:color w:val="auto"/>
          <w:szCs w:val="24"/>
          <w:highlight w:val="none"/>
        </w:rPr>
      </w:pPr>
    </w:p>
    <w:p w14:paraId="47340146">
      <w:pPr>
        <w:pStyle w:val="4"/>
        <w:rPr>
          <w:rFonts w:hint="eastAsia" w:asciiTheme="minorEastAsia" w:hAnsiTheme="minorEastAsia" w:eastAsiaTheme="minorEastAsia" w:cstheme="minorEastAsia"/>
          <w:color w:val="auto"/>
          <w:szCs w:val="24"/>
          <w:highlight w:val="none"/>
        </w:rPr>
      </w:pPr>
    </w:p>
    <w:p w14:paraId="00D1998D">
      <w:pPr>
        <w:pStyle w:val="4"/>
        <w:rPr>
          <w:rFonts w:hint="eastAsia" w:asciiTheme="minorEastAsia" w:hAnsiTheme="minorEastAsia" w:eastAsiaTheme="minorEastAsia" w:cstheme="minorEastAsia"/>
          <w:color w:val="auto"/>
          <w:szCs w:val="24"/>
          <w:highlight w:val="none"/>
        </w:rPr>
      </w:pPr>
    </w:p>
    <w:p w14:paraId="2DF10DD4">
      <w:pPr>
        <w:pStyle w:val="4"/>
        <w:rPr>
          <w:rFonts w:hint="eastAsia" w:asciiTheme="minorEastAsia" w:hAnsiTheme="minorEastAsia" w:eastAsiaTheme="minorEastAsia" w:cstheme="minorEastAsia"/>
          <w:color w:val="auto"/>
          <w:szCs w:val="24"/>
          <w:highlight w:val="none"/>
        </w:rPr>
      </w:pPr>
    </w:p>
    <w:p w14:paraId="4D69CCDA">
      <w:pPr>
        <w:pStyle w:val="4"/>
        <w:rPr>
          <w:rFonts w:hint="eastAsia" w:asciiTheme="minorEastAsia" w:hAnsiTheme="minorEastAsia" w:eastAsiaTheme="minorEastAsia" w:cstheme="minorEastAsia"/>
          <w:color w:val="auto"/>
          <w:szCs w:val="24"/>
          <w:highlight w:val="none"/>
        </w:rPr>
      </w:pPr>
    </w:p>
    <w:p w14:paraId="699CEA79">
      <w:pPr>
        <w:pStyle w:val="4"/>
        <w:rPr>
          <w:rFonts w:hint="eastAsia" w:asciiTheme="minorEastAsia" w:hAnsiTheme="minorEastAsia" w:eastAsiaTheme="minorEastAsia" w:cstheme="minorEastAsia"/>
          <w:color w:val="auto"/>
          <w:szCs w:val="24"/>
          <w:highlight w:val="none"/>
        </w:rPr>
      </w:pPr>
    </w:p>
    <w:p w14:paraId="7D7C87F1">
      <w:pPr>
        <w:pStyle w:val="4"/>
        <w:rPr>
          <w:rFonts w:hint="eastAsia" w:asciiTheme="minorEastAsia" w:hAnsiTheme="minorEastAsia" w:eastAsiaTheme="minorEastAsia" w:cstheme="minorEastAsia"/>
          <w:color w:val="auto"/>
          <w:szCs w:val="24"/>
          <w:highlight w:val="none"/>
        </w:rPr>
      </w:pPr>
    </w:p>
    <w:p w14:paraId="670694E4">
      <w:pPr>
        <w:pStyle w:val="4"/>
        <w:rPr>
          <w:rFonts w:hint="eastAsia" w:asciiTheme="minorEastAsia" w:hAnsiTheme="minorEastAsia" w:eastAsiaTheme="minorEastAsia" w:cstheme="minorEastAsia"/>
          <w:color w:val="auto"/>
          <w:szCs w:val="24"/>
          <w:highlight w:val="none"/>
        </w:rPr>
      </w:pPr>
    </w:p>
    <w:p w14:paraId="42201B72">
      <w:pPr>
        <w:pStyle w:val="4"/>
        <w:rPr>
          <w:rFonts w:hint="eastAsia" w:asciiTheme="minorEastAsia" w:hAnsiTheme="minorEastAsia" w:eastAsiaTheme="minorEastAsia" w:cstheme="minorEastAsia"/>
          <w:color w:val="auto"/>
          <w:szCs w:val="24"/>
          <w:highlight w:val="none"/>
        </w:rPr>
      </w:pPr>
    </w:p>
    <w:p w14:paraId="4965B6CC">
      <w:pPr>
        <w:pStyle w:val="4"/>
        <w:rPr>
          <w:rFonts w:hint="eastAsia" w:asciiTheme="minorEastAsia" w:hAnsiTheme="minorEastAsia" w:eastAsiaTheme="minorEastAsia" w:cstheme="minorEastAsia"/>
          <w:color w:val="auto"/>
          <w:szCs w:val="24"/>
          <w:highlight w:val="none"/>
        </w:rPr>
      </w:pPr>
    </w:p>
    <w:p w14:paraId="51854B7B">
      <w:pPr>
        <w:pStyle w:val="4"/>
        <w:rPr>
          <w:rFonts w:hint="eastAsia" w:asciiTheme="minorEastAsia" w:hAnsiTheme="minorEastAsia" w:eastAsiaTheme="minorEastAsia" w:cstheme="minorEastAsia"/>
          <w:color w:val="auto"/>
          <w:szCs w:val="24"/>
          <w:highlight w:val="none"/>
        </w:rPr>
      </w:pPr>
    </w:p>
    <w:p w14:paraId="7666D4DD">
      <w:pPr>
        <w:pStyle w:val="4"/>
        <w:rPr>
          <w:rFonts w:hint="eastAsia" w:asciiTheme="minorEastAsia" w:hAnsiTheme="minorEastAsia" w:eastAsiaTheme="minorEastAsia" w:cstheme="minorEastAsia"/>
          <w:color w:val="auto"/>
          <w:szCs w:val="24"/>
          <w:highlight w:val="none"/>
        </w:rPr>
      </w:pPr>
    </w:p>
    <w:tbl>
      <w:tblPr>
        <w:tblStyle w:val="19"/>
        <w:tblpPr w:leftFromText="180" w:rightFromText="180" w:vertAnchor="text" w:horzAnchor="page" w:tblpX="2248" w:tblpY="496"/>
        <w:tblOverlap w:val="never"/>
        <w:tblW w:w="0" w:type="auto"/>
        <w:tblInd w:w="0" w:type="dxa"/>
        <w:tblLayout w:type="fixed"/>
        <w:tblCellMar>
          <w:top w:w="0" w:type="dxa"/>
          <w:left w:w="108" w:type="dxa"/>
          <w:bottom w:w="0" w:type="dxa"/>
          <w:right w:w="108" w:type="dxa"/>
        </w:tblCellMar>
      </w:tblPr>
      <w:tblGrid>
        <w:gridCol w:w="2190"/>
        <w:gridCol w:w="5410"/>
      </w:tblGrid>
      <w:tr w14:paraId="3FACC044">
        <w:tblPrEx>
          <w:tblCellMar>
            <w:top w:w="0" w:type="dxa"/>
            <w:left w:w="108" w:type="dxa"/>
            <w:bottom w:w="0" w:type="dxa"/>
            <w:right w:w="108" w:type="dxa"/>
          </w:tblCellMar>
        </w:tblPrEx>
        <w:tc>
          <w:tcPr>
            <w:tcW w:w="2190" w:type="dxa"/>
          </w:tcPr>
          <w:p w14:paraId="14FA74A5">
            <w:pPr>
              <w:pStyle w:val="10"/>
              <w:adjustRightInd w:val="0"/>
              <w:snapToGrid w:val="0"/>
              <w:spacing w:line="360" w:lineRule="auto"/>
              <w:ind w:firstLine="0" w:firstLineChars="0"/>
              <w:jc w:val="distribute"/>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lang w:eastAsia="zh-CN"/>
              </w:rPr>
              <w:t>采购人</w:t>
            </w:r>
            <w:r>
              <w:rPr>
                <w:rFonts w:hint="eastAsia" w:asciiTheme="minorEastAsia" w:hAnsiTheme="minorEastAsia" w:eastAsiaTheme="minorEastAsia" w:cstheme="minorEastAsia"/>
                <w:b/>
                <w:color w:val="auto"/>
                <w:sz w:val="32"/>
                <w:szCs w:val="32"/>
                <w:highlight w:val="none"/>
              </w:rPr>
              <w:t>：</w:t>
            </w:r>
          </w:p>
        </w:tc>
        <w:tc>
          <w:tcPr>
            <w:tcW w:w="5410" w:type="dxa"/>
          </w:tcPr>
          <w:p w14:paraId="57C90B5B">
            <w:pPr>
              <w:pStyle w:val="10"/>
              <w:adjustRightInd w:val="0"/>
              <w:snapToGrid w:val="0"/>
              <w:spacing w:line="360" w:lineRule="auto"/>
              <w:ind w:firstLine="0" w:firstLineChars="0"/>
              <w:jc w:val="distribute"/>
              <w:rPr>
                <w:rFonts w:hint="eastAsia" w:asciiTheme="minorEastAsia" w:hAnsiTheme="minorEastAsia" w:eastAsiaTheme="minorEastAsia" w:cstheme="minorEastAsia"/>
                <w:b/>
                <w:color w:val="auto"/>
                <w:sz w:val="32"/>
                <w:szCs w:val="32"/>
                <w:highlight w:val="none"/>
                <w:lang w:eastAsia="zh-CN"/>
              </w:rPr>
            </w:pPr>
            <w:r>
              <w:rPr>
                <w:rFonts w:hint="eastAsia" w:asciiTheme="minorEastAsia" w:hAnsiTheme="minorEastAsia" w:eastAsiaTheme="minorEastAsia" w:cstheme="minorEastAsia"/>
                <w:b/>
                <w:color w:val="auto"/>
                <w:sz w:val="36"/>
                <w:szCs w:val="36"/>
                <w:highlight w:val="none"/>
                <w:lang w:eastAsia="zh-CN"/>
              </w:rPr>
              <w:t>灵宝市教育体育局</w:t>
            </w:r>
          </w:p>
        </w:tc>
      </w:tr>
      <w:tr w14:paraId="3A311672">
        <w:tblPrEx>
          <w:tblCellMar>
            <w:top w:w="0" w:type="dxa"/>
            <w:left w:w="108" w:type="dxa"/>
            <w:bottom w:w="0" w:type="dxa"/>
            <w:right w:w="108" w:type="dxa"/>
          </w:tblCellMar>
        </w:tblPrEx>
        <w:tc>
          <w:tcPr>
            <w:tcW w:w="2190" w:type="dxa"/>
          </w:tcPr>
          <w:p w14:paraId="70082250">
            <w:pPr>
              <w:pStyle w:val="10"/>
              <w:adjustRightInd w:val="0"/>
              <w:snapToGrid w:val="0"/>
              <w:spacing w:line="360" w:lineRule="auto"/>
              <w:ind w:firstLine="0" w:firstLineChars="0"/>
              <w:jc w:val="distribute"/>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代理机构：</w:t>
            </w:r>
          </w:p>
        </w:tc>
        <w:tc>
          <w:tcPr>
            <w:tcW w:w="5410" w:type="dxa"/>
          </w:tcPr>
          <w:p w14:paraId="67FFB338">
            <w:pPr>
              <w:adjustRightInd w:val="0"/>
              <w:snapToGrid w:val="0"/>
              <w:spacing w:line="360" w:lineRule="auto"/>
              <w:ind w:firstLine="0" w:firstLineChars="0"/>
              <w:jc w:val="distribute"/>
              <w:rPr>
                <w:rFonts w:hint="eastAsia" w:asciiTheme="minorEastAsia" w:hAnsiTheme="minorEastAsia" w:eastAsiaTheme="minorEastAsia" w:cstheme="minorEastAsia"/>
                <w:b/>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lang w:eastAsia="zh-CN"/>
              </w:rPr>
              <w:t>河南德仕通工程管理有限公司</w:t>
            </w:r>
          </w:p>
        </w:tc>
      </w:tr>
      <w:tr w14:paraId="645DA226">
        <w:tblPrEx>
          <w:tblCellMar>
            <w:top w:w="0" w:type="dxa"/>
            <w:left w:w="108" w:type="dxa"/>
            <w:bottom w:w="0" w:type="dxa"/>
            <w:right w:w="108" w:type="dxa"/>
          </w:tblCellMar>
        </w:tblPrEx>
        <w:tc>
          <w:tcPr>
            <w:tcW w:w="2190" w:type="dxa"/>
          </w:tcPr>
          <w:p w14:paraId="280291E9">
            <w:pPr>
              <w:pStyle w:val="10"/>
              <w:adjustRightInd w:val="0"/>
              <w:snapToGrid w:val="0"/>
              <w:spacing w:line="360" w:lineRule="auto"/>
              <w:ind w:firstLine="0" w:firstLineChars="0"/>
              <w:jc w:val="distribute"/>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编制日期：</w:t>
            </w:r>
          </w:p>
        </w:tc>
        <w:tc>
          <w:tcPr>
            <w:tcW w:w="5410" w:type="dxa"/>
          </w:tcPr>
          <w:p w14:paraId="636821C1">
            <w:pPr>
              <w:pStyle w:val="10"/>
              <w:adjustRightInd w:val="0"/>
              <w:snapToGrid w:val="0"/>
              <w:spacing w:line="360" w:lineRule="auto"/>
              <w:ind w:firstLine="0" w:firstLineChars="0"/>
              <w:jc w:val="distribute"/>
              <w:rPr>
                <w:rFonts w:hint="eastAsia" w:asciiTheme="minorEastAsia" w:hAnsiTheme="minorEastAsia" w:eastAsiaTheme="minorEastAsia" w:cstheme="minorEastAsia"/>
                <w:b/>
                <w:color w:val="auto"/>
                <w:sz w:val="32"/>
                <w:szCs w:val="32"/>
                <w:highlight w:val="none"/>
              </w:rPr>
            </w:pPr>
            <w:r>
              <w:rPr>
                <w:rFonts w:hint="eastAsia" w:asciiTheme="minorEastAsia" w:hAnsiTheme="minorEastAsia" w:eastAsiaTheme="minorEastAsia" w:cstheme="minorEastAsia"/>
                <w:b/>
                <w:color w:val="auto"/>
                <w:sz w:val="32"/>
                <w:szCs w:val="32"/>
                <w:highlight w:val="none"/>
              </w:rPr>
              <w:t>二零</w:t>
            </w:r>
            <w:r>
              <w:rPr>
                <w:rFonts w:hint="eastAsia" w:asciiTheme="minorEastAsia" w:hAnsiTheme="minorEastAsia" w:eastAsiaTheme="minorEastAsia" w:cstheme="minorEastAsia"/>
                <w:b/>
                <w:color w:val="auto"/>
                <w:sz w:val="32"/>
                <w:szCs w:val="32"/>
                <w:highlight w:val="none"/>
                <w:lang w:val="en-US" w:eastAsia="zh-CN"/>
              </w:rPr>
              <w:t>二六</w:t>
            </w:r>
            <w:r>
              <w:rPr>
                <w:rFonts w:hint="eastAsia" w:asciiTheme="minorEastAsia" w:hAnsiTheme="minorEastAsia" w:eastAsiaTheme="minorEastAsia" w:cstheme="minorEastAsia"/>
                <w:b/>
                <w:color w:val="auto"/>
                <w:sz w:val="32"/>
                <w:szCs w:val="32"/>
                <w:highlight w:val="none"/>
              </w:rPr>
              <w:t>年</w:t>
            </w:r>
            <w:r>
              <w:rPr>
                <w:rFonts w:hint="eastAsia" w:asciiTheme="minorEastAsia" w:hAnsiTheme="minorEastAsia" w:eastAsiaTheme="minorEastAsia" w:cstheme="minorEastAsia"/>
                <w:b/>
                <w:color w:val="auto"/>
                <w:sz w:val="32"/>
                <w:szCs w:val="32"/>
                <w:highlight w:val="none"/>
                <w:lang w:val="en-US" w:eastAsia="zh-CN"/>
              </w:rPr>
              <w:t>八</w:t>
            </w:r>
            <w:r>
              <w:rPr>
                <w:rFonts w:hint="eastAsia" w:asciiTheme="minorEastAsia" w:hAnsiTheme="minorEastAsia" w:eastAsiaTheme="minorEastAsia" w:cstheme="minorEastAsia"/>
                <w:b/>
                <w:color w:val="auto"/>
                <w:sz w:val="32"/>
                <w:szCs w:val="32"/>
                <w:highlight w:val="none"/>
              </w:rPr>
              <w:t>月</w:t>
            </w:r>
          </w:p>
        </w:tc>
      </w:tr>
    </w:tbl>
    <w:p w14:paraId="0093570A">
      <w:pPr>
        <w:spacing w:line="360" w:lineRule="auto"/>
        <w:ind w:firstLine="851" w:firstLineChars="265"/>
        <w:rPr>
          <w:rFonts w:hint="eastAsia" w:asciiTheme="minorEastAsia" w:hAnsiTheme="minorEastAsia" w:eastAsiaTheme="minorEastAsia" w:cstheme="minorEastAsia"/>
          <w:b/>
          <w:color w:val="auto"/>
          <w:sz w:val="32"/>
          <w:szCs w:val="32"/>
          <w:highlight w:val="none"/>
        </w:rPr>
      </w:pPr>
    </w:p>
    <w:p w14:paraId="7334C705">
      <w:pPr>
        <w:spacing w:line="360" w:lineRule="auto"/>
        <w:ind w:firstLine="199" w:firstLineChars="62"/>
        <w:jc w:val="center"/>
        <w:rPr>
          <w:rFonts w:hint="eastAsia" w:asciiTheme="minorEastAsia" w:hAnsiTheme="minorEastAsia" w:eastAsiaTheme="minorEastAsia" w:cstheme="minorEastAsia"/>
          <w:b/>
          <w:bCs/>
          <w:color w:val="auto"/>
          <w:sz w:val="32"/>
          <w:szCs w:val="32"/>
          <w:highlight w:val="none"/>
          <w:shd w:val="clear" w:color="auto" w:fill="FFFFFF"/>
        </w:rPr>
      </w:pPr>
      <w:bookmarkStart w:id="1" w:name="_Toc113892407"/>
      <w:bookmarkStart w:id="2" w:name="_Toc151209860"/>
      <w:bookmarkStart w:id="3" w:name="_Toc113891895"/>
      <w:bookmarkStart w:id="4" w:name="_Toc108777066"/>
      <w:bookmarkStart w:id="5" w:name="_Toc108777129"/>
      <w:bookmarkStart w:id="6" w:name="_Toc108777254"/>
    </w:p>
    <w:p w14:paraId="043E8464">
      <w:pPr>
        <w:spacing w:line="360" w:lineRule="auto"/>
        <w:ind w:firstLine="199" w:firstLineChars="62"/>
        <w:jc w:val="center"/>
        <w:rPr>
          <w:rFonts w:hint="eastAsia" w:asciiTheme="minorEastAsia" w:hAnsiTheme="minorEastAsia" w:eastAsiaTheme="minorEastAsia" w:cstheme="minorEastAsia"/>
          <w:b/>
          <w:bCs/>
          <w:color w:val="auto"/>
          <w:sz w:val="32"/>
          <w:szCs w:val="32"/>
          <w:highlight w:val="none"/>
          <w:shd w:val="clear" w:color="auto" w:fill="FFFFFF"/>
        </w:rPr>
        <w:sectPr>
          <w:footerReference r:id="rId7" w:type="first"/>
          <w:headerReference r:id="rId3" w:type="default"/>
          <w:footerReference r:id="rId5" w:type="default"/>
          <w:headerReference r:id="rId4" w:type="even"/>
          <w:footerReference r:id="rId6" w:type="even"/>
          <w:pgSz w:w="11906" w:h="16838"/>
          <w:pgMar w:top="1440" w:right="1946" w:bottom="1440" w:left="1560" w:header="851" w:footer="737" w:gutter="0"/>
          <w:pgNumType w:start="1"/>
          <w:cols w:space="720" w:num="1"/>
          <w:titlePg/>
          <w:docGrid w:type="lines" w:linePitch="381" w:charSpace="0"/>
        </w:sectPr>
      </w:pPr>
    </w:p>
    <w:p w14:paraId="618F1F19">
      <w:pPr>
        <w:spacing w:line="360" w:lineRule="auto"/>
        <w:ind w:firstLine="199" w:firstLineChars="62"/>
        <w:jc w:val="center"/>
        <w:rPr>
          <w:rFonts w:hint="eastAsia" w:asciiTheme="minorEastAsia" w:hAnsiTheme="minorEastAsia" w:eastAsiaTheme="minorEastAsia" w:cstheme="minorEastAsia"/>
          <w:b/>
          <w:bCs/>
          <w:color w:val="auto"/>
          <w:sz w:val="32"/>
          <w:szCs w:val="32"/>
          <w:highlight w:val="none"/>
          <w:shd w:val="clear" w:color="auto" w:fill="FFFFFF"/>
        </w:rPr>
      </w:pPr>
      <w:r>
        <w:rPr>
          <w:rFonts w:hint="eastAsia" w:asciiTheme="minorEastAsia" w:hAnsiTheme="minorEastAsia" w:eastAsiaTheme="minorEastAsia" w:cstheme="minorEastAsia"/>
          <w:b/>
          <w:bCs/>
          <w:color w:val="auto"/>
          <w:sz w:val="32"/>
          <w:szCs w:val="32"/>
          <w:highlight w:val="none"/>
          <w:shd w:val="clear" w:color="auto" w:fill="FFFFFF"/>
        </w:rPr>
        <w:t>目  录</w:t>
      </w:r>
      <w:bookmarkEnd w:id="1"/>
      <w:bookmarkEnd w:id="2"/>
      <w:bookmarkEnd w:id="3"/>
    </w:p>
    <w:p w14:paraId="303C00B3">
      <w:pPr>
        <w:pStyle w:val="13"/>
        <w:tabs>
          <w:tab w:val="right" w:leader="dot" w:pos="8778"/>
        </w:tabs>
        <w:spacing w:before="0" w:after="0" w:line="480" w:lineRule="auto"/>
        <w:ind w:firstLine="280" w:firstLineChars="100"/>
        <w:rPr>
          <w:rFonts w:hint="eastAsia" w:asciiTheme="minorEastAsia" w:hAnsiTheme="minorEastAsia" w:eastAsiaTheme="minorEastAsia" w:cstheme="minorEastAsia"/>
          <w:bCs w:val="0"/>
          <w:caps w:val="0"/>
          <w:color w:val="auto"/>
          <w:sz w:val="28"/>
          <w:szCs w:val="28"/>
          <w:highlight w:val="none"/>
        </w:rPr>
      </w:pPr>
      <w:r>
        <w:rPr>
          <w:rFonts w:hint="eastAsia" w:asciiTheme="minorEastAsia" w:hAnsiTheme="minorEastAsia" w:eastAsiaTheme="minorEastAsia" w:cstheme="minorEastAsia"/>
          <w:b w:val="0"/>
          <w:bCs w:val="0"/>
          <w:iCs/>
          <w:caps w:val="0"/>
          <w:smallCaps/>
          <w:color w:val="auto"/>
          <w:sz w:val="28"/>
          <w:szCs w:val="28"/>
          <w:highlight w:val="none"/>
          <w:shd w:val="clear" w:color="auto" w:fill="FFFFFF"/>
        </w:rPr>
        <w:fldChar w:fldCharType="begin"/>
      </w:r>
      <w:r>
        <w:rPr>
          <w:rFonts w:hint="eastAsia" w:asciiTheme="minorEastAsia" w:hAnsiTheme="minorEastAsia" w:eastAsiaTheme="minorEastAsia" w:cstheme="minorEastAsia"/>
          <w:b w:val="0"/>
          <w:bCs w:val="0"/>
          <w:iCs/>
          <w:caps w:val="0"/>
          <w:smallCaps/>
          <w:color w:val="auto"/>
          <w:sz w:val="28"/>
          <w:szCs w:val="28"/>
          <w:highlight w:val="none"/>
          <w:shd w:val="clear" w:color="auto" w:fill="FFFFFF"/>
        </w:rPr>
        <w:instrText xml:space="preserve"> TOC \o "1-3" \h \z \u </w:instrText>
      </w:r>
      <w:r>
        <w:rPr>
          <w:rFonts w:hint="eastAsia" w:asciiTheme="minorEastAsia" w:hAnsiTheme="minorEastAsia" w:eastAsiaTheme="minorEastAsia" w:cstheme="minorEastAsia"/>
          <w:b w:val="0"/>
          <w:bCs w:val="0"/>
          <w:iCs/>
          <w:caps w:val="0"/>
          <w:smallCaps/>
          <w:color w:val="auto"/>
          <w:sz w:val="28"/>
          <w:szCs w:val="28"/>
          <w:highlight w:val="none"/>
          <w:shd w:val="clear" w:color="auto" w:fill="FFFFFF"/>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"_Toc176358315" </w:instrText>
      </w:r>
      <w:r>
        <w:rPr>
          <w:rFonts w:hint="eastAsia" w:asciiTheme="minorEastAsia" w:hAnsiTheme="minorEastAsia" w:eastAsiaTheme="minorEastAsia" w:cstheme="minorEastAsia"/>
          <w:color w:val="auto"/>
          <w:highlight w:val="none"/>
        </w:rPr>
        <w:fldChar w:fldCharType="separate"/>
      </w:r>
      <w:r>
        <w:rPr>
          <w:rStyle w:val="24"/>
          <w:rFonts w:hint="eastAsia" w:asciiTheme="minorEastAsia" w:hAnsiTheme="minorEastAsia" w:eastAsiaTheme="minorEastAsia" w:cstheme="minorEastAsia"/>
          <w:color w:val="auto"/>
          <w:sz w:val="28"/>
          <w:szCs w:val="28"/>
          <w:highlight w:val="none"/>
          <w:shd w:val="clear" w:color="auto" w:fill="FFFFFF"/>
        </w:rPr>
        <w:t>第一章 招标公告</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_Toc176358315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1</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4EC6473F">
      <w:pPr>
        <w:pStyle w:val="13"/>
        <w:tabs>
          <w:tab w:val="right" w:leader="dot" w:pos="8778"/>
        </w:tabs>
        <w:spacing w:before="0" w:after="0" w:line="480" w:lineRule="auto"/>
        <w:ind w:firstLine="201" w:firstLineChars="100"/>
        <w:rPr>
          <w:rFonts w:hint="eastAsia" w:asciiTheme="minorEastAsia" w:hAnsiTheme="minorEastAsia" w:eastAsiaTheme="minorEastAsia" w:cstheme="minorEastAsia"/>
          <w:bCs w:val="0"/>
          <w:caps w:val="0"/>
          <w:color w:val="auto"/>
          <w:sz w:val="28"/>
          <w:szCs w:val="28"/>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"_Toc176358316" </w:instrText>
      </w:r>
      <w:r>
        <w:rPr>
          <w:rFonts w:hint="eastAsia" w:asciiTheme="minorEastAsia" w:hAnsiTheme="minorEastAsia" w:eastAsiaTheme="minorEastAsia" w:cstheme="minorEastAsia"/>
          <w:color w:val="auto"/>
          <w:highlight w:val="none"/>
        </w:rPr>
        <w:fldChar w:fldCharType="separate"/>
      </w:r>
      <w:r>
        <w:rPr>
          <w:rStyle w:val="24"/>
          <w:rFonts w:hint="eastAsia" w:asciiTheme="minorEastAsia" w:hAnsiTheme="minorEastAsia" w:eastAsiaTheme="minorEastAsia" w:cstheme="minorEastAsia"/>
          <w:color w:val="auto"/>
          <w:sz w:val="28"/>
          <w:szCs w:val="28"/>
          <w:highlight w:val="none"/>
          <w:shd w:val="clear" w:color="auto" w:fill="FFFFFF"/>
        </w:rPr>
        <w:t>第二章 供应商须知</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_Toc176358316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5</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15D0F11D">
      <w:pPr>
        <w:pStyle w:val="13"/>
        <w:tabs>
          <w:tab w:val="right" w:leader="dot" w:pos="8778"/>
        </w:tabs>
        <w:spacing w:before="0" w:after="0" w:line="480" w:lineRule="auto"/>
        <w:ind w:firstLine="201" w:firstLineChars="100"/>
        <w:rPr>
          <w:rFonts w:hint="eastAsia" w:asciiTheme="minorEastAsia" w:hAnsiTheme="minorEastAsia" w:eastAsiaTheme="minorEastAsia" w:cstheme="minorEastAsia"/>
          <w:bCs w:val="0"/>
          <w:caps w:val="0"/>
          <w:color w:val="auto"/>
          <w:sz w:val="28"/>
          <w:szCs w:val="28"/>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"_Toc176358366" </w:instrText>
      </w:r>
      <w:r>
        <w:rPr>
          <w:rFonts w:hint="eastAsia" w:asciiTheme="minorEastAsia" w:hAnsiTheme="minorEastAsia" w:eastAsiaTheme="minorEastAsia" w:cstheme="minorEastAsia"/>
          <w:color w:val="auto"/>
          <w:highlight w:val="none"/>
        </w:rPr>
        <w:fldChar w:fldCharType="separate"/>
      </w:r>
      <w:r>
        <w:rPr>
          <w:rStyle w:val="24"/>
          <w:rFonts w:hint="eastAsia" w:asciiTheme="minorEastAsia" w:hAnsiTheme="minorEastAsia" w:eastAsiaTheme="minorEastAsia" w:cstheme="minorEastAsia"/>
          <w:color w:val="auto"/>
          <w:sz w:val="28"/>
          <w:szCs w:val="28"/>
          <w:highlight w:val="none"/>
          <w:shd w:val="clear" w:color="auto" w:fill="FFFFFF"/>
        </w:rPr>
        <w:t>第三章 采购内容及参数要求</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_Toc176358366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41</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6A70154A">
      <w:pPr>
        <w:pStyle w:val="13"/>
        <w:tabs>
          <w:tab w:val="right" w:leader="dot" w:pos="8778"/>
        </w:tabs>
        <w:spacing w:before="0" w:after="0" w:line="480" w:lineRule="auto"/>
        <w:ind w:firstLine="201" w:firstLineChars="100"/>
        <w:rPr>
          <w:rFonts w:hint="eastAsia" w:asciiTheme="minorEastAsia" w:hAnsiTheme="minorEastAsia" w:eastAsiaTheme="minorEastAsia" w:cstheme="minorEastAsia"/>
          <w:bCs w:val="0"/>
          <w:caps w:val="0"/>
          <w:color w:val="auto"/>
          <w:sz w:val="28"/>
          <w:szCs w:val="28"/>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"_Toc176358367" </w:instrText>
      </w:r>
      <w:r>
        <w:rPr>
          <w:rFonts w:hint="eastAsia" w:asciiTheme="minorEastAsia" w:hAnsiTheme="minorEastAsia" w:eastAsiaTheme="minorEastAsia" w:cstheme="minorEastAsia"/>
          <w:color w:val="auto"/>
          <w:highlight w:val="none"/>
        </w:rPr>
        <w:fldChar w:fldCharType="separate"/>
      </w:r>
      <w:r>
        <w:rPr>
          <w:rStyle w:val="24"/>
          <w:rFonts w:hint="eastAsia" w:asciiTheme="minorEastAsia" w:hAnsiTheme="minorEastAsia" w:eastAsiaTheme="minorEastAsia" w:cstheme="minorEastAsia"/>
          <w:color w:val="auto"/>
          <w:sz w:val="28"/>
          <w:szCs w:val="28"/>
          <w:highlight w:val="none"/>
          <w:shd w:val="clear" w:color="auto" w:fill="FFFFFF"/>
        </w:rPr>
        <w:t>第四章 评标办法</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_Toc176358367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79</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5F66C879">
      <w:pPr>
        <w:pStyle w:val="13"/>
        <w:tabs>
          <w:tab w:val="right" w:leader="dot" w:pos="8778"/>
        </w:tabs>
        <w:spacing w:before="0" w:after="0" w:line="480" w:lineRule="auto"/>
        <w:ind w:firstLine="201" w:firstLineChars="100"/>
        <w:rPr>
          <w:rFonts w:hint="eastAsia" w:asciiTheme="minorEastAsia" w:hAnsiTheme="minorEastAsia" w:eastAsiaTheme="minorEastAsia" w:cstheme="minorEastAsia"/>
          <w:bCs w:val="0"/>
          <w:caps w:val="0"/>
          <w:color w:val="auto"/>
          <w:sz w:val="28"/>
          <w:szCs w:val="28"/>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"_Toc176358371" </w:instrText>
      </w:r>
      <w:r>
        <w:rPr>
          <w:rFonts w:hint="eastAsia" w:asciiTheme="minorEastAsia" w:hAnsiTheme="minorEastAsia" w:eastAsiaTheme="minorEastAsia" w:cstheme="minorEastAsia"/>
          <w:color w:val="auto"/>
          <w:highlight w:val="none"/>
        </w:rPr>
        <w:fldChar w:fldCharType="separate"/>
      </w:r>
      <w:r>
        <w:rPr>
          <w:rStyle w:val="24"/>
          <w:rFonts w:hint="eastAsia" w:asciiTheme="minorEastAsia" w:hAnsiTheme="minorEastAsia" w:eastAsiaTheme="minorEastAsia" w:cstheme="minorEastAsia"/>
          <w:color w:val="auto"/>
          <w:sz w:val="28"/>
          <w:szCs w:val="28"/>
          <w:highlight w:val="none"/>
          <w:shd w:val="clear" w:color="auto" w:fill="FFFFFF"/>
        </w:rPr>
        <w:t>第五章 合同条款及格式</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_Toc176358371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88</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7FB48186">
      <w:pPr>
        <w:pStyle w:val="13"/>
        <w:tabs>
          <w:tab w:val="right" w:leader="dot" w:pos="8778"/>
        </w:tabs>
        <w:spacing w:before="0" w:after="0" w:line="480" w:lineRule="auto"/>
        <w:ind w:firstLine="201" w:firstLineChars="100"/>
        <w:rPr>
          <w:rFonts w:hint="eastAsia" w:asciiTheme="minorEastAsia" w:hAnsiTheme="minorEastAsia" w:eastAsiaTheme="minorEastAsia" w:cstheme="minorEastAsia"/>
          <w:b w:val="0"/>
          <w:bCs w:val="0"/>
          <w:caps w:val="0"/>
          <w:color w:val="auto"/>
          <w:sz w:val="28"/>
          <w:szCs w:val="28"/>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"_Toc176358372" </w:instrText>
      </w:r>
      <w:r>
        <w:rPr>
          <w:rFonts w:hint="eastAsia" w:asciiTheme="minorEastAsia" w:hAnsiTheme="minorEastAsia" w:eastAsiaTheme="minorEastAsia" w:cstheme="minorEastAsia"/>
          <w:color w:val="auto"/>
          <w:highlight w:val="none"/>
        </w:rPr>
        <w:fldChar w:fldCharType="separate"/>
      </w:r>
      <w:r>
        <w:rPr>
          <w:rStyle w:val="24"/>
          <w:rFonts w:hint="eastAsia" w:asciiTheme="minorEastAsia" w:hAnsiTheme="minorEastAsia" w:eastAsiaTheme="minorEastAsia" w:cstheme="minorEastAsia"/>
          <w:color w:val="auto"/>
          <w:sz w:val="28"/>
          <w:szCs w:val="28"/>
          <w:highlight w:val="none"/>
          <w:shd w:val="clear" w:color="auto" w:fill="FFFFFF"/>
        </w:rPr>
        <w:t>第六章</w:t>
      </w:r>
      <w:r>
        <w:rPr>
          <w:rFonts w:hint="eastAsia" w:asciiTheme="minorEastAsia" w:hAnsiTheme="minorEastAsia" w:eastAsiaTheme="minorEastAsia" w:cstheme="minorEastAsia"/>
          <w:bCs w:val="0"/>
          <w:caps w:val="0"/>
          <w:color w:val="auto"/>
          <w:sz w:val="28"/>
          <w:szCs w:val="28"/>
          <w:highlight w:val="none"/>
        </w:rPr>
        <w:t xml:space="preserve"> </w:t>
      </w:r>
      <w:r>
        <w:rPr>
          <w:rStyle w:val="24"/>
          <w:rFonts w:hint="eastAsia" w:asciiTheme="minorEastAsia" w:hAnsiTheme="minorEastAsia" w:eastAsiaTheme="minorEastAsia" w:cstheme="minorEastAsia"/>
          <w:color w:val="auto"/>
          <w:sz w:val="28"/>
          <w:szCs w:val="28"/>
          <w:highlight w:val="none"/>
          <w:shd w:val="clear" w:color="auto" w:fill="FFFFFF"/>
        </w:rPr>
        <w:t>投标文件格式</w:t>
      </w:r>
      <w:r>
        <w:rPr>
          <w:rFonts w:hint="eastAsia" w:asciiTheme="minorEastAsia" w:hAnsiTheme="minorEastAsia" w:eastAsiaTheme="minorEastAsia" w:cstheme="minorEastAsia"/>
          <w:color w:val="auto"/>
          <w:sz w:val="28"/>
          <w:szCs w:val="28"/>
          <w:highlight w:val="none"/>
        </w:rPr>
        <w:tab/>
      </w:r>
      <w:r>
        <w:rPr>
          <w:rFonts w:hint="eastAsia" w:asciiTheme="minorEastAsia" w:hAnsiTheme="minorEastAsia" w:eastAsiaTheme="minorEastAsia" w:cstheme="minorEastAsia"/>
          <w:color w:val="auto"/>
          <w:sz w:val="28"/>
          <w:szCs w:val="28"/>
          <w:highlight w:val="none"/>
        </w:rPr>
        <w:fldChar w:fldCharType="begin"/>
      </w:r>
      <w:r>
        <w:rPr>
          <w:rFonts w:hint="eastAsia" w:asciiTheme="minorEastAsia" w:hAnsiTheme="minorEastAsia" w:eastAsiaTheme="minorEastAsia" w:cstheme="minorEastAsia"/>
          <w:color w:val="auto"/>
          <w:sz w:val="28"/>
          <w:szCs w:val="28"/>
          <w:highlight w:val="none"/>
        </w:rPr>
        <w:instrText xml:space="preserve"> PAGEREF _Toc176358372 \h </w:instrText>
      </w:r>
      <w:r>
        <w:rPr>
          <w:rFonts w:hint="eastAsia" w:asciiTheme="minorEastAsia" w:hAnsiTheme="minorEastAsia" w:eastAsiaTheme="minorEastAsia" w:cstheme="minorEastAsia"/>
          <w:color w:val="auto"/>
          <w:sz w:val="28"/>
          <w:szCs w:val="28"/>
          <w:highlight w:val="none"/>
        </w:rPr>
        <w:fldChar w:fldCharType="separate"/>
      </w:r>
      <w:r>
        <w:rPr>
          <w:rFonts w:hint="eastAsia" w:asciiTheme="minorEastAsia" w:hAnsiTheme="minorEastAsia" w:eastAsiaTheme="minorEastAsia" w:cstheme="minorEastAsia"/>
          <w:color w:val="auto"/>
          <w:sz w:val="28"/>
          <w:szCs w:val="28"/>
          <w:highlight w:val="none"/>
        </w:rPr>
        <w:t>98</w:t>
      </w:r>
      <w:r>
        <w:rPr>
          <w:rFonts w:hint="eastAsia" w:asciiTheme="minorEastAsia" w:hAnsiTheme="minorEastAsia" w:eastAsiaTheme="minorEastAsia" w:cstheme="minorEastAsia"/>
          <w:color w:val="auto"/>
          <w:sz w:val="28"/>
          <w:szCs w:val="28"/>
          <w:highlight w:val="none"/>
        </w:rPr>
        <w:fldChar w:fldCharType="end"/>
      </w:r>
      <w:r>
        <w:rPr>
          <w:rFonts w:hint="eastAsia" w:asciiTheme="minorEastAsia" w:hAnsiTheme="minorEastAsia" w:eastAsiaTheme="minorEastAsia" w:cstheme="minorEastAsia"/>
          <w:color w:val="auto"/>
          <w:sz w:val="28"/>
          <w:szCs w:val="28"/>
          <w:highlight w:val="none"/>
        </w:rPr>
        <w:fldChar w:fldCharType="end"/>
      </w:r>
    </w:p>
    <w:p w14:paraId="53AF93AA">
      <w:pPr>
        <w:spacing w:line="480" w:lineRule="auto"/>
        <w:ind w:firstLine="560" w:firstLineChars="200"/>
        <w:jc w:val="left"/>
        <w:rPr>
          <w:rFonts w:hint="eastAsia" w:asciiTheme="minorEastAsia" w:hAnsiTheme="minorEastAsia" w:eastAsiaTheme="minorEastAsia" w:cstheme="minorEastAsia"/>
          <w:color w:val="auto"/>
          <w:sz w:val="36"/>
          <w:szCs w:val="44"/>
          <w:highlight w:val="none"/>
          <w:shd w:val="clear" w:color="auto" w:fill="FFFFFF"/>
          <w:lang w:val="zh-CN" w:bidi="zh-CN"/>
        </w:rPr>
      </w:pPr>
      <w:r>
        <w:rPr>
          <w:rFonts w:hint="eastAsia" w:asciiTheme="minorEastAsia" w:hAnsiTheme="minorEastAsia" w:eastAsiaTheme="minorEastAsia" w:cstheme="minorEastAsia"/>
          <w:iCs/>
          <w:smallCaps/>
          <w:color w:val="auto"/>
          <w:sz w:val="28"/>
          <w:szCs w:val="28"/>
          <w:highlight w:val="none"/>
          <w:shd w:val="clear" w:color="auto" w:fill="FFFFFF"/>
        </w:rPr>
        <w:fldChar w:fldCharType="end"/>
      </w:r>
    </w:p>
    <w:p w14:paraId="1A568EF0">
      <w:pPr>
        <w:spacing w:line="360" w:lineRule="auto"/>
        <w:jc w:val="center"/>
        <w:outlineLvl w:val="0"/>
        <w:rPr>
          <w:rFonts w:hint="eastAsia" w:asciiTheme="minorEastAsia" w:hAnsiTheme="minorEastAsia" w:eastAsiaTheme="minorEastAsia" w:cstheme="minorEastAsia"/>
          <w:b/>
          <w:bCs/>
          <w:color w:val="auto"/>
          <w:sz w:val="30"/>
          <w:szCs w:val="32"/>
          <w:highlight w:val="none"/>
          <w:shd w:val="clear" w:color="auto" w:fill="FFFFFF"/>
        </w:rPr>
        <w:sectPr>
          <w:footerReference r:id="rId9" w:type="first"/>
          <w:footerReference r:id="rId8" w:type="default"/>
          <w:pgSz w:w="11906" w:h="16838"/>
          <w:pgMar w:top="1440" w:right="1946" w:bottom="1440" w:left="1560" w:header="851" w:footer="737" w:gutter="0"/>
          <w:pgNumType w:start="1"/>
          <w:cols w:space="720" w:num="1"/>
          <w:titlePg/>
          <w:docGrid w:type="lines" w:linePitch="381" w:charSpace="0"/>
        </w:sectPr>
      </w:pPr>
      <w:bookmarkStart w:id="7" w:name="_Toc176358315"/>
    </w:p>
    <w:p w14:paraId="4527795E">
      <w:pPr>
        <w:spacing w:line="360" w:lineRule="auto"/>
        <w:jc w:val="center"/>
        <w:outlineLvl w:val="0"/>
        <w:rPr>
          <w:rFonts w:hint="eastAsia" w:asciiTheme="minorEastAsia" w:hAnsiTheme="minorEastAsia" w:eastAsiaTheme="minorEastAsia" w:cstheme="minorEastAsia"/>
          <w:b/>
          <w:bCs/>
          <w:color w:val="auto"/>
          <w:sz w:val="30"/>
          <w:szCs w:val="32"/>
          <w:highlight w:val="none"/>
          <w:shd w:val="clear" w:color="auto" w:fill="FFFFFF"/>
        </w:rPr>
      </w:pPr>
      <w:r>
        <w:rPr>
          <w:rFonts w:hint="eastAsia" w:asciiTheme="minorEastAsia" w:hAnsiTheme="minorEastAsia" w:eastAsiaTheme="minorEastAsia" w:cstheme="minorEastAsia"/>
          <w:b/>
          <w:bCs/>
          <w:color w:val="auto"/>
          <w:sz w:val="30"/>
          <w:szCs w:val="32"/>
          <w:highlight w:val="none"/>
          <w:shd w:val="clear" w:color="auto" w:fill="FFFFFF"/>
        </w:rPr>
        <w:t>第一章  招标公告</w:t>
      </w:r>
      <w:bookmarkEnd w:id="4"/>
      <w:bookmarkEnd w:id="5"/>
      <w:bookmarkEnd w:id="6"/>
      <w:bookmarkEnd w:id="7"/>
    </w:p>
    <w:p w14:paraId="455D8875">
      <w:pPr>
        <w:spacing w:line="360" w:lineRule="auto"/>
        <w:ind w:firstLine="565" w:firstLineChars="201"/>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项目概况</w:t>
      </w:r>
    </w:p>
    <w:p w14:paraId="1A72851E">
      <w:pPr>
        <w:spacing w:line="360" w:lineRule="auto"/>
        <w:ind w:firstLine="560" w:firstLineChars="200"/>
        <w:jc w:val="left"/>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u w:val="single"/>
          <w:shd w:val="clear" w:color="auto" w:fill="FFFFFF"/>
          <w:lang w:eastAsia="zh-CN" w:bidi="ar"/>
        </w:rPr>
        <w:t>灵宝市教育体育局校园重点部位视频监控升级项目</w:t>
      </w:r>
      <w:r>
        <w:rPr>
          <w:rFonts w:hint="eastAsia" w:asciiTheme="minorEastAsia" w:hAnsiTheme="minorEastAsia" w:eastAsiaTheme="minorEastAsia" w:cstheme="minorEastAsia"/>
          <w:color w:val="auto"/>
          <w:sz w:val="28"/>
          <w:szCs w:val="28"/>
          <w:highlight w:val="none"/>
          <w:shd w:val="clear" w:color="auto" w:fill="FFFFFF"/>
          <w:lang w:bidi="ar"/>
        </w:rPr>
        <w:t>招标项目的潜在投标人应在</w:t>
      </w:r>
      <w:r>
        <w:rPr>
          <w:rFonts w:hint="eastAsia" w:asciiTheme="minorEastAsia" w:hAnsiTheme="minorEastAsia" w:eastAsiaTheme="minorEastAsia" w:cstheme="minorEastAsia"/>
          <w:color w:val="auto"/>
          <w:sz w:val="28"/>
          <w:szCs w:val="28"/>
          <w:highlight w:val="none"/>
          <w:u w:val="single"/>
          <w:shd w:val="clear" w:color="auto" w:fill="FFFFFF"/>
          <w:lang w:bidi="ar"/>
        </w:rPr>
        <w:t>三门峡市公共资源交易中心电子交易平台</w:t>
      </w:r>
      <w:r>
        <w:rPr>
          <w:rFonts w:hint="eastAsia" w:asciiTheme="minorEastAsia" w:hAnsiTheme="minorEastAsia" w:eastAsiaTheme="minorEastAsia" w:cstheme="minorEastAsia"/>
          <w:color w:val="auto"/>
          <w:sz w:val="28"/>
          <w:szCs w:val="28"/>
          <w:highlight w:val="none"/>
          <w:shd w:val="clear" w:color="auto" w:fill="FFFFFF"/>
          <w:lang w:bidi="ar"/>
        </w:rPr>
        <w:t>获取招标文件，并于</w:t>
      </w:r>
      <w:r>
        <w:rPr>
          <w:rFonts w:hint="eastAsia" w:asciiTheme="minorEastAsia" w:hAnsiTheme="minorEastAsia" w:eastAsiaTheme="minorEastAsia" w:cstheme="minorEastAsia"/>
          <w:color w:val="auto"/>
          <w:sz w:val="28"/>
          <w:szCs w:val="28"/>
          <w:highlight w:val="none"/>
          <w:u w:val="single"/>
          <w:shd w:val="clear" w:color="auto" w:fill="FFFFFF"/>
          <w:lang w:eastAsia="zh-CN" w:bidi="ar"/>
        </w:rPr>
        <w:t>2026年08月28日08时30分</w:t>
      </w:r>
      <w:r>
        <w:rPr>
          <w:rFonts w:hint="eastAsia" w:asciiTheme="minorEastAsia" w:hAnsiTheme="minorEastAsia" w:eastAsiaTheme="minorEastAsia" w:cstheme="minorEastAsia"/>
          <w:color w:val="auto"/>
          <w:sz w:val="28"/>
          <w:szCs w:val="28"/>
          <w:highlight w:val="none"/>
          <w:shd w:val="clear" w:color="auto" w:fill="FFFFFF"/>
          <w:lang w:bidi="ar"/>
        </w:rPr>
        <w:t>（北京时间）前递交投标文件。</w:t>
      </w:r>
    </w:p>
    <w:p w14:paraId="536F305D">
      <w:pPr>
        <w:spacing w:line="360" w:lineRule="auto"/>
        <w:ind w:firstLine="562" w:firstLineChars="200"/>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一、项目基本情况</w:t>
      </w:r>
    </w:p>
    <w:p w14:paraId="4BA169CD">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1、项目编号：</w:t>
      </w:r>
      <w:r>
        <w:rPr>
          <w:rFonts w:hint="eastAsia" w:asciiTheme="minorEastAsia" w:hAnsiTheme="minorEastAsia" w:eastAsiaTheme="minorEastAsia" w:cstheme="minorEastAsia"/>
          <w:color w:val="auto"/>
          <w:sz w:val="28"/>
          <w:szCs w:val="28"/>
          <w:highlight w:val="none"/>
          <w:shd w:val="clear" w:color="auto" w:fill="FFFFFF"/>
          <w:lang w:eastAsia="zh-CN" w:bidi="ar"/>
        </w:rPr>
        <w:t>灵宝公开采购-2026-28</w:t>
      </w:r>
    </w:p>
    <w:p w14:paraId="0016330F">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2、项目名称：</w:t>
      </w:r>
      <w:r>
        <w:rPr>
          <w:rFonts w:hint="eastAsia" w:asciiTheme="minorEastAsia" w:hAnsiTheme="minorEastAsia" w:eastAsiaTheme="minorEastAsia" w:cstheme="minorEastAsia"/>
          <w:color w:val="auto"/>
          <w:sz w:val="28"/>
          <w:szCs w:val="28"/>
          <w:highlight w:val="none"/>
          <w:shd w:val="clear" w:color="auto" w:fill="FFFFFF"/>
          <w:lang w:eastAsia="zh-CN" w:bidi="ar"/>
        </w:rPr>
        <w:t>灵宝市教育体育局校园重点部位视频监控升级项目</w:t>
      </w:r>
    </w:p>
    <w:p w14:paraId="386CBEEE">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3、采购方式：公开招标</w:t>
      </w:r>
    </w:p>
    <w:p w14:paraId="41858DCC">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4、最高限价：</w:t>
      </w:r>
      <w:r>
        <w:rPr>
          <w:rFonts w:hint="eastAsia" w:asciiTheme="minorEastAsia" w:hAnsiTheme="minorEastAsia" w:eastAsiaTheme="minorEastAsia" w:cstheme="minorEastAsia"/>
          <w:color w:val="auto"/>
          <w:sz w:val="28"/>
          <w:szCs w:val="28"/>
          <w:highlight w:val="none"/>
          <w:shd w:val="clear" w:color="auto" w:fill="FFFFFF"/>
          <w:lang w:val="en-US" w:eastAsia="zh-CN" w:bidi="ar"/>
        </w:rPr>
        <w:t>210.914955万</w:t>
      </w:r>
      <w:r>
        <w:rPr>
          <w:rFonts w:hint="eastAsia" w:asciiTheme="minorEastAsia" w:hAnsiTheme="minorEastAsia" w:eastAsiaTheme="minorEastAsia" w:cstheme="minorEastAsia"/>
          <w:color w:val="auto"/>
          <w:sz w:val="28"/>
          <w:szCs w:val="28"/>
          <w:highlight w:val="none"/>
          <w:shd w:val="clear" w:color="auto" w:fill="FFFFFF"/>
          <w:lang w:bidi="ar"/>
        </w:rPr>
        <w:t>元</w:t>
      </w:r>
    </w:p>
    <w:tbl>
      <w:tblPr>
        <w:tblStyle w:val="19"/>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2876"/>
        <w:gridCol w:w="2624"/>
        <w:gridCol w:w="1616"/>
        <w:gridCol w:w="1828"/>
      </w:tblGrid>
      <w:tr w14:paraId="4662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120497A1">
            <w:pPr>
              <w:spacing w:line="360" w:lineRule="auto"/>
              <w:jc w:val="center"/>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序号</w:t>
            </w:r>
          </w:p>
        </w:tc>
        <w:tc>
          <w:tcPr>
            <w:tcW w:w="2757" w:type="dxa"/>
            <w:vAlign w:val="center"/>
          </w:tcPr>
          <w:p w14:paraId="168A9055">
            <w:pPr>
              <w:spacing w:line="360" w:lineRule="auto"/>
              <w:jc w:val="center"/>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包号</w:t>
            </w:r>
          </w:p>
        </w:tc>
        <w:tc>
          <w:tcPr>
            <w:tcW w:w="2771" w:type="dxa"/>
            <w:vAlign w:val="center"/>
          </w:tcPr>
          <w:p w14:paraId="4256B3F0">
            <w:pPr>
              <w:spacing w:line="360" w:lineRule="auto"/>
              <w:jc w:val="center"/>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包名称</w:t>
            </w:r>
          </w:p>
        </w:tc>
        <w:tc>
          <w:tcPr>
            <w:tcW w:w="1559" w:type="dxa"/>
            <w:vAlign w:val="center"/>
          </w:tcPr>
          <w:p w14:paraId="3C2EBFCC">
            <w:pPr>
              <w:spacing w:line="360" w:lineRule="auto"/>
              <w:jc w:val="center"/>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包预算（</w:t>
            </w:r>
            <w:r>
              <w:rPr>
                <w:rFonts w:hint="eastAsia" w:asciiTheme="minorEastAsia" w:hAnsiTheme="minorEastAsia" w:eastAsiaTheme="minorEastAsia" w:cstheme="minorEastAsia"/>
                <w:color w:val="auto"/>
                <w:kern w:val="0"/>
                <w:sz w:val="28"/>
                <w:szCs w:val="28"/>
                <w:highlight w:val="none"/>
                <w:lang w:val="en-US" w:eastAsia="zh-CN" w:bidi="ar"/>
              </w:rPr>
              <w:t>万</w:t>
            </w:r>
            <w:r>
              <w:rPr>
                <w:rFonts w:hint="eastAsia" w:asciiTheme="minorEastAsia" w:hAnsiTheme="minorEastAsia" w:eastAsiaTheme="minorEastAsia" w:cstheme="minorEastAsia"/>
                <w:color w:val="auto"/>
                <w:kern w:val="0"/>
                <w:sz w:val="28"/>
                <w:szCs w:val="28"/>
                <w:highlight w:val="none"/>
                <w:lang w:bidi="ar"/>
              </w:rPr>
              <w:t>元）</w:t>
            </w:r>
          </w:p>
        </w:tc>
        <w:tc>
          <w:tcPr>
            <w:tcW w:w="1843" w:type="dxa"/>
            <w:vAlign w:val="center"/>
          </w:tcPr>
          <w:p w14:paraId="664A76F2">
            <w:pPr>
              <w:spacing w:line="360" w:lineRule="auto"/>
              <w:jc w:val="center"/>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包最高限价（</w:t>
            </w:r>
            <w:r>
              <w:rPr>
                <w:rFonts w:hint="eastAsia" w:asciiTheme="minorEastAsia" w:hAnsiTheme="minorEastAsia" w:eastAsiaTheme="minorEastAsia" w:cstheme="minorEastAsia"/>
                <w:color w:val="auto"/>
                <w:kern w:val="0"/>
                <w:sz w:val="28"/>
                <w:szCs w:val="28"/>
                <w:highlight w:val="none"/>
                <w:lang w:val="en-US" w:eastAsia="zh-CN" w:bidi="ar"/>
              </w:rPr>
              <w:t>万</w:t>
            </w:r>
            <w:r>
              <w:rPr>
                <w:rFonts w:hint="eastAsia" w:asciiTheme="minorEastAsia" w:hAnsiTheme="minorEastAsia" w:eastAsiaTheme="minorEastAsia" w:cstheme="minorEastAsia"/>
                <w:color w:val="auto"/>
                <w:kern w:val="0"/>
                <w:sz w:val="28"/>
                <w:szCs w:val="28"/>
                <w:highlight w:val="none"/>
                <w:lang w:bidi="ar"/>
              </w:rPr>
              <w:t>元）</w:t>
            </w:r>
          </w:p>
        </w:tc>
      </w:tr>
      <w:tr w14:paraId="626D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14:paraId="794F7736">
            <w:pPr>
              <w:spacing w:line="360" w:lineRule="auto"/>
              <w:jc w:val="center"/>
              <w:rPr>
                <w:rFonts w:hint="eastAsia" w:asciiTheme="minorEastAsia" w:hAnsiTheme="minorEastAsia" w:eastAsiaTheme="minorEastAsia" w:cstheme="minorEastAsia"/>
                <w:color w:val="auto"/>
                <w:kern w:val="0"/>
                <w:sz w:val="28"/>
                <w:szCs w:val="28"/>
                <w:highlight w:val="none"/>
                <w:lang w:bidi="ar"/>
              </w:rPr>
            </w:pPr>
            <w:r>
              <w:rPr>
                <w:rFonts w:hint="eastAsia" w:asciiTheme="minorEastAsia" w:hAnsiTheme="minorEastAsia" w:eastAsiaTheme="minorEastAsia" w:cstheme="minorEastAsia"/>
                <w:color w:val="auto"/>
                <w:kern w:val="0"/>
                <w:sz w:val="28"/>
                <w:szCs w:val="28"/>
                <w:highlight w:val="none"/>
                <w:lang w:bidi="ar"/>
              </w:rPr>
              <w:t>1</w:t>
            </w:r>
          </w:p>
        </w:tc>
        <w:tc>
          <w:tcPr>
            <w:tcW w:w="2757" w:type="dxa"/>
            <w:vAlign w:val="center"/>
          </w:tcPr>
          <w:p w14:paraId="1FFCF774">
            <w:pPr>
              <w:spacing w:line="360" w:lineRule="auto"/>
              <w:jc w:val="center"/>
              <w:rPr>
                <w:rFonts w:hint="eastAsia" w:asciiTheme="minorEastAsia" w:hAnsiTheme="minorEastAsia" w:eastAsiaTheme="minorEastAsia" w:cstheme="minorEastAsia"/>
                <w:color w:val="auto"/>
                <w:kern w:val="0"/>
                <w:sz w:val="28"/>
                <w:szCs w:val="28"/>
                <w:highlight w:val="none"/>
                <w:lang w:eastAsia="zh-CN" w:bidi="ar"/>
              </w:rPr>
            </w:pPr>
            <w:r>
              <w:rPr>
                <w:rFonts w:hint="eastAsia" w:asciiTheme="minorEastAsia" w:hAnsiTheme="minorEastAsia" w:eastAsiaTheme="minorEastAsia" w:cstheme="minorEastAsia"/>
                <w:color w:val="auto"/>
                <w:kern w:val="0"/>
                <w:sz w:val="28"/>
                <w:szCs w:val="28"/>
                <w:highlight w:val="none"/>
                <w:lang w:eastAsia="zh-CN" w:bidi="ar"/>
              </w:rPr>
              <w:t>LBGZ[2026]162-ZC125</w:t>
            </w:r>
          </w:p>
        </w:tc>
        <w:tc>
          <w:tcPr>
            <w:tcW w:w="2771" w:type="dxa"/>
            <w:vAlign w:val="center"/>
          </w:tcPr>
          <w:p w14:paraId="1D61A5D8">
            <w:pPr>
              <w:spacing w:line="360" w:lineRule="auto"/>
              <w:jc w:val="center"/>
              <w:rPr>
                <w:rFonts w:hint="eastAsia" w:asciiTheme="minorEastAsia" w:hAnsiTheme="minorEastAsia" w:eastAsiaTheme="minorEastAsia" w:cstheme="minorEastAsia"/>
                <w:color w:val="auto"/>
                <w:kern w:val="0"/>
                <w:sz w:val="28"/>
                <w:szCs w:val="28"/>
                <w:highlight w:val="none"/>
                <w:lang w:eastAsia="zh-CN" w:bidi="ar"/>
              </w:rPr>
            </w:pPr>
            <w:r>
              <w:rPr>
                <w:rFonts w:hint="eastAsia" w:asciiTheme="minorEastAsia" w:hAnsiTheme="minorEastAsia" w:eastAsiaTheme="minorEastAsia" w:cstheme="minorEastAsia"/>
                <w:color w:val="auto"/>
                <w:kern w:val="0"/>
                <w:sz w:val="28"/>
                <w:szCs w:val="28"/>
                <w:highlight w:val="none"/>
                <w:lang w:eastAsia="zh-CN" w:bidi="ar"/>
              </w:rPr>
              <w:t>灵宝市教育体育局校园重点部位视频监控升级项目</w:t>
            </w:r>
          </w:p>
        </w:tc>
        <w:tc>
          <w:tcPr>
            <w:tcW w:w="1559" w:type="dxa"/>
            <w:vAlign w:val="center"/>
          </w:tcPr>
          <w:p w14:paraId="27CFA798">
            <w:pPr>
              <w:spacing w:line="360" w:lineRule="auto"/>
              <w:jc w:val="center"/>
              <w:rPr>
                <w:rFonts w:hint="eastAsia" w:asciiTheme="minorEastAsia" w:hAnsiTheme="minorEastAsia" w:eastAsiaTheme="minorEastAsia" w:cstheme="minorEastAsia"/>
                <w:color w:val="auto"/>
                <w:kern w:val="0"/>
                <w:sz w:val="28"/>
                <w:szCs w:val="28"/>
                <w:highlight w:val="none"/>
                <w:lang w:eastAsia="zh-CN" w:bidi="ar"/>
              </w:rPr>
            </w:pPr>
            <w:r>
              <w:rPr>
                <w:rFonts w:hint="eastAsia" w:asciiTheme="minorEastAsia" w:hAnsiTheme="minorEastAsia" w:eastAsiaTheme="minorEastAsia" w:cstheme="minorEastAsia"/>
                <w:color w:val="auto"/>
                <w:kern w:val="0"/>
                <w:sz w:val="28"/>
                <w:szCs w:val="28"/>
                <w:highlight w:val="none"/>
                <w:lang w:eastAsia="zh-CN" w:bidi="ar"/>
              </w:rPr>
              <w:t>210.914955</w:t>
            </w:r>
          </w:p>
        </w:tc>
        <w:tc>
          <w:tcPr>
            <w:tcW w:w="1843" w:type="dxa"/>
            <w:vAlign w:val="center"/>
          </w:tcPr>
          <w:p w14:paraId="53FE3173">
            <w:pPr>
              <w:spacing w:line="360" w:lineRule="auto"/>
              <w:jc w:val="center"/>
              <w:rPr>
                <w:rFonts w:hint="eastAsia" w:asciiTheme="minorEastAsia" w:hAnsiTheme="minorEastAsia" w:eastAsiaTheme="minorEastAsia" w:cstheme="minorEastAsia"/>
                <w:color w:val="auto"/>
                <w:kern w:val="0"/>
                <w:sz w:val="28"/>
                <w:szCs w:val="28"/>
                <w:highlight w:val="none"/>
                <w:lang w:eastAsia="zh-CN" w:bidi="ar"/>
              </w:rPr>
            </w:pPr>
            <w:r>
              <w:rPr>
                <w:rFonts w:hint="eastAsia" w:asciiTheme="minorEastAsia" w:hAnsiTheme="minorEastAsia" w:eastAsiaTheme="minorEastAsia" w:cstheme="minorEastAsia"/>
                <w:color w:val="auto"/>
                <w:kern w:val="0"/>
                <w:sz w:val="28"/>
                <w:szCs w:val="28"/>
                <w:highlight w:val="none"/>
                <w:lang w:eastAsia="zh-CN" w:bidi="ar"/>
              </w:rPr>
              <w:t>210.914955</w:t>
            </w:r>
          </w:p>
        </w:tc>
      </w:tr>
    </w:tbl>
    <w:p w14:paraId="50AA4389">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5、采购需求(包括但不限于标的的名称、数量、简要技术需求或服务要求等)</w:t>
      </w:r>
    </w:p>
    <w:p w14:paraId="542AFC88">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（1）采购范围：</w:t>
      </w:r>
      <w:r>
        <w:rPr>
          <w:rFonts w:hint="eastAsia" w:asciiTheme="minorEastAsia" w:hAnsiTheme="minorEastAsia" w:eastAsiaTheme="minorEastAsia" w:cstheme="minorEastAsia"/>
          <w:color w:val="auto"/>
          <w:sz w:val="28"/>
          <w:szCs w:val="28"/>
          <w:highlight w:val="none"/>
          <w:shd w:val="clear" w:color="auto" w:fill="FFFFFF"/>
          <w:lang w:eastAsia="zh-CN" w:bidi="ar"/>
        </w:rPr>
        <w:t>灵宝市教育体育局校园重点部位视频监控升级项目</w:t>
      </w:r>
      <w:r>
        <w:rPr>
          <w:rFonts w:hint="eastAsia" w:asciiTheme="minorEastAsia" w:hAnsiTheme="minorEastAsia" w:eastAsiaTheme="minorEastAsia" w:cstheme="minorEastAsia"/>
          <w:color w:val="auto"/>
          <w:sz w:val="28"/>
          <w:szCs w:val="28"/>
          <w:highlight w:val="none"/>
          <w:shd w:val="clear" w:color="auto" w:fill="FFFFFF"/>
          <w:lang w:bidi="ar"/>
        </w:rPr>
        <w:t>，</w:t>
      </w:r>
      <w:r>
        <w:rPr>
          <w:rFonts w:hint="eastAsia" w:asciiTheme="minorEastAsia" w:hAnsiTheme="minorEastAsia" w:eastAsiaTheme="minorEastAsia" w:cstheme="minorEastAsia"/>
          <w:color w:val="auto"/>
          <w:sz w:val="28"/>
          <w:szCs w:val="28"/>
          <w:highlight w:val="none"/>
          <w:shd w:val="clear" w:color="auto" w:fill="FFFFFF"/>
          <w:lang w:val="en-US" w:eastAsia="zh-CN" w:bidi="ar"/>
        </w:rPr>
        <w:t>对灵宝市15所义务教育中小学校校园重点部位监控设施进行升级改造，主要内容为网络摄像机、交换机、录像机、硬盘等安防设备的采购及安装、调试、验收、培训、质保期服务、与货物有关的运输和保险及其他伴随服务</w:t>
      </w:r>
      <w:r>
        <w:rPr>
          <w:rFonts w:hint="eastAsia" w:asciiTheme="minorEastAsia" w:hAnsiTheme="minorEastAsia" w:eastAsiaTheme="minorEastAsia" w:cstheme="minorEastAsia"/>
          <w:color w:val="auto"/>
          <w:sz w:val="28"/>
          <w:szCs w:val="28"/>
          <w:highlight w:val="none"/>
          <w:shd w:val="clear" w:color="auto" w:fill="FFFFFF"/>
          <w:lang w:eastAsia="zh-CN" w:bidi="ar"/>
        </w:rPr>
        <w:t>，</w:t>
      </w:r>
      <w:r>
        <w:rPr>
          <w:rFonts w:hint="eastAsia" w:asciiTheme="minorEastAsia" w:hAnsiTheme="minorEastAsia" w:eastAsiaTheme="minorEastAsia" w:cstheme="minorEastAsia"/>
          <w:color w:val="auto"/>
          <w:sz w:val="28"/>
          <w:szCs w:val="28"/>
          <w:highlight w:val="none"/>
          <w:shd w:val="clear" w:color="auto" w:fill="FFFFFF"/>
          <w:lang w:bidi="ar"/>
        </w:rPr>
        <w:t>具体技术参数要求详见“招标文件第三章采购内容及参数要求”；</w:t>
      </w:r>
    </w:p>
    <w:p w14:paraId="120D63B5">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（2）资金来源：财政资金，已落实；</w:t>
      </w:r>
    </w:p>
    <w:p w14:paraId="329FB81B">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（3）标段划分：本项目划分1个标段；</w:t>
      </w:r>
    </w:p>
    <w:p w14:paraId="01B16515">
      <w:pPr>
        <w:spacing w:line="360" w:lineRule="auto"/>
        <w:ind w:firstLine="560" w:firstLineChars="200"/>
        <w:jc w:val="left"/>
        <w:rPr>
          <w:rFonts w:hint="eastAsia" w:asciiTheme="minorEastAsia" w:hAnsiTheme="minorEastAsia" w:eastAsiaTheme="minorEastAsia" w:cstheme="minorEastAsia"/>
          <w:color w:val="auto"/>
          <w:sz w:val="28"/>
          <w:szCs w:val="28"/>
          <w:highlight w:val="none"/>
          <w:lang w:bidi="ar"/>
        </w:rPr>
      </w:pPr>
      <w:r>
        <w:rPr>
          <w:rFonts w:hint="eastAsia" w:asciiTheme="minorEastAsia" w:hAnsiTheme="minorEastAsia" w:eastAsiaTheme="minorEastAsia" w:cstheme="minorEastAsia"/>
          <w:color w:val="auto"/>
          <w:sz w:val="28"/>
          <w:szCs w:val="28"/>
          <w:highlight w:val="none"/>
          <w:lang w:bidi="ar"/>
        </w:rPr>
        <w:t>（4）质量要求：符合国家规定，达到正常使用条件，满足采购人需求；</w:t>
      </w:r>
    </w:p>
    <w:p w14:paraId="28E152F7">
      <w:pPr>
        <w:spacing w:line="360" w:lineRule="auto"/>
        <w:ind w:firstLine="560" w:firstLineChars="200"/>
        <w:jc w:val="left"/>
        <w:rPr>
          <w:rFonts w:hint="eastAsia" w:asciiTheme="minorEastAsia" w:hAnsiTheme="minorEastAsia" w:eastAsiaTheme="minorEastAsia" w:cstheme="minorEastAsia"/>
          <w:color w:val="auto"/>
          <w:sz w:val="28"/>
          <w:szCs w:val="28"/>
          <w:highlight w:val="none"/>
          <w:lang w:bidi="ar"/>
        </w:rPr>
      </w:pPr>
      <w:r>
        <w:rPr>
          <w:rFonts w:hint="eastAsia" w:asciiTheme="minorEastAsia" w:hAnsiTheme="minorEastAsia" w:eastAsiaTheme="minorEastAsia" w:cstheme="minorEastAsia"/>
          <w:color w:val="auto"/>
          <w:sz w:val="28"/>
          <w:szCs w:val="28"/>
          <w:highlight w:val="none"/>
          <w:lang w:bidi="ar"/>
        </w:rPr>
        <w:t>（5）交货地点：采购人指定地点；</w:t>
      </w:r>
    </w:p>
    <w:p w14:paraId="44BB7017">
      <w:pPr>
        <w:spacing w:line="360" w:lineRule="auto"/>
        <w:ind w:firstLine="560" w:firstLineChars="200"/>
        <w:jc w:val="left"/>
        <w:rPr>
          <w:rFonts w:hint="eastAsia" w:asciiTheme="minorEastAsia" w:hAnsiTheme="minorEastAsia" w:eastAsiaTheme="minorEastAsia" w:cstheme="minorEastAsia"/>
          <w:color w:val="auto"/>
          <w:sz w:val="28"/>
          <w:szCs w:val="28"/>
          <w:highlight w:val="none"/>
          <w:lang w:bidi="ar"/>
        </w:rPr>
      </w:pPr>
      <w:r>
        <w:rPr>
          <w:rFonts w:hint="eastAsia" w:asciiTheme="minorEastAsia" w:hAnsiTheme="minorEastAsia" w:eastAsiaTheme="minorEastAsia" w:cstheme="minorEastAsia"/>
          <w:color w:val="auto"/>
          <w:sz w:val="28"/>
          <w:szCs w:val="28"/>
          <w:highlight w:val="none"/>
          <w:lang w:bidi="ar"/>
        </w:rPr>
        <w:t>（6）合同履行期限（交货期）：</w:t>
      </w:r>
      <w:r>
        <w:rPr>
          <w:rFonts w:hint="eastAsia" w:asciiTheme="minorEastAsia" w:hAnsiTheme="minorEastAsia" w:eastAsiaTheme="minorEastAsia" w:cstheme="minorEastAsia"/>
          <w:color w:val="auto"/>
          <w:sz w:val="28"/>
          <w:szCs w:val="28"/>
          <w:highlight w:val="none"/>
          <w:lang w:val="en-US" w:eastAsia="zh-CN"/>
        </w:rPr>
        <w:t>30日历天内</w:t>
      </w:r>
      <w:r>
        <w:rPr>
          <w:rFonts w:hint="eastAsia" w:asciiTheme="minorEastAsia" w:hAnsiTheme="minorEastAsia" w:eastAsiaTheme="minorEastAsia" w:cstheme="minorEastAsia"/>
          <w:color w:val="auto"/>
          <w:sz w:val="28"/>
          <w:szCs w:val="28"/>
          <w:highlight w:val="none"/>
          <w:lang w:eastAsia="zh-CN"/>
        </w:rPr>
        <w:t>交货并完成安装调试</w:t>
      </w:r>
    </w:p>
    <w:p w14:paraId="43D4DE00">
      <w:pPr>
        <w:spacing w:line="360" w:lineRule="auto"/>
        <w:ind w:firstLine="560" w:firstLineChars="200"/>
        <w:jc w:val="left"/>
        <w:rPr>
          <w:rFonts w:hint="eastAsia" w:asciiTheme="minorEastAsia" w:hAnsiTheme="minorEastAsia" w:eastAsiaTheme="minorEastAsia" w:cstheme="minorEastAsia"/>
          <w:color w:val="auto"/>
          <w:sz w:val="28"/>
          <w:szCs w:val="28"/>
          <w:highlight w:val="none"/>
          <w:lang w:eastAsia="zh-CN" w:bidi="ar"/>
        </w:rPr>
      </w:pPr>
      <w:r>
        <w:rPr>
          <w:rFonts w:hint="eastAsia" w:asciiTheme="minorEastAsia" w:hAnsiTheme="minorEastAsia" w:eastAsiaTheme="minorEastAsia" w:cstheme="minorEastAsia"/>
          <w:color w:val="auto"/>
          <w:sz w:val="28"/>
          <w:szCs w:val="28"/>
          <w:highlight w:val="none"/>
          <w:lang w:bidi="ar"/>
        </w:rPr>
        <w:t>（7）质保期：</w:t>
      </w:r>
      <w:r>
        <w:rPr>
          <w:rFonts w:hint="eastAsia" w:asciiTheme="minorEastAsia" w:hAnsiTheme="minorEastAsia" w:eastAsiaTheme="minorEastAsia" w:cstheme="minorEastAsia"/>
          <w:color w:val="auto"/>
          <w:sz w:val="28"/>
          <w:szCs w:val="28"/>
          <w:highlight w:val="none"/>
          <w:lang w:eastAsia="zh-CN" w:bidi="ar"/>
        </w:rPr>
        <w:t>自本项目验收合格之日起</w:t>
      </w:r>
      <w:r>
        <w:rPr>
          <w:rFonts w:hint="eastAsia" w:asciiTheme="minorEastAsia" w:hAnsiTheme="minorEastAsia" w:eastAsiaTheme="minorEastAsia" w:cstheme="minorEastAsia"/>
          <w:color w:val="auto"/>
          <w:sz w:val="28"/>
          <w:szCs w:val="28"/>
          <w:highlight w:val="none"/>
          <w:lang w:val="en-US" w:eastAsia="zh-CN" w:bidi="ar"/>
        </w:rPr>
        <w:t>2</w:t>
      </w:r>
      <w:r>
        <w:rPr>
          <w:rFonts w:hint="eastAsia" w:asciiTheme="minorEastAsia" w:hAnsiTheme="minorEastAsia" w:eastAsiaTheme="minorEastAsia" w:cstheme="minorEastAsia"/>
          <w:color w:val="auto"/>
          <w:sz w:val="28"/>
          <w:szCs w:val="28"/>
          <w:highlight w:val="none"/>
          <w:lang w:eastAsia="zh-CN" w:bidi="ar"/>
        </w:rPr>
        <w:t>年（</w:t>
      </w:r>
      <w:r>
        <w:rPr>
          <w:rFonts w:hint="eastAsia" w:asciiTheme="minorEastAsia" w:hAnsiTheme="minorEastAsia" w:eastAsiaTheme="minorEastAsia" w:cstheme="minorEastAsia"/>
          <w:color w:val="auto"/>
          <w:sz w:val="28"/>
          <w:szCs w:val="28"/>
          <w:highlight w:val="none"/>
          <w:lang w:val="en-US" w:eastAsia="zh-CN" w:bidi="ar"/>
        </w:rPr>
        <w:t>含售后服务</w:t>
      </w:r>
      <w:r>
        <w:rPr>
          <w:rFonts w:hint="eastAsia" w:asciiTheme="minorEastAsia" w:hAnsiTheme="minorEastAsia" w:eastAsiaTheme="minorEastAsia" w:cstheme="minorEastAsia"/>
          <w:color w:val="auto"/>
          <w:sz w:val="28"/>
          <w:szCs w:val="28"/>
          <w:highlight w:val="none"/>
          <w:lang w:eastAsia="zh-CN" w:bidi="ar"/>
        </w:rPr>
        <w:t>），相关产品有国家规定的质保期从其规定。</w:t>
      </w:r>
    </w:p>
    <w:p w14:paraId="3A45E3D4">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6、本项目是否接受联合体投标：否</w:t>
      </w:r>
    </w:p>
    <w:p w14:paraId="6784BE0B">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7、是否接受进口产品：否</w:t>
      </w:r>
    </w:p>
    <w:p w14:paraId="568E79F9">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8、是否专门面向中小企业：否</w:t>
      </w:r>
    </w:p>
    <w:p w14:paraId="56DC7B63">
      <w:pPr>
        <w:spacing w:line="360" w:lineRule="auto"/>
        <w:ind w:firstLine="562"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二、申请人资格要求：</w:t>
      </w:r>
    </w:p>
    <w:p w14:paraId="2DA00BAC">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1、满足《中华人民共和国政府采购法》第二十二条规定；</w:t>
      </w:r>
    </w:p>
    <w:p w14:paraId="6EE4DCF3">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2、落实政府采购政策满足的资格要求：</w:t>
      </w:r>
    </w:p>
    <w:p w14:paraId="63CFC361">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本项目非专门面向中小微企业采购项目,执行优先采购节能环保、环境标志性产品，促进中小企业（监狱企业、残疾人福利性企业）发展，落实在政府采购中实施本国产品标准及相关政策等政府采购政策；</w:t>
      </w:r>
    </w:p>
    <w:p w14:paraId="68F7B577">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3、本项目的特定资格要求</w:t>
      </w:r>
    </w:p>
    <w:p w14:paraId="3117C040">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3.1供应商应具有合法有效的营业执照（可使用电子营业执照），并在人员、资金、设备及专业技术等方面具有与本项目相匹配的合同履约能力（提供承诺函，格式自拟）；</w:t>
      </w:r>
    </w:p>
    <w:p w14:paraId="66790A05">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3.2参加政府采购活动近三年内，在经营活动中没有重大违法记录（提供承诺书，格式自拟）</w:t>
      </w:r>
    </w:p>
    <w:p w14:paraId="3181A59E">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3.3供应商须承诺本企业无商业贿赂及不正当竞争行为（提供承诺书，格式自拟）；</w:t>
      </w:r>
    </w:p>
    <w:p w14:paraId="345A17D9">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3.4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提供“中国执行信息公开网”、“信用中国”和“中国政府采购网”网站的查询信息截图，查询日期自公告发布之日起）；</w:t>
      </w:r>
    </w:p>
    <w:p w14:paraId="43B6507C">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3.5单位负责人为同一人或者存在直接控股、管理关系的不同投标人，不得参加同一合同项下的政府采购活动，提供“国家企业信用信息公示系统”中查询截图（查询信息需包含公司基本信息、股东信息及股权变更信息等相关信息，查询起始日期为本项目公告发布之后</w:t>
      </w:r>
      <w:r>
        <w:rPr>
          <w:rFonts w:hint="eastAsia" w:asciiTheme="minorEastAsia" w:hAnsiTheme="minorEastAsia" w:eastAsiaTheme="minorEastAsia" w:cstheme="minorEastAsia"/>
          <w:color w:val="auto"/>
          <w:sz w:val="28"/>
          <w:szCs w:val="28"/>
          <w:highlight w:val="none"/>
          <w:lang w:eastAsia="zh-CN"/>
        </w:rPr>
        <w:t>，</w:t>
      </w:r>
      <w:r>
        <w:rPr>
          <w:rFonts w:hint="eastAsia" w:asciiTheme="minorEastAsia" w:hAnsiTheme="minorEastAsia" w:eastAsiaTheme="minorEastAsia" w:cstheme="minorEastAsia"/>
          <w:color w:val="auto"/>
          <w:sz w:val="28"/>
          <w:szCs w:val="28"/>
          <w:highlight w:val="none"/>
          <w:lang w:val="en-US" w:eastAsia="zh-CN"/>
        </w:rPr>
        <w:t>非企业单位若</w:t>
      </w:r>
      <w:r>
        <w:rPr>
          <w:rFonts w:hint="eastAsia" w:asciiTheme="minorEastAsia" w:hAnsiTheme="minorEastAsia" w:eastAsiaTheme="minorEastAsia" w:cstheme="minorEastAsia"/>
          <w:color w:val="auto"/>
          <w:sz w:val="28"/>
          <w:szCs w:val="28"/>
          <w:highlight w:val="none"/>
        </w:rPr>
        <w:t>系统</w:t>
      </w:r>
      <w:r>
        <w:rPr>
          <w:rFonts w:hint="eastAsia" w:asciiTheme="minorEastAsia" w:hAnsiTheme="minorEastAsia" w:eastAsiaTheme="minorEastAsia" w:cstheme="minorEastAsia"/>
          <w:color w:val="auto"/>
          <w:sz w:val="28"/>
          <w:szCs w:val="28"/>
          <w:highlight w:val="none"/>
          <w:lang w:val="en-US" w:eastAsia="zh-CN"/>
        </w:rPr>
        <w:t>查询不出，则提供承诺书，格式自拟</w:t>
      </w:r>
      <w:r>
        <w:rPr>
          <w:rFonts w:hint="eastAsia" w:asciiTheme="minorEastAsia" w:hAnsiTheme="minorEastAsia" w:eastAsiaTheme="minorEastAsia" w:cstheme="minorEastAsia"/>
          <w:color w:val="auto"/>
          <w:sz w:val="28"/>
          <w:szCs w:val="28"/>
          <w:highlight w:val="none"/>
        </w:rPr>
        <w:t>）；</w:t>
      </w:r>
    </w:p>
    <w:p w14:paraId="188A9DA2">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3.6本项目不接受联合体投标（自行作出承诺，格式自拟）</w:t>
      </w:r>
    </w:p>
    <w:p w14:paraId="3018AD7D">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3.7本次采购实行资格后审，资格审查的具体要求见招标文件。</w:t>
      </w:r>
    </w:p>
    <w:p w14:paraId="3A22B04F">
      <w:pPr>
        <w:spacing w:line="360" w:lineRule="auto"/>
        <w:ind w:firstLine="562" w:firstLineChars="200"/>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三、获取招标文件</w:t>
      </w:r>
    </w:p>
    <w:p w14:paraId="680FBB92">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1.时间：</w:t>
      </w:r>
      <w:r>
        <w:rPr>
          <w:rFonts w:hint="eastAsia" w:asciiTheme="minorEastAsia" w:hAnsiTheme="minorEastAsia" w:eastAsiaTheme="minorEastAsia" w:cstheme="minorEastAsia"/>
          <w:color w:val="auto"/>
          <w:sz w:val="28"/>
          <w:szCs w:val="28"/>
          <w:highlight w:val="none"/>
          <w:shd w:val="clear" w:color="auto" w:fill="FFFFFF"/>
        </w:rPr>
        <w:t>202</w:t>
      </w:r>
      <w:r>
        <w:rPr>
          <w:rFonts w:hint="eastAsia" w:asciiTheme="minorEastAsia" w:hAnsiTheme="minorEastAsia" w:eastAsiaTheme="minorEastAsia" w:cstheme="minorEastAsia"/>
          <w:color w:val="auto"/>
          <w:sz w:val="28"/>
          <w:szCs w:val="28"/>
          <w:highlight w:val="none"/>
          <w:shd w:val="clear" w:color="auto" w:fill="FFFFFF"/>
          <w:lang w:val="en-US" w:eastAsia="zh-CN"/>
        </w:rPr>
        <w:t>6</w:t>
      </w:r>
      <w:r>
        <w:rPr>
          <w:rFonts w:hint="eastAsia" w:asciiTheme="minorEastAsia" w:hAnsiTheme="minorEastAsia" w:eastAsiaTheme="minorEastAsia" w:cstheme="minorEastAsia"/>
          <w:color w:val="auto"/>
          <w:sz w:val="28"/>
          <w:szCs w:val="28"/>
          <w:highlight w:val="none"/>
          <w:shd w:val="clear" w:color="auto" w:fill="FFFFFF"/>
        </w:rPr>
        <w:t>年</w:t>
      </w:r>
      <w:r>
        <w:rPr>
          <w:rFonts w:hint="eastAsia" w:asciiTheme="minorEastAsia" w:hAnsiTheme="minorEastAsia" w:eastAsiaTheme="minorEastAsia" w:cstheme="minorEastAsia"/>
          <w:color w:val="auto"/>
          <w:sz w:val="28"/>
          <w:szCs w:val="28"/>
          <w:highlight w:val="none"/>
          <w:shd w:val="clear" w:color="auto" w:fill="FFFFFF"/>
          <w:lang w:val="en-US" w:eastAsia="zh-CN"/>
        </w:rPr>
        <w:t>08</w:t>
      </w:r>
      <w:r>
        <w:rPr>
          <w:rFonts w:hint="eastAsia" w:asciiTheme="minorEastAsia" w:hAnsiTheme="minorEastAsia" w:eastAsiaTheme="minorEastAsia" w:cstheme="minorEastAsia"/>
          <w:color w:val="auto"/>
          <w:sz w:val="28"/>
          <w:szCs w:val="28"/>
          <w:highlight w:val="none"/>
          <w:shd w:val="clear" w:color="auto" w:fill="FFFFFF"/>
        </w:rPr>
        <w:t>月</w:t>
      </w:r>
      <w:r>
        <w:rPr>
          <w:rFonts w:hint="eastAsia" w:asciiTheme="minorEastAsia" w:hAnsiTheme="minorEastAsia" w:eastAsiaTheme="minorEastAsia" w:cstheme="minorEastAsia"/>
          <w:color w:val="auto"/>
          <w:sz w:val="28"/>
          <w:szCs w:val="28"/>
          <w:highlight w:val="none"/>
          <w:shd w:val="clear" w:color="auto" w:fill="FFFFFF"/>
          <w:lang w:val="en-US" w:eastAsia="zh-CN"/>
        </w:rPr>
        <w:t>08</w:t>
      </w:r>
      <w:r>
        <w:rPr>
          <w:rFonts w:hint="eastAsia" w:asciiTheme="minorEastAsia" w:hAnsiTheme="minorEastAsia" w:eastAsiaTheme="minorEastAsia" w:cstheme="minorEastAsia"/>
          <w:color w:val="auto"/>
          <w:sz w:val="28"/>
          <w:szCs w:val="28"/>
          <w:highlight w:val="none"/>
          <w:shd w:val="clear" w:color="auto" w:fill="FFFFFF"/>
        </w:rPr>
        <w:t>日至</w:t>
      </w:r>
      <w:r>
        <w:rPr>
          <w:rFonts w:hint="eastAsia" w:asciiTheme="minorEastAsia" w:hAnsiTheme="minorEastAsia" w:eastAsiaTheme="minorEastAsia" w:cstheme="minorEastAsia"/>
          <w:color w:val="auto"/>
          <w:sz w:val="28"/>
          <w:szCs w:val="28"/>
          <w:highlight w:val="none"/>
          <w:shd w:val="clear" w:color="auto" w:fill="FFFFFF"/>
          <w:lang w:eastAsia="zh-CN"/>
        </w:rPr>
        <w:t>2026年08月28日08时30分</w:t>
      </w:r>
    </w:p>
    <w:p w14:paraId="4AE61CC1">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2.地点：三门峡市公共资源交易中心电子交易平台</w:t>
      </w:r>
    </w:p>
    <w:p w14:paraId="70CF6FE3">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3.方式：供应商凭CA数字证书通过三门峡市公共资源交易</w:t>
      </w:r>
      <w:r>
        <w:rPr>
          <w:rFonts w:hint="eastAsia" w:asciiTheme="minorEastAsia" w:hAnsiTheme="minorEastAsia" w:eastAsiaTheme="minorEastAsia" w:cstheme="minorEastAsia"/>
          <w:color w:val="auto"/>
          <w:sz w:val="28"/>
          <w:szCs w:val="28"/>
          <w:highlight w:val="none"/>
        </w:rPr>
        <w:t>中</w:t>
      </w:r>
      <w:r>
        <w:rPr>
          <w:rFonts w:hint="eastAsia" w:asciiTheme="minorEastAsia" w:hAnsiTheme="minorEastAsia" w:eastAsiaTheme="minorEastAsia" w:cstheme="minorEastAsia"/>
          <w:color w:val="auto"/>
          <w:sz w:val="28"/>
          <w:szCs w:val="28"/>
          <w:highlight w:val="none"/>
          <w:shd w:val="clear" w:color="auto" w:fill="FFFFFF"/>
          <w:lang w:bidi="ar"/>
        </w:rPr>
        <w:t>心网（网址：http://gzjy.smx.gov.cn），点击交易平台选择“市场主体登录”，在所参与项目右侧点击参与投标，即可直接下载本项目招标文件。</w:t>
      </w:r>
    </w:p>
    <w:p w14:paraId="7DFA4444">
      <w:pPr>
        <w:wordWrap w:val="0"/>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办理CA证书：http://gzjy.smx.gov.cn/bzzx/008001/20211105/57b16af9-ab87-4395-a723-7758c628a3f8.html</w:t>
      </w:r>
    </w:p>
    <w:p w14:paraId="1DBE738A">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4.售价：0元</w:t>
      </w:r>
    </w:p>
    <w:p w14:paraId="0C10294C">
      <w:pPr>
        <w:spacing w:line="360" w:lineRule="auto"/>
        <w:ind w:firstLine="562"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四、投标截止时间及地点</w:t>
      </w:r>
    </w:p>
    <w:p w14:paraId="1B16551E">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1.时间：</w:t>
      </w:r>
      <w:r>
        <w:rPr>
          <w:rFonts w:hint="eastAsia" w:asciiTheme="minorEastAsia" w:hAnsiTheme="minorEastAsia" w:eastAsiaTheme="minorEastAsia" w:cstheme="minorEastAsia"/>
          <w:color w:val="auto"/>
          <w:sz w:val="28"/>
          <w:szCs w:val="28"/>
          <w:highlight w:val="none"/>
          <w:shd w:val="clear" w:color="auto" w:fill="FFFFFF"/>
          <w:lang w:eastAsia="zh-CN" w:bidi="ar"/>
        </w:rPr>
        <w:t>2026年08月28日08时30分</w:t>
      </w:r>
      <w:r>
        <w:rPr>
          <w:rFonts w:hint="eastAsia" w:asciiTheme="minorEastAsia" w:hAnsiTheme="minorEastAsia" w:eastAsiaTheme="minorEastAsia" w:cstheme="minorEastAsia"/>
          <w:color w:val="auto"/>
          <w:sz w:val="28"/>
          <w:szCs w:val="28"/>
          <w:highlight w:val="none"/>
          <w:shd w:val="clear" w:color="auto" w:fill="FFFFFF"/>
          <w:lang w:bidi="ar"/>
        </w:rPr>
        <w:t>（北京时间）</w:t>
      </w:r>
    </w:p>
    <w:p w14:paraId="4BF33ADC">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2.地点：加密电子投标文件须在投标截止时间前通过三门峡市公共资源交易中心电子交易平台加密上传。逾期上传的或者未上传指定地点的投标文件，采购人不予受理。</w:t>
      </w:r>
    </w:p>
    <w:p w14:paraId="7C7CFCF5">
      <w:pPr>
        <w:spacing w:line="360" w:lineRule="auto"/>
        <w:ind w:firstLine="562" w:firstLineChars="200"/>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五、开标时间及地点</w:t>
      </w:r>
    </w:p>
    <w:p w14:paraId="12EFE164">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1.时间：</w:t>
      </w:r>
      <w:r>
        <w:rPr>
          <w:rFonts w:hint="eastAsia" w:asciiTheme="minorEastAsia" w:hAnsiTheme="minorEastAsia" w:eastAsiaTheme="minorEastAsia" w:cstheme="minorEastAsia"/>
          <w:color w:val="auto"/>
          <w:sz w:val="28"/>
          <w:szCs w:val="28"/>
          <w:highlight w:val="none"/>
          <w:shd w:val="clear" w:color="auto" w:fill="FFFFFF"/>
          <w:lang w:eastAsia="zh-CN" w:bidi="ar"/>
        </w:rPr>
        <w:t>2026年08月28日08时30分</w:t>
      </w:r>
      <w:r>
        <w:rPr>
          <w:rFonts w:hint="eastAsia" w:asciiTheme="minorEastAsia" w:hAnsiTheme="minorEastAsia" w:eastAsiaTheme="minorEastAsia" w:cstheme="minorEastAsia"/>
          <w:color w:val="auto"/>
          <w:sz w:val="28"/>
          <w:szCs w:val="28"/>
          <w:highlight w:val="none"/>
          <w:shd w:val="clear" w:color="auto" w:fill="FFFFFF"/>
          <w:lang w:bidi="ar"/>
        </w:rPr>
        <w:t>（北京时间）</w:t>
      </w:r>
    </w:p>
    <w:p w14:paraId="046EAAAB">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2.地点：灵宝市公共资源交易中心</w:t>
      </w:r>
      <w:r>
        <w:rPr>
          <w:rFonts w:hint="eastAsia" w:asciiTheme="minorEastAsia" w:hAnsiTheme="minorEastAsia" w:eastAsiaTheme="minorEastAsia" w:cstheme="minorEastAsia"/>
          <w:color w:val="auto"/>
          <w:sz w:val="28"/>
          <w:szCs w:val="28"/>
          <w:highlight w:val="none"/>
          <w:shd w:val="clear" w:color="auto" w:fill="FFFFFF"/>
          <w:lang w:eastAsia="zh-CN" w:bidi="ar"/>
        </w:rPr>
        <w:t>开标二室、评标二室</w:t>
      </w:r>
      <w:r>
        <w:rPr>
          <w:rFonts w:hint="eastAsia" w:asciiTheme="minorEastAsia" w:hAnsiTheme="minorEastAsia" w:eastAsiaTheme="minorEastAsia" w:cstheme="minorEastAsia"/>
          <w:color w:val="auto"/>
          <w:sz w:val="28"/>
          <w:szCs w:val="28"/>
          <w:highlight w:val="none"/>
          <w:shd w:val="clear" w:color="auto" w:fill="FFFFFF"/>
          <w:lang w:bidi="ar"/>
        </w:rPr>
        <w:t>（灵宝市信用合作联社 12 楼）。</w:t>
      </w:r>
      <w:r>
        <w:rPr>
          <w:rFonts w:hint="eastAsia" w:asciiTheme="minorEastAsia" w:hAnsiTheme="minorEastAsia" w:eastAsiaTheme="minorEastAsia" w:cstheme="minorEastAsia"/>
          <w:color w:val="auto"/>
          <w:sz w:val="28"/>
          <w:szCs w:val="28"/>
          <w:highlight w:val="none"/>
          <w:shd w:val="clear" w:color="auto" w:fill="FFFFFF"/>
          <w:lang w:eastAsia="zh-CN" w:bidi="ar"/>
        </w:rPr>
        <w:t>（本项目为不见面开标项目。开标当日，投标人无需到开标现场参加开标会议，投标人应当在投标截止时间前，登陆不见面开标大厅选择登陆三门峡市公共资源电子招投标系统进行登陆）</w:t>
      </w:r>
    </w:p>
    <w:p w14:paraId="3C9A918A">
      <w:pPr>
        <w:spacing w:line="360" w:lineRule="auto"/>
        <w:ind w:firstLine="565" w:firstLineChars="201"/>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六、发布公告的媒介及招标公告期限</w:t>
      </w:r>
    </w:p>
    <w:p w14:paraId="07033355">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本次招标公告在</w:t>
      </w:r>
      <w:r>
        <w:rPr>
          <w:rFonts w:hint="eastAsia" w:asciiTheme="minorEastAsia" w:hAnsiTheme="minorEastAsia" w:eastAsiaTheme="minorEastAsia" w:cstheme="minorEastAsia"/>
          <w:color w:val="auto"/>
          <w:sz w:val="28"/>
          <w:szCs w:val="28"/>
          <w:highlight w:val="none"/>
          <w:shd w:val="clear" w:color="auto" w:fill="FFFFFF"/>
          <w:lang w:eastAsia="zh-CN" w:bidi="ar"/>
        </w:rPr>
        <w:t>《三门峡市公共资源交易中心网》《河南省政府采购网》</w:t>
      </w:r>
      <w:r>
        <w:rPr>
          <w:rFonts w:hint="eastAsia" w:asciiTheme="minorEastAsia" w:hAnsiTheme="minorEastAsia" w:eastAsiaTheme="minorEastAsia" w:cstheme="minorEastAsia"/>
          <w:color w:val="auto"/>
          <w:sz w:val="28"/>
          <w:szCs w:val="28"/>
          <w:highlight w:val="none"/>
          <w:shd w:val="clear" w:color="auto" w:fill="FFFFFF"/>
          <w:lang w:bidi="ar"/>
        </w:rPr>
        <w:t>《</w:t>
      </w:r>
      <w:r>
        <w:rPr>
          <w:rFonts w:hint="eastAsia" w:asciiTheme="minorEastAsia" w:hAnsiTheme="minorEastAsia" w:eastAsiaTheme="minorEastAsia" w:cstheme="minorEastAsia"/>
          <w:color w:val="auto"/>
          <w:sz w:val="28"/>
          <w:szCs w:val="28"/>
          <w:highlight w:val="none"/>
          <w:shd w:val="clear" w:color="auto" w:fill="FFFFFF"/>
          <w:lang w:eastAsia="zh-CN" w:bidi="ar"/>
        </w:rPr>
        <w:t>全国招标采购公共服务平台</w:t>
      </w:r>
      <w:r>
        <w:rPr>
          <w:rFonts w:hint="eastAsia" w:asciiTheme="minorEastAsia" w:hAnsiTheme="minorEastAsia" w:eastAsiaTheme="minorEastAsia" w:cstheme="minorEastAsia"/>
          <w:color w:val="auto"/>
          <w:sz w:val="28"/>
          <w:szCs w:val="28"/>
          <w:highlight w:val="none"/>
          <w:shd w:val="clear" w:color="auto" w:fill="FFFFFF"/>
          <w:lang w:bidi="ar"/>
        </w:rPr>
        <w:t>》等媒体上发布</w:t>
      </w:r>
      <w:r>
        <w:rPr>
          <w:rFonts w:hint="eastAsia" w:asciiTheme="minorEastAsia" w:hAnsiTheme="minorEastAsia" w:eastAsiaTheme="minorEastAsia" w:cstheme="minorEastAsia"/>
          <w:color w:val="auto"/>
          <w:sz w:val="28"/>
          <w:szCs w:val="28"/>
          <w:highlight w:val="none"/>
          <w:shd w:val="clear" w:color="auto" w:fill="FFFFFF"/>
          <w:lang w:eastAsia="zh-CN" w:bidi="ar"/>
        </w:rPr>
        <w:t>，</w:t>
      </w:r>
      <w:r>
        <w:rPr>
          <w:rFonts w:hint="eastAsia" w:asciiTheme="minorEastAsia" w:hAnsiTheme="minorEastAsia" w:eastAsiaTheme="minorEastAsia" w:cstheme="minorEastAsia"/>
          <w:color w:val="auto"/>
          <w:sz w:val="28"/>
          <w:szCs w:val="28"/>
          <w:highlight w:val="none"/>
          <w:shd w:val="clear" w:color="auto" w:fill="FFFFFF"/>
          <w:lang w:bidi="ar"/>
        </w:rPr>
        <w:t>招标公告期限为五个工作日。</w:t>
      </w:r>
    </w:p>
    <w:p w14:paraId="5E29FFAD">
      <w:pPr>
        <w:spacing w:line="360" w:lineRule="auto"/>
        <w:ind w:firstLine="562" w:firstLineChars="200"/>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七、其他补充事宜</w:t>
      </w:r>
    </w:p>
    <w:p w14:paraId="3FB83C43">
      <w:pPr>
        <w:wordWrap w:val="0"/>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1.</w:t>
      </w:r>
      <w:bookmarkStart w:id="8" w:name="_Hlk151208863"/>
      <w:r>
        <w:rPr>
          <w:rFonts w:hint="eastAsia" w:asciiTheme="minorEastAsia" w:hAnsiTheme="minorEastAsia" w:eastAsiaTheme="minorEastAsia" w:cstheme="minorEastAsia"/>
          <w:color w:val="auto"/>
          <w:sz w:val="28"/>
          <w:szCs w:val="28"/>
          <w:highlight w:val="none"/>
          <w:shd w:val="clear" w:color="auto" w:fill="FFFFFF"/>
          <w:lang w:bidi="ar"/>
        </w:rPr>
        <w:t>本项目为不见面开标项目，开标当日，供应商无需到开标现场参加开标会议，供应商应当在投标截止时间前，登陆不见面开标大厅选择登陆三门峡市公共资源电子招投标系统进行登陆（网址为</w:t>
      </w:r>
      <w:r>
        <w:rPr>
          <w:rFonts w:hint="eastAsia" w:asciiTheme="minorEastAsia" w:hAnsiTheme="minorEastAsia" w:eastAsiaTheme="minorEastAsia" w:cstheme="minorEastAsia"/>
          <w:color w:val="auto"/>
          <w:sz w:val="28"/>
          <w:szCs w:val="28"/>
          <w:highlight w:val="none"/>
          <w:shd w:val="clear" w:color="auto" w:fill="FFFFFF"/>
          <w:lang w:eastAsia="zh-CN" w:bidi="ar"/>
        </w:rPr>
        <w:t>http://120.194.249.36:10094/BidOpening/bidopeninghallaction/hall/login</w:t>
      </w:r>
      <w:r>
        <w:rPr>
          <w:rFonts w:hint="eastAsia" w:asciiTheme="minorEastAsia" w:hAnsiTheme="minorEastAsia" w:eastAsiaTheme="minorEastAsia" w:cstheme="minorEastAsia"/>
          <w:color w:val="auto"/>
          <w:sz w:val="28"/>
          <w:szCs w:val="28"/>
          <w:highlight w:val="none"/>
          <w:shd w:val="clear" w:color="auto" w:fill="FFFFFF"/>
          <w:lang w:bidi="ar"/>
        </w:rPr>
        <w:t>）,在线准时参加开标活动并进行投标文件解密等。每位供应商的解密时间为开标时间起30 分钟内完成。因供应商原因未能解密、解密失败或解密超时的将被拒绝。</w:t>
      </w:r>
      <w:bookmarkEnd w:id="8"/>
    </w:p>
    <w:p w14:paraId="0E0242A9">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2.根据《河南省财政厅关于优化政府采购营商环境有关问题的通知》（豫财购【2019】4号）第6条的规定，投标保证金不再收取。</w:t>
      </w:r>
    </w:p>
    <w:p w14:paraId="3E66C853">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3.本项目实行资格后审，评审中资格审查、评审打分以投标文件为准，其上传资料真实性由供应商自行承担。</w:t>
      </w:r>
    </w:p>
    <w:p w14:paraId="3568C4E1">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4.本项目为电子化、无纸化交易项目，开标时不再接受任何纸质资料，为保证您能投标成功，请需仔细阅读招标文件和三门峡市公共资源交易中心官网业务办理指南。</w:t>
      </w:r>
    </w:p>
    <w:p w14:paraId="7492A851">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5.根据优化营商环境的要求，评标时以投标文件为准：</w:t>
      </w:r>
    </w:p>
    <w:p w14:paraId="00DE6590">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（1）资格评（预）审部分：资格评（预）以投标文件为准，其上传资料真实性由供应商自行承担。</w:t>
      </w:r>
    </w:p>
    <w:p w14:paraId="250BF2C1">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（2）评标打分部分：评标打分部分仍按照100分制原则进行，涉及到资格审查、企业荣誉、人员业绩、企业业绩等计分部分时，以投标单位自行上传到投标文件中的相应内容为准。</w:t>
      </w:r>
    </w:p>
    <w:p w14:paraId="7E554BB2">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3）投标文件编制部分：在投标文件中要求供应商按照投标文件格式进行投标文件编制，在投标文件编制时，应明确将投标单位企业基本情况、资质情况、人员情况、财务情况、业绩情况编入投标文件，便于进行资格审查及评标打分。</w:t>
      </w:r>
    </w:p>
    <w:p w14:paraId="7D0ED40A">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6.投标所发生的一切费用由各供应商自行承担，并承担相应的风险和责任。</w:t>
      </w:r>
    </w:p>
    <w:p w14:paraId="12854781">
      <w:pPr>
        <w:spacing w:line="360" w:lineRule="auto"/>
        <w:ind w:firstLine="565" w:firstLineChars="201"/>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八、凡对本次招标提出询问，请按照以下方式联系</w:t>
      </w:r>
    </w:p>
    <w:p w14:paraId="500FA19F">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bookmarkStart w:id="9" w:name="_Toc176358316"/>
      <w:bookmarkStart w:id="10" w:name="_Toc108777130"/>
      <w:bookmarkStart w:id="11" w:name="_Toc108777255"/>
      <w:bookmarkStart w:id="12" w:name="_Toc108777067"/>
      <w:r>
        <w:rPr>
          <w:rFonts w:hint="eastAsia" w:asciiTheme="minorEastAsia" w:hAnsiTheme="minorEastAsia" w:eastAsiaTheme="minorEastAsia" w:cstheme="minorEastAsia"/>
          <w:color w:val="auto"/>
          <w:sz w:val="28"/>
          <w:szCs w:val="28"/>
          <w:highlight w:val="none"/>
          <w:shd w:val="clear" w:color="auto" w:fill="FFFFFF"/>
          <w:lang w:bidi="ar"/>
        </w:rPr>
        <w:t>监督部门：灵宝市财政局政府采购监督管理科</w:t>
      </w:r>
    </w:p>
    <w:p w14:paraId="5DD55B68">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bidi="ar"/>
        </w:rPr>
        <w:t>联系电话：0398-8852670</w:t>
      </w:r>
    </w:p>
    <w:p w14:paraId="28DC5ADA">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val="en-US" w:eastAsia="zh-CN" w:bidi="ar"/>
        </w:rPr>
        <w:t>监督单位：中国共产党灵宝市教育体育局党组</w:t>
      </w:r>
    </w:p>
    <w:p w14:paraId="66736ACA">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bidi="ar"/>
        </w:rPr>
      </w:pPr>
      <w:r>
        <w:rPr>
          <w:rFonts w:hint="eastAsia" w:asciiTheme="minorEastAsia" w:hAnsiTheme="minorEastAsia" w:eastAsiaTheme="minorEastAsia" w:cstheme="minorEastAsia"/>
          <w:color w:val="auto"/>
          <w:sz w:val="28"/>
          <w:szCs w:val="28"/>
          <w:highlight w:val="none"/>
          <w:shd w:val="clear" w:color="auto" w:fill="FFFFFF"/>
          <w:lang w:val="en-US" w:eastAsia="zh-CN" w:bidi="ar"/>
        </w:rPr>
        <w:t>联系电话：0398-8652241</w:t>
      </w:r>
    </w:p>
    <w:p w14:paraId="149235BB">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采购人：</w:t>
      </w:r>
      <w:r>
        <w:rPr>
          <w:rFonts w:hint="eastAsia" w:asciiTheme="minorEastAsia" w:hAnsiTheme="minorEastAsia" w:eastAsiaTheme="minorEastAsia" w:cstheme="minorEastAsia"/>
          <w:color w:val="auto"/>
          <w:sz w:val="28"/>
          <w:szCs w:val="28"/>
          <w:highlight w:val="none"/>
          <w:shd w:val="clear" w:color="auto" w:fill="FFFFFF"/>
          <w:lang w:eastAsia="zh-CN" w:bidi="ar"/>
        </w:rPr>
        <w:t>灵宝市教育体育局</w:t>
      </w:r>
    </w:p>
    <w:p w14:paraId="697D0C90">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地址：</w:t>
      </w:r>
      <w:r>
        <w:rPr>
          <w:rFonts w:hint="eastAsia" w:asciiTheme="minorEastAsia" w:hAnsiTheme="minorEastAsia" w:eastAsiaTheme="minorEastAsia" w:cstheme="minorEastAsia"/>
          <w:color w:val="auto"/>
          <w:sz w:val="28"/>
          <w:szCs w:val="28"/>
          <w:highlight w:val="none"/>
          <w:shd w:val="clear" w:color="auto" w:fill="FFFFFF"/>
          <w:lang w:eastAsia="zh-CN" w:bidi="ar"/>
        </w:rPr>
        <w:t>灵宝市新华路中段</w:t>
      </w:r>
    </w:p>
    <w:p w14:paraId="1CAF2EF0">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val="en-US"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联系人：</w:t>
      </w:r>
      <w:r>
        <w:rPr>
          <w:rFonts w:hint="eastAsia" w:asciiTheme="minorEastAsia" w:hAnsiTheme="minorEastAsia" w:eastAsiaTheme="minorEastAsia" w:cstheme="minorEastAsia"/>
          <w:color w:val="auto"/>
          <w:sz w:val="28"/>
          <w:szCs w:val="28"/>
          <w:highlight w:val="none"/>
          <w:shd w:val="clear" w:color="auto" w:fill="FFFFFF"/>
          <w:lang w:val="en-US" w:eastAsia="zh-CN" w:bidi="ar"/>
        </w:rPr>
        <w:t>蔡先生</w:t>
      </w:r>
    </w:p>
    <w:p w14:paraId="5ED7903E">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val="en-US"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联系方式：</w:t>
      </w:r>
      <w:r>
        <w:rPr>
          <w:rFonts w:hint="eastAsia" w:asciiTheme="minorEastAsia" w:hAnsiTheme="minorEastAsia" w:eastAsiaTheme="minorEastAsia" w:cstheme="minorEastAsia"/>
          <w:color w:val="auto"/>
          <w:sz w:val="28"/>
          <w:szCs w:val="28"/>
          <w:highlight w:val="none"/>
          <w:shd w:val="clear" w:color="auto" w:fill="FFFFFF"/>
          <w:lang w:val="en-US" w:eastAsia="zh-CN" w:bidi="ar"/>
        </w:rPr>
        <w:t>0398-8652246</w:t>
      </w:r>
    </w:p>
    <w:p w14:paraId="078FB5D6">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代理机构：</w:t>
      </w:r>
      <w:r>
        <w:rPr>
          <w:rFonts w:hint="eastAsia" w:asciiTheme="minorEastAsia" w:hAnsiTheme="minorEastAsia" w:eastAsiaTheme="minorEastAsia" w:cstheme="minorEastAsia"/>
          <w:color w:val="auto"/>
          <w:sz w:val="28"/>
          <w:szCs w:val="28"/>
          <w:highlight w:val="none"/>
          <w:shd w:val="clear" w:color="auto" w:fill="FFFFFF"/>
          <w:lang w:eastAsia="zh-CN" w:bidi="ar"/>
        </w:rPr>
        <w:t>河南德仕通工程管理有限公司</w:t>
      </w:r>
    </w:p>
    <w:p w14:paraId="7396AA72">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公司地址：</w:t>
      </w:r>
      <w:r>
        <w:rPr>
          <w:rFonts w:hint="eastAsia" w:asciiTheme="minorEastAsia" w:hAnsiTheme="minorEastAsia" w:eastAsiaTheme="minorEastAsia" w:cstheme="minorEastAsia"/>
          <w:color w:val="auto"/>
          <w:sz w:val="28"/>
          <w:szCs w:val="28"/>
          <w:highlight w:val="none"/>
          <w:shd w:val="clear" w:color="auto" w:fill="FFFFFF"/>
          <w:lang w:eastAsia="zh-CN" w:bidi="ar"/>
        </w:rPr>
        <w:t>灵宝市景园四季营销中心418</w:t>
      </w:r>
    </w:p>
    <w:p w14:paraId="70A7AA18">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联 系 人：</w:t>
      </w:r>
      <w:r>
        <w:rPr>
          <w:rFonts w:hint="eastAsia" w:asciiTheme="minorEastAsia" w:hAnsiTheme="minorEastAsia" w:eastAsiaTheme="minorEastAsia" w:cstheme="minorEastAsia"/>
          <w:color w:val="auto"/>
          <w:sz w:val="28"/>
          <w:szCs w:val="28"/>
          <w:highlight w:val="none"/>
          <w:shd w:val="clear" w:color="auto" w:fill="FFFFFF"/>
          <w:lang w:eastAsia="zh-CN" w:bidi="ar"/>
        </w:rPr>
        <w:t>何女士</w:t>
      </w:r>
    </w:p>
    <w:p w14:paraId="2DD042F5">
      <w:pPr>
        <w:spacing w:line="360" w:lineRule="auto"/>
        <w:ind w:firstLine="560" w:firstLineChars="200"/>
        <w:rPr>
          <w:rFonts w:hint="eastAsia" w:asciiTheme="minorEastAsia" w:hAnsiTheme="minorEastAsia" w:eastAsiaTheme="minorEastAsia" w:cstheme="minorEastAsia"/>
          <w:color w:val="auto"/>
          <w:sz w:val="28"/>
          <w:szCs w:val="28"/>
          <w:highlight w:val="none"/>
          <w:shd w:val="clear" w:color="auto" w:fill="FFFFFF"/>
          <w:lang w:eastAsia="zh-CN" w:bidi="ar"/>
        </w:rPr>
      </w:pPr>
      <w:r>
        <w:rPr>
          <w:rFonts w:hint="eastAsia" w:asciiTheme="minorEastAsia" w:hAnsiTheme="minorEastAsia" w:eastAsiaTheme="minorEastAsia" w:cstheme="minorEastAsia"/>
          <w:color w:val="auto"/>
          <w:sz w:val="28"/>
          <w:szCs w:val="28"/>
          <w:highlight w:val="none"/>
          <w:shd w:val="clear" w:color="auto" w:fill="FFFFFF"/>
          <w:lang w:bidi="ar"/>
        </w:rPr>
        <w:t>联系电话：</w:t>
      </w:r>
      <w:r>
        <w:rPr>
          <w:rFonts w:hint="eastAsia" w:asciiTheme="minorEastAsia" w:hAnsiTheme="minorEastAsia" w:eastAsiaTheme="minorEastAsia" w:cstheme="minorEastAsia"/>
          <w:color w:val="auto"/>
          <w:sz w:val="28"/>
          <w:szCs w:val="28"/>
          <w:highlight w:val="none"/>
          <w:shd w:val="clear" w:color="auto" w:fill="FFFFFF"/>
          <w:lang w:eastAsia="zh-CN" w:bidi="ar"/>
        </w:rPr>
        <w:t>13603816111</w:t>
      </w:r>
    </w:p>
    <w:p w14:paraId="4C938E85">
      <w:pPr>
        <w:spacing w:line="360" w:lineRule="auto"/>
        <w:jc w:val="center"/>
        <w:outlineLvl w:val="0"/>
        <w:rPr>
          <w:rFonts w:hint="eastAsia" w:asciiTheme="minorEastAsia" w:hAnsiTheme="minorEastAsia" w:eastAsiaTheme="minorEastAsia" w:cstheme="minorEastAsia"/>
          <w:b/>
          <w:bCs/>
          <w:color w:val="auto"/>
          <w:sz w:val="30"/>
          <w:szCs w:val="32"/>
          <w:highlight w:val="none"/>
        </w:rPr>
      </w:pPr>
      <w:r>
        <w:rPr>
          <w:rFonts w:hint="eastAsia" w:asciiTheme="minorEastAsia" w:hAnsiTheme="minorEastAsia" w:eastAsiaTheme="minorEastAsia" w:cstheme="minorEastAsia"/>
          <w:b/>
          <w:bCs/>
          <w:color w:val="auto"/>
          <w:sz w:val="30"/>
          <w:szCs w:val="32"/>
          <w:highlight w:val="none"/>
          <w:shd w:val="clear" w:color="auto" w:fill="FFFFFF"/>
        </w:rPr>
        <w:br w:type="page"/>
      </w:r>
      <w:r>
        <w:rPr>
          <w:rFonts w:hint="eastAsia" w:asciiTheme="minorEastAsia" w:hAnsiTheme="minorEastAsia" w:eastAsiaTheme="minorEastAsia" w:cstheme="minorEastAsia"/>
          <w:b/>
          <w:bCs/>
          <w:color w:val="auto"/>
          <w:sz w:val="30"/>
          <w:szCs w:val="32"/>
          <w:highlight w:val="none"/>
          <w:shd w:val="clear" w:color="auto" w:fill="FFFFFF"/>
        </w:rPr>
        <w:t>第二章 供应商须知</w:t>
      </w:r>
      <w:bookmarkEnd w:id="9"/>
      <w:bookmarkEnd w:id="10"/>
      <w:bookmarkEnd w:id="11"/>
      <w:bookmarkEnd w:id="12"/>
    </w:p>
    <w:p w14:paraId="6594C7B3">
      <w:pPr>
        <w:spacing w:line="517" w:lineRule="exact"/>
        <w:jc w:val="center"/>
        <w:outlineLvl w:val="1"/>
        <w:rPr>
          <w:rFonts w:hint="eastAsia" w:asciiTheme="minorEastAsia" w:hAnsiTheme="minorEastAsia" w:eastAsiaTheme="minorEastAsia" w:cstheme="minorEastAsia"/>
          <w:b/>
          <w:bCs/>
          <w:color w:val="auto"/>
          <w:sz w:val="24"/>
          <w:szCs w:val="32"/>
          <w:highlight w:val="none"/>
          <w:shd w:val="clear" w:color="auto" w:fill="FFFFFF"/>
          <w:lang w:val="zh-CN" w:bidi="zh-CN"/>
        </w:rPr>
      </w:pPr>
      <w:bookmarkStart w:id="13" w:name="_Toc176358317"/>
      <w:r>
        <w:rPr>
          <w:rFonts w:hint="eastAsia" w:asciiTheme="minorEastAsia" w:hAnsiTheme="minorEastAsia" w:eastAsiaTheme="minorEastAsia" w:cstheme="minorEastAsia"/>
          <w:b/>
          <w:bCs/>
          <w:color w:val="auto"/>
          <w:sz w:val="24"/>
          <w:szCs w:val="32"/>
          <w:highlight w:val="none"/>
          <w:shd w:val="clear" w:color="auto" w:fill="FFFFFF"/>
          <w:lang w:val="zh-CN" w:bidi="zh-CN"/>
        </w:rPr>
        <w:t>供应商须知前附表</w:t>
      </w:r>
      <w:bookmarkEnd w:id="13"/>
    </w:p>
    <w:tbl>
      <w:tblPr>
        <w:tblStyle w:val="19"/>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2266"/>
        <w:gridCol w:w="5727"/>
      </w:tblGrid>
      <w:tr w14:paraId="20BF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665" w:type="dxa"/>
            <w:vAlign w:val="center"/>
          </w:tcPr>
          <w:p w14:paraId="106963EE">
            <w:pPr>
              <w:spacing w:line="360" w:lineRule="auto"/>
              <w:jc w:val="center"/>
              <w:rPr>
                <w:rFonts w:hint="eastAsia" w:asciiTheme="minorEastAsia" w:hAnsiTheme="minorEastAsia" w:eastAsiaTheme="minorEastAsia" w:cstheme="minorEastAsia"/>
                <w:b/>
                <w:bCs/>
                <w:color w:val="auto"/>
                <w:sz w:val="24"/>
                <w:szCs w:val="24"/>
                <w:highlight w:val="none"/>
                <w:shd w:val="clear" w:color="auto" w:fill="FFFFFF"/>
                <w:lang w:bidi="ar"/>
              </w:rPr>
            </w:pPr>
            <w:r>
              <w:rPr>
                <w:rFonts w:hint="eastAsia" w:asciiTheme="minorEastAsia" w:hAnsiTheme="minorEastAsia" w:eastAsiaTheme="minorEastAsia" w:cstheme="minorEastAsia"/>
                <w:b/>
                <w:bCs/>
                <w:color w:val="auto"/>
                <w:sz w:val="24"/>
                <w:szCs w:val="24"/>
                <w:highlight w:val="none"/>
                <w:shd w:val="clear" w:color="auto" w:fill="FFFFFF"/>
                <w:lang w:bidi="ar"/>
              </w:rPr>
              <w:t>序号</w:t>
            </w:r>
          </w:p>
        </w:tc>
        <w:tc>
          <w:tcPr>
            <w:tcW w:w="2266" w:type="dxa"/>
            <w:vAlign w:val="center"/>
          </w:tcPr>
          <w:p w14:paraId="11F3279C">
            <w:pPr>
              <w:spacing w:line="360" w:lineRule="auto"/>
              <w:jc w:val="center"/>
              <w:rPr>
                <w:rFonts w:hint="eastAsia" w:asciiTheme="minorEastAsia" w:hAnsiTheme="minorEastAsia" w:eastAsiaTheme="minorEastAsia" w:cstheme="minorEastAsia"/>
                <w:b/>
                <w:bCs/>
                <w:color w:val="auto"/>
                <w:sz w:val="24"/>
                <w:szCs w:val="24"/>
                <w:highlight w:val="none"/>
                <w:shd w:val="clear" w:color="auto" w:fill="FFFFFF"/>
                <w:lang w:bidi="ar"/>
              </w:rPr>
            </w:pPr>
            <w:r>
              <w:rPr>
                <w:rFonts w:hint="eastAsia" w:asciiTheme="minorEastAsia" w:hAnsiTheme="minorEastAsia" w:eastAsiaTheme="minorEastAsia" w:cstheme="minorEastAsia"/>
                <w:b/>
                <w:bCs/>
                <w:color w:val="auto"/>
                <w:sz w:val="24"/>
                <w:szCs w:val="24"/>
                <w:highlight w:val="none"/>
                <w:shd w:val="clear" w:color="auto" w:fill="FFFFFF"/>
                <w:lang w:bidi="ar"/>
              </w:rPr>
              <w:t>名 称</w:t>
            </w:r>
          </w:p>
        </w:tc>
        <w:tc>
          <w:tcPr>
            <w:tcW w:w="5727" w:type="dxa"/>
            <w:vAlign w:val="center"/>
          </w:tcPr>
          <w:p w14:paraId="7655BB43">
            <w:pPr>
              <w:spacing w:line="360" w:lineRule="auto"/>
              <w:jc w:val="center"/>
              <w:rPr>
                <w:rFonts w:hint="eastAsia" w:asciiTheme="minorEastAsia" w:hAnsiTheme="minorEastAsia" w:eastAsiaTheme="minorEastAsia" w:cstheme="minorEastAsia"/>
                <w:b/>
                <w:bCs/>
                <w:color w:val="auto"/>
                <w:sz w:val="24"/>
                <w:szCs w:val="24"/>
                <w:highlight w:val="none"/>
                <w:shd w:val="clear" w:color="auto" w:fill="FFFFFF"/>
                <w:lang w:bidi="ar"/>
              </w:rPr>
            </w:pPr>
            <w:r>
              <w:rPr>
                <w:rFonts w:hint="eastAsia" w:asciiTheme="minorEastAsia" w:hAnsiTheme="minorEastAsia" w:eastAsiaTheme="minorEastAsia" w:cstheme="minorEastAsia"/>
                <w:b/>
                <w:bCs/>
                <w:color w:val="auto"/>
                <w:sz w:val="24"/>
                <w:szCs w:val="24"/>
                <w:highlight w:val="none"/>
                <w:shd w:val="clear" w:color="auto" w:fill="FFFFFF"/>
                <w:lang w:bidi="ar"/>
              </w:rPr>
              <w:t>内 容</w:t>
            </w:r>
          </w:p>
        </w:tc>
      </w:tr>
      <w:tr w14:paraId="79BE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665" w:type="dxa"/>
            <w:vAlign w:val="center"/>
          </w:tcPr>
          <w:p w14:paraId="1216678A">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77C59288">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采购人</w:t>
            </w:r>
          </w:p>
        </w:tc>
        <w:tc>
          <w:tcPr>
            <w:tcW w:w="5727" w:type="dxa"/>
          </w:tcPr>
          <w:p w14:paraId="6F2A8E4D">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采购人：</w:t>
            </w:r>
            <w:r>
              <w:rPr>
                <w:rFonts w:hint="eastAsia" w:asciiTheme="minorEastAsia" w:hAnsiTheme="minorEastAsia" w:eastAsiaTheme="minorEastAsia" w:cstheme="minorEastAsia"/>
                <w:color w:val="auto"/>
                <w:sz w:val="24"/>
                <w:szCs w:val="24"/>
                <w:highlight w:val="none"/>
                <w:lang w:eastAsia="zh-CN"/>
              </w:rPr>
              <w:t>灵宝市教育体育局</w:t>
            </w:r>
          </w:p>
          <w:p w14:paraId="35082DBC">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eastAsia="zh-CN"/>
              </w:rPr>
              <w:t>灵宝市新华路中段</w:t>
            </w:r>
          </w:p>
          <w:p w14:paraId="5C8D382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val="en-US" w:eastAsia="zh-CN"/>
              </w:rPr>
              <w:t>蔡先生</w:t>
            </w:r>
          </w:p>
          <w:p w14:paraId="514D9330">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eastAsia="zh-CN"/>
              </w:rPr>
              <w:t>0398-8652246</w:t>
            </w:r>
          </w:p>
        </w:tc>
      </w:tr>
      <w:tr w14:paraId="469E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665" w:type="dxa"/>
            <w:vAlign w:val="center"/>
          </w:tcPr>
          <w:p w14:paraId="5F813AD7">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0A080C34">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采购代理机构</w:t>
            </w:r>
          </w:p>
        </w:tc>
        <w:tc>
          <w:tcPr>
            <w:tcW w:w="5727" w:type="dxa"/>
          </w:tcPr>
          <w:p w14:paraId="6D9F9E97">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名称：</w:t>
            </w:r>
            <w:r>
              <w:rPr>
                <w:rFonts w:hint="eastAsia" w:asciiTheme="minorEastAsia" w:hAnsiTheme="minorEastAsia" w:eastAsiaTheme="minorEastAsia" w:cstheme="minorEastAsia"/>
                <w:color w:val="auto"/>
                <w:sz w:val="24"/>
                <w:szCs w:val="24"/>
                <w:highlight w:val="none"/>
                <w:lang w:eastAsia="zh-CN"/>
              </w:rPr>
              <w:t>河南德仕通工程管理有限公司</w:t>
            </w:r>
          </w:p>
          <w:p w14:paraId="2F3CF5E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地址：河南省三门峡市湖滨区五原路商会大厦B座1103室</w:t>
            </w:r>
          </w:p>
          <w:p w14:paraId="5F90611E">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联系人：</w:t>
            </w:r>
            <w:r>
              <w:rPr>
                <w:rFonts w:hint="eastAsia" w:asciiTheme="minorEastAsia" w:hAnsiTheme="minorEastAsia" w:eastAsiaTheme="minorEastAsia" w:cstheme="minorEastAsia"/>
                <w:color w:val="auto"/>
                <w:sz w:val="24"/>
                <w:szCs w:val="24"/>
                <w:highlight w:val="none"/>
                <w:lang w:eastAsia="zh-CN"/>
              </w:rPr>
              <w:t>何女士</w:t>
            </w:r>
          </w:p>
          <w:p w14:paraId="2116A2C4">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联系方式：</w:t>
            </w:r>
            <w:r>
              <w:rPr>
                <w:rFonts w:hint="eastAsia" w:asciiTheme="minorEastAsia" w:hAnsiTheme="minorEastAsia" w:eastAsiaTheme="minorEastAsia" w:cstheme="minorEastAsia"/>
                <w:color w:val="auto"/>
                <w:sz w:val="24"/>
                <w:szCs w:val="24"/>
                <w:highlight w:val="none"/>
                <w:lang w:eastAsia="zh-CN"/>
              </w:rPr>
              <w:t>13603816111</w:t>
            </w:r>
          </w:p>
        </w:tc>
      </w:tr>
      <w:tr w14:paraId="12BB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65" w:type="dxa"/>
            <w:vAlign w:val="center"/>
          </w:tcPr>
          <w:p w14:paraId="62A301F9">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4DA1F24E">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项目名称</w:t>
            </w:r>
          </w:p>
        </w:tc>
        <w:tc>
          <w:tcPr>
            <w:tcW w:w="5727" w:type="dxa"/>
          </w:tcPr>
          <w:p w14:paraId="48B0D94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eastAsia="zh-CN" w:bidi="ar"/>
              </w:rPr>
            </w:pPr>
            <w:r>
              <w:rPr>
                <w:rFonts w:hint="eastAsia" w:asciiTheme="minorEastAsia" w:hAnsiTheme="minorEastAsia" w:eastAsiaTheme="minorEastAsia" w:cstheme="minorEastAsia"/>
                <w:color w:val="auto"/>
                <w:sz w:val="24"/>
                <w:szCs w:val="24"/>
                <w:highlight w:val="none"/>
                <w:shd w:val="clear" w:color="auto" w:fill="FFFFFF"/>
                <w:lang w:eastAsia="zh-CN" w:bidi="ar"/>
              </w:rPr>
              <w:t>灵宝市教育体育局校园重点部位视频监控升级项目</w:t>
            </w:r>
          </w:p>
        </w:tc>
      </w:tr>
      <w:tr w14:paraId="28BA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6C04BA59">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284C4DFB">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交货地点</w:t>
            </w:r>
          </w:p>
        </w:tc>
        <w:tc>
          <w:tcPr>
            <w:tcW w:w="5727" w:type="dxa"/>
          </w:tcPr>
          <w:p w14:paraId="613308E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采购人指定地点。</w:t>
            </w:r>
          </w:p>
        </w:tc>
      </w:tr>
      <w:tr w14:paraId="6E8B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3E56E05D">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687DC626">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预算金额</w:t>
            </w:r>
          </w:p>
        </w:tc>
        <w:tc>
          <w:tcPr>
            <w:tcW w:w="5727" w:type="dxa"/>
          </w:tcPr>
          <w:p w14:paraId="6AEE1DDC">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详见“招标公告”。</w:t>
            </w:r>
          </w:p>
        </w:tc>
      </w:tr>
      <w:tr w14:paraId="0927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20BA9463">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3FF72F28">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资金来源及落实情况</w:t>
            </w:r>
          </w:p>
        </w:tc>
        <w:tc>
          <w:tcPr>
            <w:tcW w:w="5727" w:type="dxa"/>
            <w:vAlign w:val="center"/>
          </w:tcPr>
          <w:p w14:paraId="2942B19A">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财政资金，已落实。</w:t>
            </w:r>
          </w:p>
        </w:tc>
      </w:tr>
      <w:tr w14:paraId="0685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5421FE98">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7C18C3B8">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rPr>
              <w:t>出资比例</w:t>
            </w:r>
          </w:p>
        </w:tc>
        <w:tc>
          <w:tcPr>
            <w:tcW w:w="5727" w:type="dxa"/>
          </w:tcPr>
          <w:p w14:paraId="37C6B313">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100%</w:t>
            </w:r>
          </w:p>
        </w:tc>
      </w:tr>
      <w:tr w14:paraId="6C936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3C62187D">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44C5271A">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标段划分</w:t>
            </w:r>
          </w:p>
        </w:tc>
        <w:tc>
          <w:tcPr>
            <w:tcW w:w="5727" w:type="dxa"/>
          </w:tcPr>
          <w:p w14:paraId="1B032072">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本项目划分1个标段。</w:t>
            </w:r>
          </w:p>
        </w:tc>
      </w:tr>
      <w:tr w14:paraId="367E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1AB5DD56">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08CE1FA4">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采购范围</w:t>
            </w:r>
          </w:p>
        </w:tc>
        <w:tc>
          <w:tcPr>
            <w:tcW w:w="5727" w:type="dxa"/>
          </w:tcPr>
          <w:p w14:paraId="60A5FC99">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详见“招标公告”要求。</w:t>
            </w:r>
          </w:p>
        </w:tc>
      </w:tr>
      <w:tr w14:paraId="13BD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65" w:type="dxa"/>
            <w:vAlign w:val="center"/>
          </w:tcPr>
          <w:p w14:paraId="002BD4BF">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5DDF33C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合同履行期限（交货期）</w:t>
            </w:r>
          </w:p>
        </w:tc>
        <w:tc>
          <w:tcPr>
            <w:tcW w:w="5727" w:type="dxa"/>
            <w:vAlign w:val="center"/>
          </w:tcPr>
          <w:p w14:paraId="67A6BCE6">
            <w:pPr>
              <w:spacing w:line="360" w:lineRule="auto"/>
              <w:rPr>
                <w:rFonts w:hint="eastAsia" w:asciiTheme="minorEastAsia" w:hAnsiTheme="minorEastAsia" w:eastAsiaTheme="minorEastAsia" w:cstheme="minorEastAsia"/>
                <w:color w:val="auto"/>
                <w:sz w:val="24"/>
                <w:szCs w:val="24"/>
                <w:highlight w:val="none"/>
                <w:shd w:val="clear" w:color="auto" w:fill="FFFFFF"/>
                <w:lang w:eastAsia="zh-CN" w:bidi="ar"/>
              </w:rPr>
            </w:pPr>
            <w:r>
              <w:rPr>
                <w:rFonts w:hint="eastAsia" w:asciiTheme="minorEastAsia" w:hAnsiTheme="minorEastAsia" w:eastAsiaTheme="minorEastAsia" w:cstheme="minorEastAsia"/>
                <w:color w:val="auto"/>
                <w:sz w:val="24"/>
                <w:szCs w:val="24"/>
                <w:highlight w:val="none"/>
                <w:shd w:val="clear" w:color="auto" w:fill="FFFFFF"/>
                <w:lang w:val="en-US" w:eastAsia="zh-CN" w:bidi="ar"/>
              </w:rPr>
              <w:t>30日历天内</w:t>
            </w:r>
            <w:r>
              <w:rPr>
                <w:rFonts w:hint="eastAsia" w:asciiTheme="minorEastAsia" w:hAnsiTheme="minorEastAsia" w:eastAsiaTheme="minorEastAsia" w:cstheme="minorEastAsia"/>
                <w:color w:val="auto"/>
                <w:sz w:val="24"/>
                <w:szCs w:val="24"/>
                <w:highlight w:val="none"/>
                <w:shd w:val="clear" w:color="auto" w:fill="FFFFFF"/>
                <w:lang w:eastAsia="zh-CN" w:bidi="ar"/>
              </w:rPr>
              <w:t>交货并完成安装调试</w:t>
            </w:r>
          </w:p>
        </w:tc>
      </w:tr>
      <w:tr w14:paraId="02F1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43C6BC95">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5E627EAB">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质量要求</w:t>
            </w:r>
          </w:p>
        </w:tc>
        <w:tc>
          <w:tcPr>
            <w:tcW w:w="5727" w:type="dxa"/>
          </w:tcPr>
          <w:p w14:paraId="6D9B572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符合国家规定，达到正常使用条件，满足采购人需求。</w:t>
            </w:r>
          </w:p>
        </w:tc>
      </w:tr>
      <w:tr w14:paraId="0FFC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24A4C0A8">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3502592C">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eastAsia="zh-CN" w:bidi="ar"/>
              </w:rPr>
            </w:pPr>
            <w:r>
              <w:rPr>
                <w:rFonts w:hint="eastAsia" w:asciiTheme="minorEastAsia" w:hAnsiTheme="minorEastAsia" w:eastAsiaTheme="minorEastAsia" w:cstheme="minorEastAsia"/>
                <w:color w:val="auto"/>
                <w:sz w:val="24"/>
                <w:szCs w:val="24"/>
                <w:highlight w:val="none"/>
                <w:shd w:val="clear" w:color="auto" w:fill="FFFFFF"/>
                <w:lang w:eastAsia="zh-CN" w:bidi="ar"/>
              </w:rPr>
              <w:t>质保期</w:t>
            </w:r>
          </w:p>
        </w:tc>
        <w:tc>
          <w:tcPr>
            <w:tcW w:w="5727" w:type="dxa"/>
          </w:tcPr>
          <w:p w14:paraId="420A399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eastAsia="zh-CN" w:bidi="ar"/>
              </w:rPr>
            </w:pPr>
            <w:r>
              <w:rPr>
                <w:rFonts w:hint="eastAsia" w:asciiTheme="minorEastAsia" w:hAnsiTheme="minorEastAsia" w:eastAsiaTheme="minorEastAsia" w:cstheme="minorEastAsia"/>
                <w:color w:val="auto"/>
                <w:sz w:val="24"/>
                <w:szCs w:val="24"/>
                <w:highlight w:val="none"/>
                <w:lang w:eastAsia="zh-CN"/>
              </w:rPr>
              <w:t>自本项目验收合格之日起</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eastAsia="zh-CN"/>
              </w:rPr>
              <w:t>年，相关产品有国家规定的质保期从其规定。</w:t>
            </w:r>
          </w:p>
        </w:tc>
      </w:tr>
      <w:tr w14:paraId="63F9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389EC970">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63C082D7">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供应商的资质、能力和应具备条件</w:t>
            </w:r>
          </w:p>
        </w:tc>
        <w:tc>
          <w:tcPr>
            <w:tcW w:w="5727" w:type="dxa"/>
            <w:vAlign w:val="center"/>
          </w:tcPr>
          <w:p w14:paraId="685FD96B">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详见“招标公告”要求。</w:t>
            </w:r>
          </w:p>
        </w:tc>
      </w:tr>
      <w:tr w14:paraId="6240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42A1AEB7">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37546F3A">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投标预备会</w:t>
            </w:r>
          </w:p>
        </w:tc>
        <w:tc>
          <w:tcPr>
            <w:tcW w:w="5727" w:type="dxa"/>
          </w:tcPr>
          <w:p w14:paraId="04409B7C">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■不召开。</w:t>
            </w:r>
          </w:p>
        </w:tc>
      </w:tr>
      <w:tr w14:paraId="62FC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065A8416">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5BFD64C2">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偏差</w:t>
            </w:r>
          </w:p>
        </w:tc>
        <w:tc>
          <w:tcPr>
            <w:tcW w:w="5727" w:type="dxa"/>
          </w:tcPr>
          <w:p w14:paraId="5353CA75">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■允许负偏离</w:t>
            </w:r>
            <w:r>
              <w:rPr>
                <w:rFonts w:hint="eastAsia" w:asciiTheme="minorEastAsia" w:hAnsiTheme="minorEastAsia" w:eastAsiaTheme="minorEastAsia" w:cstheme="minorEastAsia"/>
                <w:color w:val="auto"/>
                <w:sz w:val="24"/>
                <w:szCs w:val="24"/>
                <w:highlight w:val="none"/>
              </w:rPr>
              <w:t>。</w:t>
            </w:r>
          </w:p>
        </w:tc>
      </w:tr>
      <w:tr w14:paraId="1AF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180E3C9C">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0385DD2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分包</w:t>
            </w:r>
          </w:p>
        </w:tc>
        <w:tc>
          <w:tcPr>
            <w:tcW w:w="5727" w:type="dxa"/>
            <w:vAlign w:val="center"/>
          </w:tcPr>
          <w:p w14:paraId="7BEAD7B9">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w:t>
            </w:r>
            <w:r>
              <w:rPr>
                <w:rFonts w:hint="eastAsia" w:asciiTheme="minorEastAsia" w:hAnsiTheme="minorEastAsia" w:eastAsiaTheme="minorEastAsia" w:cstheme="minorEastAsia"/>
                <w:color w:val="auto"/>
                <w:sz w:val="24"/>
                <w:szCs w:val="21"/>
                <w:highlight w:val="none"/>
              </w:rPr>
              <w:t>不允许</w:t>
            </w:r>
          </w:p>
        </w:tc>
      </w:tr>
      <w:tr w14:paraId="0CA7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665" w:type="dxa"/>
            <w:vAlign w:val="center"/>
          </w:tcPr>
          <w:p w14:paraId="6EECD2B4">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35C57726">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询问和质疑</w:t>
            </w:r>
          </w:p>
        </w:tc>
        <w:tc>
          <w:tcPr>
            <w:tcW w:w="5727" w:type="dxa"/>
            <w:vAlign w:val="center"/>
          </w:tcPr>
          <w:p w14:paraId="2F8F5741">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rPr>
              <w:t>投标供应商如对招标文件有异议的，应在知道或者应知其权益受到损害之日起七个工作日内，向采购人或采购代理机构书面提出，否则，将被视为认可本招标文件所有内容。</w:t>
            </w:r>
          </w:p>
        </w:tc>
      </w:tr>
      <w:tr w14:paraId="60FB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665" w:type="dxa"/>
            <w:vAlign w:val="center"/>
          </w:tcPr>
          <w:p w14:paraId="3BDCE808">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40F20B32">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采购人书面澄清的时间</w:t>
            </w:r>
          </w:p>
        </w:tc>
        <w:tc>
          <w:tcPr>
            <w:tcW w:w="5727" w:type="dxa"/>
            <w:vAlign w:val="center"/>
          </w:tcPr>
          <w:p w14:paraId="20D03836">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投标截止时间15日以前。</w:t>
            </w:r>
          </w:p>
        </w:tc>
      </w:tr>
      <w:tr w14:paraId="3BCA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628F6788">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2DED3B08">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供应商提出问题的截止时间</w:t>
            </w:r>
          </w:p>
        </w:tc>
        <w:tc>
          <w:tcPr>
            <w:tcW w:w="5727" w:type="dxa"/>
            <w:vAlign w:val="center"/>
          </w:tcPr>
          <w:p w14:paraId="37FF73BA">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投标截止时间10日以前。</w:t>
            </w:r>
          </w:p>
        </w:tc>
      </w:tr>
      <w:tr w14:paraId="1CC9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32495E2C">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14FB1863">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投标截止时间</w:t>
            </w:r>
          </w:p>
        </w:tc>
        <w:tc>
          <w:tcPr>
            <w:tcW w:w="5727" w:type="dxa"/>
          </w:tcPr>
          <w:p w14:paraId="45B5081C">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eastAsia="zh-CN" w:bidi="ar"/>
              </w:rPr>
              <w:t>2026年08月28日08时30分</w:t>
            </w:r>
            <w:r>
              <w:rPr>
                <w:rFonts w:hint="eastAsia" w:asciiTheme="minorEastAsia" w:hAnsiTheme="minorEastAsia" w:eastAsiaTheme="minorEastAsia" w:cstheme="minorEastAsia"/>
                <w:color w:val="auto"/>
                <w:sz w:val="24"/>
                <w:szCs w:val="24"/>
                <w:highlight w:val="none"/>
                <w:shd w:val="clear" w:color="auto" w:fill="FFFFFF"/>
                <w:lang w:bidi="ar"/>
              </w:rPr>
              <w:t>（北京时间）</w:t>
            </w:r>
          </w:p>
        </w:tc>
      </w:tr>
      <w:tr w14:paraId="27DB6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665" w:type="dxa"/>
            <w:vAlign w:val="center"/>
          </w:tcPr>
          <w:p w14:paraId="21250FB7">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02F4A489">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投标人确认收到招标文件澄清的时间</w:t>
            </w:r>
          </w:p>
        </w:tc>
        <w:tc>
          <w:tcPr>
            <w:tcW w:w="5727" w:type="dxa"/>
          </w:tcPr>
          <w:p w14:paraId="3759752E">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投标供应商应登录三门峡市公共资源交易网站自行查看澄清信息或在澄清公告发布相关网站（同招标公告发布媒介）自行查看招标文件澄清信息。</w:t>
            </w:r>
          </w:p>
        </w:tc>
      </w:tr>
      <w:tr w14:paraId="161D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291F2A6E">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tcPr>
          <w:p w14:paraId="4188C6B7">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投标人确认收到招标文件修改的时间</w:t>
            </w:r>
          </w:p>
        </w:tc>
        <w:tc>
          <w:tcPr>
            <w:tcW w:w="5727" w:type="dxa"/>
            <w:vAlign w:val="center"/>
          </w:tcPr>
          <w:p w14:paraId="0763F685">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投标供应商应登录三门峡市公共资源交易网站自行查看招标文件修改信息。</w:t>
            </w:r>
          </w:p>
        </w:tc>
      </w:tr>
      <w:tr w14:paraId="0B88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56A3E3BD">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1EE4AE81">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投标有效期</w:t>
            </w:r>
          </w:p>
        </w:tc>
        <w:tc>
          <w:tcPr>
            <w:tcW w:w="5727" w:type="dxa"/>
          </w:tcPr>
          <w:p w14:paraId="790B043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投标文件递交截止之日起90</w:t>
            </w:r>
            <w:r>
              <w:rPr>
                <w:rFonts w:hint="eastAsia" w:asciiTheme="minorEastAsia" w:hAnsiTheme="minorEastAsia" w:eastAsiaTheme="minorEastAsia" w:cstheme="minorEastAsia"/>
                <w:color w:val="auto"/>
                <w:sz w:val="24"/>
                <w:szCs w:val="24"/>
                <w:highlight w:val="none"/>
                <w:shd w:val="clear" w:color="auto" w:fill="FFFFFF"/>
                <w:lang w:val="en-US" w:eastAsia="zh-CN" w:bidi="ar"/>
              </w:rPr>
              <w:t>日历</w:t>
            </w:r>
            <w:r>
              <w:rPr>
                <w:rFonts w:hint="eastAsia" w:asciiTheme="minorEastAsia" w:hAnsiTheme="minorEastAsia" w:eastAsiaTheme="minorEastAsia" w:cstheme="minorEastAsia"/>
                <w:color w:val="auto"/>
                <w:sz w:val="24"/>
                <w:szCs w:val="24"/>
                <w:highlight w:val="none"/>
                <w:shd w:val="clear" w:color="auto" w:fill="FFFFFF"/>
                <w:lang w:bidi="ar"/>
              </w:rPr>
              <w:t>天。</w:t>
            </w:r>
          </w:p>
        </w:tc>
      </w:tr>
      <w:tr w14:paraId="7ADC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trPr>
        <w:tc>
          <w:tcPr>
            <w:tcW w:w="665" w:type="dxa"/>
            <w:vAlign w:val="center"/>
          </w:tcPr>
          <w:p w14:paraId="015AC375">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5C7E14B0">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投标保证金</w:t>
            </w:r>
          </w:p>
        </w:tc>
        <w:tc>
          <w:tcPr>
            <w:tcW w:w="5727" w:type="dxa"/>
          </w:tcPr>
          <w:p w14:paraId="67DA599B">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根据《河南省财政厅关于优化政府采购营商环境有关问题的通知》（豫财购【2019】4号）第6条的规定，投标保证金不再收取。需提供</w:t>
            </w:r>
            <w:bookmarkStart w:id="14" w:name="OLE_LINK62"/>
            <w:bookmarkStart w:id="15" w:name="OLE_LINK61"/>
            <w:r>
              <w:rPr>
                <w:rFonts w:hint="eastAsia" w:asciiTheme="minorEastAsia" w:hAnsiTheme="minorEastAsia" w:eastAsiaTheme="minorEastAsia" w:cstheme="minorEastAsia"/>
                <w:color w:val="auto"/>
                <w:sz w:val="24"/>
                <w:szCs w:val="24"/>
                <w:highlight w:val="none"/>
                <w:shd w:val="clear" w:color="auto" w:fill="FFFFFF"/>
                <w:lang w:bidi="ar"/>
              </w:rPr>
              <w:t>投标承诺函</w:t>
            </w:r>
            <w:bookmarkEnd w:id="14"/>
            <w:bookmarkEnd w:id="15"/>
            <w:r>
              <w:rPr>
                <w:rFonts w:hint="eastAsia" w:asciiTheme="minorEastAsia" w:hAnsiTheme="minorEastAsia" w:eastAsiaTheme="minorEastAsia" w:cstheme="minorEastAsia"/>
                <w:color w:val="auto"/>
                <w:sz w:val="24"/>
                <w:szCs w:val="24"/>
                <w:highlight w:val="none"/>
                <w:shd w:val="clear" w:color="auto" w:fill="FFFFFF"/>
                <w:lang w:bidi="ar"/>
              </w:rPr>
              <w:t>（详见投标文件格式）。</w:t>
            </w:r>
            <w:r>
              <w:rPr>
                <w:rFonts w:hint="eastAsia" w:asciiTheme="minorEastAsia" w:hAnsiTheme="minorEastAsia" w:eastAsiaTheme="minorEastAsia" w:cstheme="minorEastAsia"/>
                <w:color w:val="auto"/>
                <w:sz w:val="24"/>
                <w:szCs w:val="24"/>
                <w:highlight w:val="none"/>
              </w:rPr>
              <w:t>须按照采购文件要求提交投标承诺函，内容详见投标文件格式《投标承诺函》，</w:t>
            </w:r>
            <w:r>
              <w:rPr>
                <w:rFonts w:hint="eastAsia" w:asciiTheme="minorEastAsia" w:hAnsiTheme="minorEastAsia" w:eastAsiaTheme="minorEastAsia" w:cstheme="minorEastAsia"/>
                <w:b/>
                <w:color w:val="auto"/>
                <w:sz w:val="24"/>
                <w:szCs w:val="24"/>
                <w:highlight w:val="none"/>
              </w:rPr>
              <w:t>不提供者视为无效投标</w:t>
            </w:r>
            <w:r>
              <w:rPr>
                <w:rFonts w:hint="eastAsia" w:asciiTheme="minorEastAsia" w:hAnsiTheme="minorEastAsia" w:eastAsiaTheme="minorEastAsia" w:cstheme="minorEastAsia"/>
                <w:color w:val="auto"/>
                <w:sz w:val="24"/>
                <w:szCs w:val="24"/>
                <w:highlight w:val="none"/>
              </w:rPr>
              <w:t>；不能按照投标承诺函履行的，视为放弃中标资格，并承担相关法律责任。</w:t>
            </w:r>
          </w:p>
        </w:tc>
      </w:tr>
      <w:tr w14:paraId="18CA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6617177F">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tcPr>
          <w:p w14:paraId="156B8578">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近年财务状况的年份要求</w:t>
            </w:r>
          </w:p>
        </w:tc>
        <w:tc>
          <w:tcPr>
            <w:tcW w:w="5727" w:type="dxa"/>
            <w:vAlign w:val="center"/>
          </w:tcPr>
          <w:p w14:paraId="2AD6D26A">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提供202</w:t>
            </w:r>
            <w:r>
              <w:rPr>
                <w:rFonts w:hint="eastAsia" w:asciiTheme="minorEastAsia" w:hAnsiTheme="minorEastAsia" w:eastAsiaTheme="minorEastAsia" w:cstheme="minorEastAsia"/>
                <w:color w:val="auto"/>
                <w:sz w:val="24"/>
                <w:szCs w:val="24"/>
                <w:highlight w:val="none"/>
                <w:shd w:val="clear" w:color="auto" w:fill="FFFFFF"/>
                <w:lang w:val="en-US" w:eastAsia="zh-CN" w:bidi="ar"/>
              </w:rPr>
              <w:t>5</w:t>
            </w:r>
            <w:r>
              <w:rPr>
                <w:rFonts w:hint="eastAsia" w:asciiTheme="minorEastAsia" w:hAnsiTheme="minorEastAsia" w:eastAsiaTheme="minorEastAsia" w:cstheme="minorEastAsia"/>
                <w:color w:val="auto"/>
                <w:sz w:val="24"/>
                <w:szCs w:val="24"/>
                <w:highlight w:val="none"/>
                <w:shd w:val="clear" w:color="auto" w:fill="FFFFFF"/>
                <w:lang w:bidi="ar"/>
              </w:rPr>
              <w:t>年度经审计的财务状况报告（成立时间不足一年的，可提供成立时间至当前时间节点的财务状况报告）</w:t>
            </w:r>
          </w:p>
        </w:tc>
      </w:tr>
      <w:tr w14:paraId="02BB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5C9A41BD">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tcPr>
          <w:p w14:paraId="41242D81">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近年完成的类似项目的年份要求</w:t>
            </w:r>
          </w:p>
        </w:tc>
        <w:tc>
          <w:tcPr>
            <w:tcW w:w="5727" w:type="dxa"/>
            <w:vAlign w:val="center"/>
          </w:tcPr>
          <w:p w14:paraId="7D17DC67">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202</w:t>
            </w:r>
            <w:r>
              <w:rPr>
                <w:rFonts w:hint="eastAsia" w:asciiTheme="minorEastAsia" w:hAnsiTheme="minorEastAsia" w:eastAsiaTheme="minorEastAsia" w:cstheme="minorEastAsia"/>
                <w:color w:val="auto"/>
                <w:sz w:val="24"/>
                <w:szCs w:val="24"/>
                <w:highlight w:val="none"/>
                <w:shd w:val="clear" w:color="auto" w:fill="FFFFFF"/>
                <w:lang w:val="en-US" w:eastAsia="zh-CN" w:bidi="ar"/>
              </w:rPr>
              <w:t>3</w:t>
            </w:r>
            <w:r>
              <w:rPr>
                <w:rFonts w:hint="eastAsia" w:asciiTheme="minorEastAsia" w:hAnsiTheme="minorEastAsia" w:eastAsiaTheme="minorEastAsia" w:cstheme="minorEastAsia"/>
                <w:color w:val="auto"/>
                <w:sz w:val="24"/>
                <w:szCs w:val="24"/>
                <w:highlight w:val="none"/>
                <w:shd w:val="clear" w:color="auto" w:fill="FFFFFF"/>
                <w:lang w:bidi="ar"/>
              </w:rPr>
              <w:t>年1月1日以来至今。</w:t>
            </w:r>
          </w:p>
        </w:tc>
      </w:tr>
      <w:tr w14:paraId="514B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5180A0D6">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tcPr>
          <w:p w14:paraId="0C83412C">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近年发生的诉讼及仲裁情况的年份要求</w:t>
            </w:r>
          </w:p>
        </w:tc>
        <w:tc>
          <w:tcPr>
            <w:tcW w:w="5727" w:type="dxa"/>
            <w:vAlign w:val="center"/>
          </w:tcPr>
          <w:p w14:paraId="4B3B3CED">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202</w:t>
            </w:r>
            <w:r>
              <w:rPr>
                <w:rFonts w:hint="eastAsia" w:asciiTheme="minorEastAsia" w:hAnsiTheme="minorEastAsia" w:eastAsiaTheme="minorEastAsia" w:cstheme="minorEastAsia"/>
                <w:color w:val="auto"/>
                <w:sz w:val="24"/>
                <w:szCs w:val="24"/>
                <w:highlight w:val="none"/>
                <w:shd w:val="clear" w:color="auto" w:fill="FFFFFF"/>
                <w:lang w:val="en-US" w:eastAsia="zh-CN" w:bidi="ar"/>
              </w:rPr>
              <w:t>3</w:t>
            </w:r>
            <w:r>
              <w:rPr>
                <w:rFonts w:hint="eastAsia" w:asciiTheme="minorEastAsia" w:hAnsiTheme="minorEastAsia" w:eastAsiaTheme="minorEastAsia" w:cstheme="minorEastAsia"/>
                <w:color w:val="auto"/>
                <w:sz w:val="24"/>
                <w:szCs w:val="24"/>
                <w:highlight w:val="none"/>
                <w:shd w:val="clear" w:color="auto" w:fill="FFFFFF"/>
                <w:lang w:bidi="ar"/>
              </w:rPr>
              <w:t>年1月1日以来至今。</w:t>
            </w:r>
          </w:p>
        </w:tc>
      </w:tr>
      <w:tr w14:paraId="3300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123E0BEC">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6A3DD4B7">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highlight w:val="none"/>
              </w:rPr>
              <w:t>投标报价</w:t>
            </w:r>
          </w:p>
        </w:tc>
        <w:tc>
          <w:tcPr>
            <w:tcW w:w="5727" w:type="dxa"/>
            <w:vAlign w:val="center"/>
          </w:tcPr>
          <w:p w14:paraId="76018273">
            <w:pPr>
              <w:spacing w:line="360" w:lineRule="auto"/>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投标报价：投标供应商应按标段报出“投标函附表”中所载的各项货物的单价及价格合计</w:t>
            </w:r>
          </w:p>
          <w:p w14:paraId="60A11A31">
            <w:pPr>
              <w:keepLines/>
              <w:spacing w:line="360" w:lineRule="auto"/>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4"/>
                <w:highlight w:val="none"/>
              </w:rPr>
              <w:t>1</w:t>
            </w:r>
            <w:r>
              <w:rPr>
                <w:rFonts w:hint="eastAsia" w:asciiTheme="minorEastAsia" w:hAnsiTheme="minorEastAsia" w:eastAsiaTheme="minorEastAsia" w:cstheme="minorEastAsia"/>
                <w:color w:val="auto"/>
                <w:sz w:val="24"/>
                <w:szCs w:val="21"/>
                <w:highlight w:val="none"/>
              </w:rPr>
              <w:t>）</w:t>
            </w:r>
            <w:r>
              <w:rPr>
                <w:rFonts w:hint="eastAsia" w:asciiTheme="minorEastAsia" w:hAnsiTheme="minorEastAsia" w:eastAsiaTheme="minorEastAsia" w:cstheme="minorEastAsia"/>
                <w:color w:val="auto"/>
                <w:sz w:val="24"/>
                <w:szCs w:val="24"/>
                <w:highlight w:val="none"/>
              </w:rPr>
              <w:t>本项目应以人民币报价，</w:t>
            </w:r>
            <w:r>
              <w:rPr>
                <w:rFonts w:hint="eastAsia" w:asciiTheme="minorEastAsia" w:hAnsiTheme="minorEastAsia" w:eastAsiaTheme="minorEastAsia" w:cstheme="minorEastAsia"/>
                <w:color w:val="auto"/>
                <w:sz w:val="24"/>
                <w:szCs w:val="21"/>
                <w:highlight w:val="none"/>
              </w:rPr>
              <w:t>其中应包含货物，运输费，安装费，调试费、税金、技术支持、售后服务等等与此项目相关的全部费用（投标供应商的报价视为已包括上述全部费用）。</w:t>
            </w:r>
            <w:r>
              <w:rPr>
                <w:rFonts w:hint="eastAsia" w:asciiTheme="minorEastAsia" w:hAnsiTheme="minorEastAsia" w:eastAsiaTheme="minorEastAsia" w:cstheme="minorEastAsia"/>
                <w:color w:val="auto"/>
                <w:sz w:val="24"/>
                <w:szCs w:val="24"/>
                <w:highlight w:val="none"/>
              </w:rPr>
              <w:t>供应商应就该项目完整投标（报价、服务、税费、售后服务等综合费用），采购人不另外支付其他任何费用；</w:t>
            </w:r>
          </w:p>
          <w:p w14:paraId="1D2B034D">
            <w:pPr>
              <w:spacing w:line="360" w:lineRule="auto"/>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2）投标报价应完全包括招标文件规定的货物和服务范围，不得任意分割或合并所规定的分项；</w:t>
            </w:r>
          </w:p>
          <w:p w14:paraId="5B695222">
            <w:pPr>
              <w:spacing w:line="360" w:lineRule="auto"/>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3）投标供应商对每项货物只允许有一个报价，采购人和采购代理机构不接受有任何选择报价的投标。（注：单价的合计须等于各项物的价格之和，本项目不允许提交备选方案）；</w:t>
            </w:r>
          </w:p>
          <w:p w14:paraId="52967153">
            <w:pPr>
              <w:spacing w:line="360" w:lineRule="auto"/>
              <w:jc w:val="left"/>
              <w:rPr>
                <w:rFonts w:hint="eastAsia" w:asciiTheme="minorEastAsia" w:hAnsiTheme="minorEastAsia" w:eastAsiaTheme="minorEastAsia" w:cstheme="minorEastAsia"/>
                <w:color w:val="auto"/>
                <w:sz w:val="24"/>
                <w:szCs w:val="21"/>
                <w:highlight w:val="none"/>
              </w:rPr>
            </w:pPr>
            <w:r>
              <w:rPr>
                <w:rFonts w:hint="eastAsia" w:asciiTheme="minorEastAsia" w:hAnsiTheme="minorEastAsia" w:eastAsiaTheme="minorEastAsia" w:cstheme="minorEastAsia"/>
                <w:color w:val="auto"/>
                <w:sz w:val="24"/>
                <w:szCs w:val="21"/>
                <w:highlight w:val="none"/>
              </w:rPr>
              <w:t>4）投标供应商不得以任何理由在开标后对投标报价予以修改，报价在投标有效期内是固定的，不因任何原因而改变。任何包含价格调整要求和条件的投标，将被视为非实质性响应投标而予以拒绝；</w:t>
            </w:r>
          </w:p>
          <w:p w14:paraId="5422643D">
            <w:pPr>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1"/>
                <w:highlight w:val="none"/>
                <w:lang w:val="en-US" w:eastAsia="zh-CN"/>
              </w:rPr>
              <w:t>5</w:t>
            </w:r>
            <w:r>
              <w:rPr>
                <w:rFonts w:hint="eastAsia" w:asciiTheme="minorEastAsia" w:hAnsiTheme="minorEastAsia" w:eastAsiaTheme="minorEastAsia" w:cstheme="minorEastAsia"/>
                <w:color w:val="auto"/>
                <w:sz w:val="24"/>
                <w:szCs w:val="21"/>
                <w:highlight w:val="none"/>
              </w:rPr>
              <w:t>）除非另有规定，投标供应商提供的所有货物和服务用人民币报价；</w:t>
            </w:r>
          </w:p>
        </w:tc>
      </w:tr>
      <w:tr w14:paraId="7823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77FAC65E">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tcPr>
          <w:p w14:paraId="59C9062F">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是否允许递交备选投标方案</w:t>
            </w:r>
          </w:p>
        </w:tc>
        <w:tc>
          <w:tcPr>
            <w:tcW w:w="5727" w:type="dxa"/>
            <w:vAlign w:val="center"/>
          </w:tcPr>
          <w:p w14:paraId="3E56E10A">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■不允许。</w:t>
            </w:r>
          </w:p>
        </w:tc>
      </w:tr>
      <w:tr w14:paraId="1D1F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0" w:hRule="atLeast"/>
        </w:trPr>
        <w:tc>
          <w:tcPr>
            <w:tcW w:w="665" w:type="dxa"/>
            <w:vAlign w:val="center"/>
          </w:tcPr>
          <w:p w14:paraId="42B52AF1">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03036E4A">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签字或盖章要求</w:t>
            </w:r>
          </w:p>
        </w:tc>
        <w:tc>
          <w:tcPr>
            <w:tcW w:w="5727" w:type="dxa"/>
          </w:tcPr>
          <w:p w14:paraId="49DE81BA">
            <w:pPr>
              <w:spacing w:line="360" w:lineRule="auto"/>
              <w:ind w:firstLine="458" w:firstLineChars="191"/>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1.本项目为电子化、无纸化交易项目，投标文件是投标人通过中心投标文件制作系统制作，并经过电子签章和加密后生成的电子化投标文件，未对电子化文件进行签章的视为无效投标。投标人投标时，将不再接受任何纸质文件资料。</w:t>
            </w:r>
          </w:p>
          <w:p w14:paraId="1CC146DD">
            <w:pPr>
              <w:spacing w:line="360" w:lineRule="auto"/>
              <w:ind w:firstLine="458" w:firstLineChars="191"/>
              <w:jc w:val="left"/>
              <w:rPr>
                <w:rFonts w:hint="eastAsia" w:asciiTheme="minorEastAsia" w:hAnsiTheme="minorEastAsia" w:eastAsiaTheme="minorEastAsia" w:cstheme="minorEastAsia"/>
                <w:color w:val="auto"/>
                <w:sz w:val="24"/>
                <w:szCs w:val="24"/>
                <w:highlight w:val="none"/>
                <w:shd w:val="clear" w:color="auto" w:fill="FFFFFF"/>
                <w:lang w:eastAsia="zh-CN" w:bidi="ar"/>
              </w:rPr>
            </w:pPr>
            <w:r>
              <w:rPr>
                <w:rFonts w:hint="eastAsia" w:asciiTheme="minorEastAsia" w:hAnsiTheme="minorEastAsia" w:eastAsiaTheme="minorEastAsia" w:cstheme="minorEastAsia"/>
                <w:color w:val="auto"/>
                <w:sz w:val="24"/>
                <w:szCs w:val="24"/>
                <w:highlight w:val="none"/>
                <w:shd w:val="clear" w:color="auto" w:fill="FFFFFF"/>
                <w:lang w:bidi="ar"/>
              </w:rPr>
              <w:t>2.</w:t>
            </w:r>
            <w:r>
              <w:rPr>
                <w:rFonts w:hint="eastAsia" w:asciiTheme="minorEastAsia" w:hAnsiTheme="minorEastAsia" w:eastAsiaTheme="minorEastAsia" w:cstheme="minorEastAsia"/>
                <w:color w:val="auto"/>
                <w:sz w:val="24"/>
                <w:szCs w:val="24"/>
                <w:highlight w:val="none"/>
                <w:shd w:val="clear" w:color="auto" w:fill="FFFFFF"/>
                <w:lang w:eastAsia="zh-CN" w:bidi="ar"/>
              </w:rPr>
              <w:t>文件中要求盖单位章的位置投标人应使用CA数字证书签盖投标人的单位电子印章；要求法定代表人签字或盖章的地方，投标人应使用CA数字证书签盖法定代表人的个人电子印章为准。要求委托代理人签字或盖章的以委托代理人签字或盖章为准。</w:t>
            </w:r>
          </w:p>
        </w:tc>
      </w:tr>
      <w:tr w14:paraId="08C8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665" w:type="dxa"/>
            <w:vAlign w:val="center"/>
          </w:tcPr>
          <w:p w14:paraId="4AF4FF33">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4031CAED">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投标文件的格式及上传投标</w:t>
            </w:r>
          </w:p>
        </w:tc>
        <w:tc>
          <w:tcPr>
            <w:tcW w:w="5727" w:type="dxa"/>
            <w:vAlign w:val="center"/>
          </w:tcPr>
          <w:p w14:paraId="2DA42FBA">
            <w:pPr>
              <w:spacing w:line="360" w:lineRule="auto"/>
              <w:ind w:firstLine="458" w:firstLineChars="191"/>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投标供应商使用CA在电子平台上传电子投标文件，在投标截止时间前成功上传至三门峡市公共资源电子化交易系统。</w:t>
            </w:r>
          </w:p>
          <w:p w14:paraId="56297642">
            <w:pPr>
              <w:spacing w:line="360" w:lineRule="auto"/>
              <w:ind w:firstLine="458" w:firstLineChars="191"/>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电子化投标文件具体制作文件请点击https://download.bqpoint.com/download/downloaddetail.html?SourceFrom=Ztb&amp;ZtbSoftXiaQuCode=1506&amp;ZtbSoftType=tballinclusive进行下载。</w:t>
            </w:r>
          </w:p>
        </w:tc>
      </w:tr>
      <w:tr w14:paraId="531A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665" w:type="dxa"/>
            <w:vAlign w:val="center"/>
          </w:tcPr>
          <w:p w14:paraId="2E579F87">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6D9BE7E5">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递交投标文件地点和截止时间</w:t>
            </w:r>
          </w:p>
        </w:tc>
        <w:tc>
          <w:tcPr>
            <w:tcW w:w="5727" w:type="dxa"/>
            <w:vAlign w:val="center"/>
          </w:tcPr>
          <w:p w14:paraId="5F566A61">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时间：</w:t>
            </w:r>
            <w:r>
              <w:rPr>
                <w:rFonts w:hint="eastAsia" w:asciiTheme="minorEastAsia" w:hAnsiTheme="minorEastAsia" w:eastAsiaTheme="minorEastAsia" w:cstheme="minorEastAsia"/>
                <w:color w:val="auto"/>
                <w:sz w:val="24"/>
                <w:szCs w:val="24"/>
                <w:highlight w:val="none"/>
                <w:shd w:val="clear" w:color="auto" w:fill="FFFFFF"/>
                <w:lang w:eastAsia="zh-CN" w:bidi="ar"/>
              </w:rPr>
              <w:t>2026年08月28日08时30分</w:t>
            </w:r>
            <w:r>
              <w:rPr>
                <w:rFonts w:hint="eastAsia" w:asciiTheme="minorEastAsia" w:hAnsiTheme="minorEastAsia" w:eastAsiaTheme="minorEastAsia" w:cstheme="minorEastAsia"/>
                <w:color w:val="auto"/>
                <w:sz w:val="24"/>
                <w:szCs w:val="24"/>
                <w:highlight w:val="none"/>
                <w:shd w:val="clear" w:color="auto" w:fill="FFFFFF"/>
                <w:lang w:bidi="ar"/>
              </w:rPr>
              <w:t>（北京时间）</w:t>
            </w:r>
          </w:p>
          <w:p w14:paraId="0DDC716E">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地点：上传至三门峡市公共资源交易中心电子化交易平台。</w:t>
            </w:r>
          </w:p>
        </w:tc>
      </w:tr>
      <w:tr w14:paraId="1394C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254034AA">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7BBD637D">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是否退还投标文件</w:t>
            </w:r>
          </w:p>
        </w:tc>
        <w:tc>
          <w:tcPr>
            <w:tcW w:w="5727" w:type="dxa"/>
            <w:vAlign w:val="center"/>
          </w:tcPr>
          <w:p w14:paraId="7187E15A">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■否</w:t>
            </w:r>
          </w:p>
        </w:tc>
      </w:tr>
      <w:tr w14:paraId="500E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665" w:type="dxa"/>
            <w:vAlign w:val="center"/>
          </w:tcPr>
          <w:p w14:paraId="17024EEF">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5B318D56">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开标时间和地点</w:t>
            </w:r>
          </w:p>
        </w:tc>
        <w:tc>
          <w:tcPr>
            <w:tcW w:w="5727" w:type="dxa"/>
          </w:tcPr>
          <w:p w14:paraId="6FFB3C27">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时间：</w:t>
            </w:r>
            <w:r>
              <w:rPr>
                <w:rFonts w:hint="eastAsia" w:asciiTheme="minorEastAsia" w:hAnsiTheme="minorEastAsia" w:eastAsiaTheme="minorEastAsia" w:cstheme="minorEastAsia"/>
                <w:color w:val="auto"/>
                <w:sz w:val="24"/>
                <w:szCs w:val="24"/>
                <w:highlight w:val="none"/>
                <w:shd w:val="clear" w:color="auto" w:fill="FFFFFF"/>
                <w:lang w:eastAsia="zh-CN" w:bidi="ar"/>
              </w:rPr>
              <w:t>2026年08月28日08时30分</w:t>
            </w:r>
            <w:r>
              <w:rPr>
                <w:rFonts w:hint="eastAsia" w:asciiTheme="minorEastAsia" w:hAnsiTheme="minorEastAsia" w:eastAsiaTheme="minorEastAsia" w:cstheme="minorEastAsia"/>
                <w:color w:val="auto"/>
                <w:sz w:val="24"/>
                <w:szCs w:val="24"/>
                <w:highlight w:val="none"/>
                <w:shd w:val="clear" w:color="auto" w:fill="FFFFFF"/>
                <w:lang w:bidi="ar"/>
              </w:rPr>
              <w:t>（北京时间）</w:t>
            </w:r>
            <w:r>
              <w:rPr>
                <w:rFonts w:hint="eastAsia" w:asciiTheme="minorEastAsia" w:hAnsiTheme="minorEastAsia" w:eastAsiaTheme="minorEastAsia" w:cstheme="minorEastAsia"/>
                <w:color w:val="auto"/>
                <w:sz w:val="24"/>
                <w:szCs w:val="24"/>
                <w:highlight w:val="none"/>
                <w:shd w:val="clear" w:color="auto" w:fill="FFFFFF"/>
                <w:lang w:bidi="ar"/>
              </w:rPr>
              <w:tab/>
            </w:r>
          </w:p>
          <w:p w14:paraId="4BC4BA50">
            <w:pPr>
              <w:pStyle w:val="16"/>
              <w:widowControl/>
              <w:wordWrap w:val="0"/>
              <w:spacing w:line="360" w:lineRule="auto"/>
              <w:rPr>
                <w:rFonts w:hint="eastAsia" w:asciiTheme="minorEastAsia" w:hAnsiTheme="minorEastAsia" w:eastAsiaTheme="minorEastAsia" w:cstheme="minorEastAsia"/>
                <w:color w:val="auto"/>
                <w:szCs w:val="24"/>
                <w:highlight w:val="none"/>
                <w:shd w:val="clear" w:color="auto" w:fill="FFFFFF"/>
              </w:rPr>
            </w:pPr>
            <w:r>
              <w:rPr>
                <w:rFonts w:hint="eastAsia" w:asciiTheme="minorEastAsia" w:hAnsiTheme="minorEastAsia" w:eastAsiaTheme="minorEastAsia" w:cstheme="minorEastAsia"/>
                <w:color w:val="auto"/>
                <w:kern w:val="2"/>
                <w:szCs w:val="24"/>
                <w:highlight w:val="none"/>
                <w:shd w:val="clear" w:color="auto" w:fill="FFFFFF"/>
                <w:lang w:bidi="ar"/>
              </w:rPr>
              <w:t>地点：灵宝市公共资源交易中心</w:t>
            </w:r>
            <w:r>
              <w:rPr>
                <w:rFonts w:hint="eastAsia" w:asciiTheme="minorEastAsia" w:hAnsiTheme="minorEastAsia" w:eastAsiaTheme="minorEastAsia" w:cstheme="minorEastAsia"/>
                <w:color w:val="auto"/>
                <w:kern w:val="2"/>
                <w:szCs w:val="24"/>
                <w:highlight w:val="none"/>
                <w:shd w:val="clear" w:color="auto" w:fill="FFFFFF"/>
                <w:lang w:eastAsia="zh-CN" w:bidi="ar"/>
              </w:rPr>
              <w:t>开标二室、评标二室</w:t>
            </w:r>
            <w:r>
              <w:rPr>
                <w:rFonts w:hint="eastAsia" w:asciiTheme="minorEastAsia" w:hAnsiTheme="minorEastAsia" w:eastAsiaTheme="minorEastAsia" w:cstheme="minorEastAsia"/>
                <w:color w:val="auto"/>
                <w:kern w:val="2"/>
                <w:szCs w:val="24"/>
                <w:highlight w:val="none"/>
                <w:shd w:val="clear" w:color="auto" w:fill="FFFFFF"/>
                <w:lang w:bidi="ar"/>
              </w:rPr>
              <w:t>（灵宝市信用合作联社12楼）</w:t>
            </w:r>
          </w:p>
        </w:tc>
      </w:tr>
      <w:tr w14:paraId="30EEE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665" w:type="dxa"/>
            <w:vAlign w:val="center"/>
          </w:tcPr>
          <w:p w14:paraId="11924387">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48331252">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开标程序</w:t>
            </w:r>
          </w:p>
        </w:tc>
        <w:tc>
          <w:tcPr>
            <w:tcW w:w="5727" w:type="dxa"/>
          </w:tcPr>
          <w:p w14:paraId="4163B138">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1、本项目采用电子开评标系统，投标人应当在开标时间前，登录到三门峡市公共资源电子招投标交易平台→点击进入“不见面开标大厅”→找到相应的项目→在线准时参加开标活动。</w:t>
            </w:r>
          </w:p>
          <w:p w14:paraId="0A384129">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2、公布在投标截止时间前提交投标文件的供应商名单；</w:t>
            </w:r>
          </w:p>
          <w:p w14:paraId="24A67ABC">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3、投标人通过电子招标投标交易平台对已递交的电子投标文件进行解密；</w:t>
            </w:r>
          </w:p>
          <w:p w14:paraId="4D5F851B">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4、系统导入电子投标文件；</w:t>
            </w:r>
          </w:p>
          <w:p w14:paraId="342734AD">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5、采购人或采购代理机构将通过“电子开标系统”按照顺序公布供应商名称、投标报价和招标文件规定的需要公布的其他内容；</w:t>
            </w:r>
          </w:p>
          <w:p w14:paraId="65B0741F">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6、投标人代表对开标过程和开标记录有无异议：投标人如有异议，须按要求在规定时间内通过系统提出，由监督人代表现场核查并及时处理；否则视为该投标人认可开标过程及开标记录；投标人未参加开标的，视为认可开标结果。</w:t>
            </w:r>
          </w:p>
          <w:p w14:paraId="7A22B49F">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7、开标结束。</w:t>
            </w:r>
          </w:p>
          <w:p w14:paraId="7B465BFE">
            <w:pPr>
              <w:spacing w:line="360" w:lineRule="auto"/>
              <w:ind w:firstLine="482" w:firstLineChars="200"/>
              <w:jc w:val="left"/>
              <w:rPr>
                <w:rFonts w:hint="eastAsia" w:asciiTheme="minorEastAsia" w:hAnsiTheme="minorEastAsia" w:eastAsiaTheme="minorEastAsia" w:cstheme="minorEastAsia"/>
                <w:b/>
                <w:bCs/>
                <w:color w:val="auto"/>
                <w:sz w:val="24"/>
                <w:szCs w:val="24"/>
                <w:highlight w:val="none"/>
                <w:shd w:val="clear" w:color="auto" w:fill="FFFFFF"/>
                <w:lang w:bidi="ar"/>
              </w:rPr>
            </w:pPr>
            <w:r>
              <w:rPr>
                <w:rFonts w:hint="eastAsia" w:asciiTheme="minorEastAsia" w:hAnsiTheme="minorEastAsia" w:eastAsiaTheme="minorEastAsia" w:cstheme="minorEastAsia"/>
                <w:b/>
                <w:bCs/>
                <w:color w:val="auto"/>
                <w:sz w:val="24"/>
                <w:szCs w:val="24"/>
                <w:highlight w:val="none"/>
                <w:shd w:val="clear" w:color="auto" w:fill="FFFFFF"/>
                <w:lang w:bidi="ar"/>
              </w:rPr>
              <w:t>注：1.本项目采用电子化、无纸化进行招标，开标当日，投标供应商无需到开标现场参加开标会议，投标供应商应当在投标截止时间前，登录三门峡市公共资源交易中心电子交易平台，</w:t>
            </w:r>
            <w:r>
              <w:rPr>
                <w:rFonts w:hint="eastAsia" w:asciiTheme="minorEastAsia" w:hAnsiTheme="minorEastAsia" w:eastAsiaTheme="minorEastAsia" w:cstheme="minorEastAsia"/>
                <w:b/>
                <w:color w:val="auto"/>
                <w:sz w:val="24"/>
                <w:highlight w:val="none"/>
              </w:rPr>
              <w:t>点击【不见面开标大厅】按钮进入，在线准时参加开标活动并进行投标文件解密等。或者直接</w:t>
            </w:r>
            <w:r>
              <w:rPr>
                <w:rFonts w:hint="eastAsia" w:asciiTheme="minorEastAsia" w:hAnsiTheme="minorEastAsia" w:eastAsiaTheme="minorEastAsia" w:cstheme="minorEastAsia"/>
                <w:b/>
                <w:bCs/>
                <w:color w:val="auto"/>
                <w:sz w:val="24"/>
                <w:szCs w:val="24"/>
                <w:highlight w:val="none"/>
                <w:shd w:val="clear" w:color="auto" w:fill="FFFFFF"/>
                <w:lang w:bidi="ar"/>
              </w:rPr>
              <w:t>登陆不见面开标大厅选择登陆三门峡市公共资源电子招投标系统进行登陆（网址为http://120.194.249.36:10094/BidOpening/bidopeninghallaction/hall/login）,在线准时参加开标活动并进行投标文件解密等。</w:t>
            </w:r>
          </w:p>
          <w:p w14:paraId="7C98C877">
            <w:pPr>
              <w:spacing w:line="360" w:lineRule="auto"/>
              <w:ind w:firstLine="482"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b/>
                <w:bCs/>
                <w:color w:val="auto"/>
                <w:sz w:val="24"/>
                <w:szCs w:val="24"/>
                <w:highlight w:val="none"/>
                <w:shd w:val="clear" w:color="auto" w:fill="FFFFFF"/>
                <w:lang w:bidi="ar"/>
              </w:rPr>
              <w:t>2.投标文件采用一次加密方式。开标时，由投标供应商使用CA证书，在规定时间内对其电子化投标文件进行解密。每位投标供应商的解密时间为开标时间起30分钟内，如在规定时间内未完成解密的，其投标文件不予开标、唱标。每位投标人的解密时间为开标时间起30分钟内完成。</w:t>
            </w:r>
          </w:p>
        </w:tc>
      </w:tr>
      <w:tr w14:paraId="2A0C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665" w:type="dxa"/>
            <w:vAlign w:val="center"/>
          </w:tcPr>
          <w:p w14:paraId="05212A50">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16397881">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评标委员会的组建</w:t>
            </w:r>
          </w:p>
        </w:tc>
        <w:tc>
          <w:tcPr>
            <w:tcW w:w="5727" w:type="dxa"/>
          </w:tcPr>
          <w:p w14:paraId="544B5982">
            <w:pPr>
              <w:snapToGrid w:val="0"/>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评标委员会的组建：</w:t>
            </w:r>
          </w:p>
          <w:p w14:paraId="1BAFBFFA">
            <w:pPr>
              <w:snapToGrid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评标委员会构成：采购人代表和经济、技术专家共5人组成，其中采购人代表1人，经济、技术专家4人。</w:t>
            </w:r>
          </w:p>
          <w:p w14:paraId="34F2ACDE">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rPr>
              <w:t>经济、技术专家确定方式：从财政部门建立的专家库中随机抽取。</w:t>
            </w:r>
          </w:p>
        </w:tc>
      </w:tr>
      <w:tr w14:paraId="41EE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7712F163">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147A1068">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是否授权评标委员会确定中标供应商</w:t>
            </w:r>
          </w:p>
        </w:tc>
        <w:tc>
          <w:tcPr>
            <w:tcW w:w="5727" w:type="dxa"/>
            <w:vAlign w:val="center"/>
          </w:tcPr>
          <w:p w14:paraId="4B8142C4">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否，推荐3名中标候选人。</w:t>
            </w:r>
          </w:p>
        </w:tc>
      </w:tr>
      <w:tr w14:paraId="1ABA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6E494223">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775D1CA9">
            <w:pPr>
              <w:keepLines/>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rPr>
              <w:t>无效标条件</w:t>
            </w:r>
          </w:p>
        </w:tc>
        <w:tc>
          <w:tcPr>
            <w:tcW w:w="5727" w:type="dxa"/>
            <w:vAlign w:val="center"/>
          </w:tcPr>
          <w:p w14:paraId="5D5F6B3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1.电子化投标文件附有采购人不能接受的条件的；</w:t>
            </w:r>
          </w:p>
          <w:p w14:paraId="5619912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2.投标报价高于招标文件中投标最高限价的；</w:t>
            </w:r>
          </w:p>
          <w:p w14:paraId="356A3A9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3.以他人的名义投标、串通投标、以行贿手段谋取中标或者以其他弄虚作假方式投标的；</w:t>
            </w:r>
          </w:p>
          <w:p w14:paraId="05EAAE4F">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rPr>
              <w:t>4.采取不正当手段谋取中标的。</w:t>
            </w:r>
          </w:p>
        </w:tc>
      </w:tr>
      <w:tr w14:paraId="4CE11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2F8D0594">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1B8527C4">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中标公告媒介</w:t>
            </w:r>
          </w:p>
          <w:p w14:paraId="73EAF54D">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bidi="ar"/>
              </w:rPr>
              <w:t>及期限</w:t>
            </w:r>
          </w:p>
        </w:tc>
        <w:tc>
          <w:tcPr>
            <w:tcW w:w="5727" w:type="dxa"/>
            <w:vAlign w:val="center"/>
          </w:tcPr>
          <w:p w14:paraId="0642BF30">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公告媒介：《三门峡市公共资源交易中心网》《河南省政府采购网》《</w:t>
            </w:r>
            <w:r>
              <w:rPr>
                <w:rFonts w:hint="eastAsia" w:asciiTheme="minorEastAsia" w:hAnsiTheme="minorEastAsia" w:eastAsiaTheme="minorEastAsia" w:cstheme="minorEastAsia"/>
                <w:color w:val="auto"/>
                <w:kern w:val="0"/>
                <w:sz w:val="24"/>
                <w:szCs w:val="24"/>
                <w:highlight w:val="none"/>
                <w:lang w:eastAsia="zh-CN"/>
              </w:rPr>
              <w:t>全国招标采购公共服务平台</w:t>
            </w:r>
            <w:r>
              <w:rPr>
                <w:rFonts w:hint="eastAsia" w:asciiTheme="minorEastAsia" w:hAnsiTheme="minorEastAsia" w:eastAsiaTheme="minorEastAsia" w:cstheme="minorEastAsia"/>
                <w:color w:val="auto"/>
                <w:kern w:val="0"/>
                <w:sz w:val="24"/>
                <w:szCs w:val="24"/>
                <w:highlight w:val="none"/>
              </w:rPr>
              <w:t>》</w:t>
            </w:r>
          </w:p>
          <w:p w14:paraId="34C359E2">
            <w:pPr>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公告期限：1个工作日</w:t>
            </w:r>
          </w:p>
        </w:tc>
      </w:tr>
      <w:tr w14:paraId="6963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562D845F">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1C883B34">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最高限价</w:t>
            </w:r>
          </w:p>
        </w:tc>
        <w:tc>
          <w:tcPr>
            <w:tcW w:w="5727" w:type="dxa"/>
          </w:tcPr>
          <w:p w14:paraId="06AC64EE">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本项目最高限价：</w:t>
            </w:r>
            <w:r>
              <w:rPr>
                <w:rFonts w:hint="eastAsia" w:asciiTheme="minorEastAsia" w:hAnsiTheme="minorEastAsia" w:eastAsiaTheme="minorEastAsia" w:cstheme="minorEastAsia"/>
                <w:color w:val="auto"/>
                <w:kern w:val="0"/>
                <w:sz w:val="24"/>
                <w:szCs w:val="24"/>
                <w:highlight w:val="none"/>
                <w:lang w:eastAsia="zh-CN" w:bidi="ar"/>
              </w:rPr>
              <w:t>210.914955</w:t>
            </w:r>
            <w:r>
              <w:rPr>
                <w:rFonts w:hint="eastAsia" w:asciiTheme="minorEastAsia" w:hAnsiTheme="minorEastAsia" w:eastAsiaTheme="minorEastAsia" w:cstheme="minorEastAsia"/>
                <w:color w:val="auto"/>
                <w:kern w:val="0"/>
                <w:sz w:val="24"/>
                <w:szCs w:val="24"/>
                <w:highlight w:val="none"/>
                <w:lang w:val="en-US" w:eastAsia="zh-CN" w:bidi="ar"/>
              </w:rPr>
              <w:t>万</w:t>
            </w:r>
            <w:r>
              <w:rPr>
                <w:rFonts w:hint="eastAsia" w:asciiTheme="minorEastAsia" w:hAnsiTheme="minorEastAsia" w:eastAsiaTheme="minorEastAsia" w:cstheme="minorEastAsia"/>
                <w:color w:val="auto"/>
                <w:sz w:val="24"/>
                <w:szCs w:val="24"/>
                <w:highlight w:val="none"/>
                <w:shd w:val="clear" w:color="auto" w:fill="FFFFFF"/>
                <w:lang w:bidi="ar"/>
              </w:rPr>
              <w:t>元。</w:t>
            </w:r>
          </w:p>
          <w:p w14:paraId="31C7E46D">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凡投标供应商投标报价超出最高限价的</w:t>
            </w:r>
            <w:r>
              <w:rPr>
                <w:rFonts w:hint="eastAsia" w:asciiTheme="minorEastAsia" w:hAnsiTheme="minorEastAsia" w:eastAsiaTheme="minorEastAsia" w:cstheme="minorEastAsia"/>
                <w:color w:val="auto"/>
                <w:sz w:val="24"/>
                <w:szCs w:val="24"/>
                <w:highlight w:val="none"/>
                <w:shd w:val="clear" w:color="auto" w:fill="FFFFFF"/>
                <w:lang w:eastAsia="zh-CN" w:bidi="ar"/>
              </w:rPr>
              <w:t>【</w:t>
            </w:r>
            <w:r>
              <w:rPr>
                <w:rFonts w:hint="eastAsia" w:asciiTheme="minorEastAsia" w:hAnsiTheme="minorEastAsia" w:eastAsiaTheme="minorEastAsia" w:cstheme="minorEastAsia"/>
                <w:color w:val="auto"/>
                <w:sz w:val="24"/>
                <w:szCs w:val="24"/>
                <w:highlight w:val="none"/>
                <w:shd w:val="clear" w:color="auto" w:fill="FFFFFF"/>
                <w:lang w:val="en-US" w:eastAsia="zh-CN" w:bidi="ar"/>
              </w:rPr>
              <w:t>单价也不允许超过采购单价</w:t>
            </w:r>
            <w:r>
              <w:rPr>
                <w:rFonts w:hint="eastAsia" w:asciiTheme="minorEastAsia" w:hAnsiTheme="minorEastAsia" w:eastAsiaTheme="minorEastAsia" w:cstheme="minorEastAsia"/>
                <w:color w:val="auto"/>
                <w:sz w:val="24"/>
                <w:szCs w:val="24"/>
                <w:highlight w:val="none"/>
                <w:shd w:val="clear" w:color="auto" w:fill="FFFFFF"/>
                <w:lang w:eastAsia="zh-CN" w:bidi="ar"/>
              </w:rPr>
              <w:t>】</w:t>
            </w:r>
            <w:r>
              <w:rPr>
                <w:rFonts w:hint="eastAsia" w:asciiTheme="minorEastAsia" w:hAnsiTheme="minorEastAsia" w:eastAsiaTheme="minorEastAsia" w:cstheme="minorEastAsia"/>
                <w:color w:val="auto"/>
                <w:sz w:val="24"/>
                <w:szCs w:val="24"/>
                <w:highlight w:val="none"/>
                <w:shd w:val="clear" w:color="auto" w:fill="FFFFFF"/>
                <w:lang w:bidi="ar"/>
              </w:rPr>
              <w:t>，该供应商的投标文件应作无效标处理。</w:t>
            </w:r>
          </w:p>
        </w:tc>
      </w:tr>
      <w:tr w14:paraId="116B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5" w:type="dxa"/>
            <w:vAlign w:val="center"/>
          </w:tcPr>
          <w:p w14:paraId="6443A839">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6F7DC59E">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rPr>
              <w:t>履约保证金</w:t>
            </w:r>
          </w:p>
        </w:tc>
        <w:tc>
          <w:tcPr>
            <w:tcW w:w="5727" w:type="dxa"/>
            <w:vAlign w:val="center"/>
          </w:tcPr>
          <w:p w14:paraId="7AE67F51">
            <w:pPr>
              <w:spacing w:line="360" w:lineRule="auto"/>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本项目不收取履约保证金。如供应商违反政府采购合同约定给采购人造成损失的,采购人按照合同约定,要求供应商承担赔偿责任。</w:t>
            </w:r>
          </w:p>
        </w:tc>
      </w:tr>
      <w:tr w14:paraId="5ED5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665" w:type="dxa"/>
            <w:vAlign w:val="center"/>
          </w:tcPr>
          <w:p w14:paraId="6CE31DC3">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04716C81">
            <w:pPr>
              <w:spacing w:line="360" w:lineRule="auto"/>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付款方式</w:t>
            </w:r>
          </w:p>
        </w:tc>
        <w:tc>
          <w:tcPr>
            <w:tcW w:w="5727" w:type="dxa"/>
          </w:tcPr>
          <w:p w14:paraId="1ABA7203">
            <w:pPr>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1、政府采购合同签订生效、具备实施条件和项目资金到位后5个工作日内支付预付款，支付合同总金额的30.00%（供应商应提交预付款保函和开具等额的正式发票）；</w:t>
            </w:r>
          </w:p>
          <w:p w14:paraId="6358CA89">
            <w:pPr>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2、安装、调试完毕并经采购人验收小组确认后，提供开具等额的正式发票，达到付款条件起10日内，支付合同总金额的65%；</w:t>
            </w:r>
          </w:p>
          <w:p w14:paraId="6C315E54">
            <w:pPr>
              <w:spacing w:line="360" w:lineRule="auto"/>
              <w:ind w:firstLine="240" w:firstLineChars="100"/>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3、质保期2年后支付合同总金额的5.00%；</w:t>
            </w:r>
          </w:p>
        </w:tc>
      </w:tr>
      <w:tr w14:paraId="63CE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54200CB2">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60D932BE">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价格调整要素及价格折扣幅度说明：</w:t>
            </w:r>
          </w:p>
        </w:tc>
        <w:tc>
          <w:tcPr>
            <w:tcW w:w="5727" w:type="dxa"/>
            <w:vAlign w:val="center"/>
          </w:tcPr>
          <w:p w14:paraId="679DC275">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注：1、投标产品属于节能或环保产品的，以当期的《目录》为准，投标人对于自己产品属于节能或环保产品的需提供证明材料，无证明材料的不予价格折扣；</w:t>
            </w:r>
          </w:p>
          <w:p w14:paraId="0A88F305">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2、属于强制采购的产品，不再给予价格优惠。</w:t>
            </w:r>
          </w:p>
          <w:p w14:paraId="60800617">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3、同一标段内有多个投标产品，部分产品符合政策功能要求的，只对符合政策功能要求的产品依据《投标报价明细表》按上述价格折扣幅度进行</w:t>
            </w:r>
          </w:p>
          <w:p w14:paraId="00FAA95E">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折扣，并按折扣后的价格即单项评标价计入总价进行评标。该产品单价不明确的，不予折扣。在明细表中及投标函附录中需列出节能或环保或小微企业的产品，并提供相关证明材料，否则不予价格折扣。</w:t>
            </w:r>
          </w:p>
          <w:p w14:paraId="73BFB38C">
            <w:pPr>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4、节能或环保产品价格折扣值为5%</w:t>
            </w:r>
          </w:p>
        </w:tc>
      </w:tr>
      <w:tr w14:paraId="3410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26092860">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7C402E07">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政府采购政策</w:t>
            </w:r>
          </w:p>
        </w:tc>
        <w:tc>
          <w:tcPr>
            <w:tcW w:w="5727" w:type="dxa"/>
            <w:vAlign w:val="center"/>
          </w:tcPr>
          <w:p w14:paraId="2A2CBA9E">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1.落实中小企业、监狱企业、残疾人福利企业政府采购政策。</w:t>
            </w:r>
          </w:p>
          <w:p w14:paraId="5FE1E5EB">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本项目所属行业：工业</w:t>
            </w:r>
          </w:p>
          <w:p w14:paraId="0AD9DC4A">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根据《政府采购促进中小企业发展管理办法》(财库[2020]46号)及根据关于进一步加大政府采购支持中小企业发展有关事项的通知（三财购〔2022〕9号）的规定、财政部、司法部关于政府采购支持监狱企业发展有关问题的通知(财库[2014]68号)、《三部门联合发布关于促进残疾人就业政府采购政策的通知》(财库[2017]141号)的要求，对小型、微型企业、监狱企业及残疾人福利性单位产品的价格给予10%-20%的扣除，用扣除后的价格参与评审，本项目的扣除比例为：小型企业扣除20%，微型企业扣除20%，监狱企业扣除20%，残疾人福利性单位扣除20%。监狱企业和残疾人福利性单位属于小型、微型企业的，不重复享受政策。</w:t>
            </w:r>
          </w:p>
          <w:p w14:paraId="55CA4C6C">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在货物采购项目中，供应商提供的货物既有中小企业制造货物，也有大型企业制造货物的，不享受《政府采购促进中小企业发展管理办法》(财库[2020]46号)规定的中小企业扶持政策。</w:t>
            </w:r>
          </w:p>
          <w:p w14:paraId="4D582A63">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参加政府采购活动的中小企业应当提供《中小企业声明函》；监狱企业应当提供由省级以上监狱管理局、戒毒管理局(含新疆生产建设兵团)出具的属于监狱企业的证明文件；残疾人福利性单位应当提供《残疾人福利性单位声明函》。</w:t>
            </w:r>
          </w:p>
          <w:p w14:paraId="700E9573">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注：依据《政府采购促进中小企业发展管理办法》(财库[2020]46号)规定享受扶持政策获得政府采购合同的，小微企业不得将合同分包给大中型企业，中型企业不得将合同分包给大型企业。</w:t>
            </w:r>
          </w:p>
          <w:p w14:paraId="569EF322">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2.</w:t>
            </w:r>
            <w:r>
              <w:rPr>
                <w:rFonts w:hint="eastAsia" w:asciiTheme="minorEastAsia" w:hAnsiTheme="minorEastAsia" w:eastAsiaTheme="minorEastAsia" w:cstheme="minorEastAsia"/>
                <w:color w:val="auto"/>
                <w:kern w:val="0"/>
                <w:sz w:val="24"/>
                <w:szCs w:val="24"/>
                <w:highlight w:val="none"/>
                <w:lang w:val="en-US" w:eastAsia="zh-CN"/>
              </w:rPr>
              <w:t>节能环保产品优先采购</w:t>
            </w:r>
          </w:p>
          <w:p w14:paraId="0FABD4BB">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根据财政部发展改革委生态环境部市场监管总局《关于调整优化节能产品、环境标志产品政府采购执行机制的通知》(财库〔2019〕9号)、《关于印发节能产品政府采购品目清单的通知》(财库〔2019〕19号)；《关于印发环境标志产品政府采购品目清单的通知》(财库〔2019〕18号)要求，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政府强制采购产品除外)、环境标志产品。供应商应提供国家公布的认证机构出具的处于有效期之内的节能产品、环境标志产品认证证书。</w:t>
            </w:r>
          </w:p>
          <w:p w14:paraId="5863CF6C">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对于同时获得节能产品和环境标志产品认证证书产品，只给予其中一种认证证书产品优先采购。</w:t>
            </w:r>
          </w:p>
          <w:p w14:paraId="0BA5C828">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eastAsia="zh-CN"/>
              </w:rPr>
              <w:t>按品目清单内的政府优先采购节能产品和环境标志产品金额之和占其总价的比例，比例高的优先。</w:t>
            </w:r>
          </w:p>
          <w:p w14:paraId="06C1FDBC">
            <w:pPr>
              <w:pStyle w:val="3"/>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rPr>
              <w:t>3.根据《国务院办公厅关于在政府采购中实施本国产品标准及相关政策的通知》（国办发〔2025〕34号）文件，本项目不接受进口产品，供应商须提供“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tc>
      </w:tr>
      <w:tr w14:paraId="165C4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31678A17">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5D0C1310">
            <w:pPr>
              <w:keepNext w:val="0"/>
              <w:keepLines w:val="0"/>
              <w:pageBreakBefore w:val="0"/>
              <w:widowControl w:val="0"/>
              <w:kinsoku/>
              <w:wordWrap w:val="0"/>
              <w:overflowPunct/>
              <w:topLinePunct/>
              <w:autoSpaceDE/>
              <w:autoSpaceDN/>
              <w:bidi w:val="0"/>
              <w:spacing w:line="360" w:lineRule="auto"/>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szCs w:val="24"/>
                <w:highlight w:val="none"/>
              </w:rPr>
              <w:t>政府采购合同融资政策</w:t>
            </w:r>
          </w:p>
        </w:tc>
        <w:tc>
          <w:tcPr>
            <w:tcW w:w="5727" w:type="dxa"/>
            <w:vAlign w:val="center"/>
          </w:tcPr>
          <w:p w14:paraId="02410E19">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供应商中标后，如需融资，参照《河南省政府采购合同融资工作实施方案》（豫财购〔2017〕10号）执行。</w:t>
            </w:r>
          </w:p>
        </w:tc>
      </w:tr>
      <w:tr w14:paraId="4B5A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34FC6498">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368D5F98">
            <w:pPr>
              <w:keepNext w:val="0"/>
              <w:keepLines w:val="0"/>
              <w:pageBreakBefore w:val="0"/>
              <w:widowControl w:val="0"/>
              <w:kinsoku/>
              <w:wordWrap w:val="0"/>
              <w:overflowPunct/>
              <w:topLinePunct/>
              <w:autoSpaceDE/>
              <w:autoSpaceDN/>
              <w:bidi w:val="0"/>
              <w:spacing w:line="360" w:lineRule="auto"/>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kern w:val="0"/>
                <w:sz w:val="24"/>
                <w:szCs w:val="24"/>
                <w:highlight w:val="none"/>
                <w:lang w:val="en-US" w:eastAsia="zh-CN"/>
              </w:rPr>
              <w:t>关于异常低价的处理</w:t>
            </w:r>
          </w:p>
        </w:tc>
        <w:tc>
          <w:tcPr>
            <w:tcW w:w="5727" w:type="dxa"/>
            <w:vAlign w:val="center"/>
          </w:tcPr>
          <w:p w14:paraId="61D08590">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政府采购评审中出现下列情形之一的，评标委员会应当启动异常低价投标（响应）审查程序：</w:t>
            </w:r>
          </w:p>
          <w:p w14:paraId="29240E7E">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（1）投标（响应）报价低于全部通过符合性审查供应商投标（响应）报价平均值60%的，即投标（响应）报价&lt;全部通过符合性审查供应商投标（响应）报价平均值×60%；</w:t>
            </w:r>
          </w:p>
          <w:p w14:paraId="094BE307">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（2）投标（响应）报价低于通过符合性审查的次低报价供应商投标（响应）报价60%的，即投标（响应）报价&lt;通过符合性审查的次低报价供应商投标（响应）报价×60%；</w:t>
            </w:r>
          </w:p>
          <w:p w14:paraId="3FA22198">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（3）投标（响应）报价低于采购项目最高限价55%的，即投标（响应）报价&lt;采购项目最高限价×55%；</w:t>
            </w:r>
          </w:p>
          <w:p w14:paraId="01080E7C">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（4）评标委员会基于专业判断，认为供应商报价过低，有可能影响产品质量或者不能诚信履约的其他情形。</w:t>
            </w:r>
          </w:p>
          <w:p w14:paraId="51947187">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评标委员会启动异常低价投标（响应）审查后，属于前述第1项至第4项情形的，应当要求相关供应商在评审现场合理的时间内对投标（响应）价格作出解释，并提供项目具体成本测算等与报价合理性相关的书面说明及必要的证明材料，包括但不限于原材料成本、人工成本、制造费用等，给予相关供应商的合理时间一般不少于30 分钟。其中，属于第3 项情形，供应商已随投标（响应）文件一并提交相关书面说明及必要的证明材料的，在评审现场可不再重复提交。</w:t>
            </w:r>
          </w:p>
          <w:p w14:paraId="63CF6CA0">
            <w:pPr>
              <w:keepNext w:val="0"/>
              <w:keepLines w:val="0"/>
              <w:pageBreakBefore w:val="0"/>
              <w:widowControl w:val="0"/>
              <w:kinsoku/>
              <w:wordWrap w:val="0"/>
              <w:overflowPunct/>
              <w:topLinePunct/>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tc>
      </w:tr>
      <w:tr w14:paraId="5E65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2D923D36">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41F670B9">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招标代理费</w:t>
            </w:r>
          </w:p>
        </w:tc>
        <w:tc>
          <w:tcPr>
            <w:tcW w:w="5727" w:type="dxa"/>
            <w:vAlign w:val="center"/>
          </w:tcPr>
          <w:p w14:paraId="6FFCD328">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1.收取标准：参考河南省招标代理服务收费指导意见（豫招协[2023]002号）规定的收费标准</w:t>
            </w:r>
            <w:r>
              <w:rPr>
                <w:rFonts w:hint="eastAsia" w:asciiTheme="minorEastAsia" w:hAnsiTheme="minorEastAsia" w:eastAsiaTheme="minorEastAsia" w:cstheme="minorEastAsia"/>
                <w:color w:val="auto"/>
                <w:kern w:val="0"/>
                <w:sz w:val="24"/>
                <w:szCs w:val="24"/>
                <w:highlight w:val="none"/>
                <w:lang w:val="en-US" w:eastAsia="zh-CN"/>
              </w:rPr>
              <w:t>100%</w:t>
            </w:r>
            <w:r>
              <w:rPr>
                <w:rFonts w:hint="eastAsia" w:asciiTheme="minorEastAsia" w:hAnsiTheme="minorEastAsia" w:eastAsiaTheme="minorEastAsia" w:cstheme="minorEastAsia"/>
                <w:color w:val="auto"/>
                <w:kern w:val="0"/>
                <w:sz w:val="24"/>
                <w:szCs w:val="24"/>
                <w:highlight w:val="none"/>
              </w:rPr>
              <w:t>计算</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收费基数为招标控制价，代理费金额为30309.79元</w:t>
            </w:r>
            <w:r>
              <w:rPr>
                <w:rFonts w:hint="eastAsia" w:asciiTheme="minorEastAsia" w:hAnsiTheme="minorEastAsia" w:eastAsiaTheme="minorEastAsia" w:cstheme="minorEastAsia"/>
                <w:color w:val="auto"/>
                <w:kern w:val="0"/>
                <w:sz w:val="24"/>
                <w:szCs w:val="24"/>
                <w:highlight w:val="none"/>
              </w:rPr>
              <w:t>。</w:t>
            </w:r>
          </w:p>
          <w:p w14:paraId="6BCFFA9B">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2.收取方式：中标供应商在领取中标通知书时，以现金或转账的方式一次性向代理机构缴纳招标代理服务费。</w:t>
            </w:r>
          </w:p>
          <w:p w14:paraId="7348B3C5">
            <w:pPr>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单位名称：</w:t>
            </w:r>
            <w:r>
              <w:rPr>
                <w:rFonts w:hint="eastAsia" w:asciiTheme="minorEastAsia" w:hAnsiTheme="minorEastAsia" w:eastAsiaTheme="minorEastAsia" w:cstheme="minorEastAsia"/>
                <w:color w:val="auto"/>
                <w:kern w:val="0"/>
                <w:sz w:val="24"/>
                <w:szCs w:val="24"/>
                <w:highlight w:val="none"/>
                <w:lang w:eastAsia="zh-CN"/>
              </w:rPr>
              <w:t>河南德仕通工程管理有限公司</w:t>
            </w:r>
            <w:r>
              <w:rPr>
                <w:rFonts w:hint="eastAsia" w:asciiTheme="minorEastAsia" w:hAnsiTheme="minorEastAsia" w:eastAsiaTheme="minorEastAsia" w:cstheme="minorEastAsia"/>
                <w:color w:val="auto"/>
                <w:kern w:val="0"/>
                <w:sz w:val="24"/>
                <w:szCs w:val="24"/>
                <w:highlight w:val="none"/>
                <w:lang w:val="en-US" w:eastAsia="zh-CN"/>
              </w:rPr>
              <w:t>灵宝分公司</w:t>
            </w:r>
          </w:p>
          <w:p w14:paraId="54BB948C">
            <w:pPr>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开户行：中</w:t>
            </w:r>
            <w:r>
              <w:rPr>
                <w:rFonts w:hint="eastAsia" w:asciiTheme="minorEastAsia" w:hAnsiTheme="minorEastAsia" w:eastAsiaTheme="minorEastAsia" w:cstheme="minorEastAsia"/>
                <w:color w:val="auto"/>
                <w:kern w:val="0"/>
                <w:sz w:val="24"/>
                <w:szCs w:val="24"/>
                <w:highlight w:val="none"/>
                <w:lang w:val="en-US" w:eastAsia="zh-CN"/>
              </w:rPr>
              <w:t>国农业</w:t>
            </w:r>
            <w:r>
              <w:rPr>
                <w:rFonts w:hint="eastAsia" w:asciiTheme="minorEastAsia" w:hAnsiTheme="minorEastAsia" w:eastAsiaTheme="minorEastAsia" w:cstheme="minorEastAsia"/>
                <w:color w:val="auto"/>
                <w:kern w:val="0"/>
                <w:sz w:val="24"/>
                <w:szCs w:val="24"/>
                <w:highlight w:val="none"/>
              </w:rPr>
              <w:t>银行</w:t>
            </w:r>
            <w:r>
              <w:rPr>
                <w:rFonts w:hint="eastAsia" w:asciiTheme="minorEastAsia" w:hAnsiTheme="minorEastAsia" w:eastAsiaTheme="minorEastAsia" w:cstheme="minorEastAsia"/>
                <w:color w:val="auto"/>
                <w:kern w:val="0"/>
                <w:sz w:val="24"/>
                <w:szCs w:val="24"/>
                <w:highlight w:val="none"/>
                <w:lang w:val="en-US" w:eastAsia="zh-CN"/>
              </w:rPr>
              <w:t>灵宝市果品市场支行</w:t>
            </w:r>
          </w:p>
          <w:p w14:paraId="15946A76">
            <w:pPr>
              <w:spacing w:line="360" w:lineRule="auto"/>
              <w:ind w:firstLine="240" w:firstLineChars="100"/>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rPr>
              <w:t>账号：</w:t>
            </w:r>
            <w:r>
              <w:rPr>
                <w:rFonts w:hint="eastAsia" w:asciiTheme="minorEastAsia" w:hAnsiTheme="minorEastAsia" w:eastAsiaTheme="minorEastAsia" w:cstheme="minorEastAsia"/>
                <w:color w:val="auto"/>
                <w:kern w:val="0"/>
                <w:sz w:val="24"/>
                <w:szCs w:val="24"/>
                <w:highlight w:val="none"/>
                <w:lang w:val="en-US" w:eastAsia="zh-CN"/>
              </w:rPr>
              <w:t>16178701040004326</w:t>
            </w:r>
          </w:p>
          <w:p w14:paraId="4D5E86EC">
            <w:pPr>
              <w:spacing w:line="360" w:lineRule="auto"/>
              <w:ind w:firstLine="240" w:firstLineChars="10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法定代表人：何艳艳</w:t>
            </w:r>
          </w:p>
        </w:tc>
      </w:tr>
      <w:tr w14:paraId="0C6A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65" w:type="dxa"/>
            <w:vAlign w:val="center"/>
          </w:tcPr>
          <w:p w14:paraId="0567BADE">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32583C34">
            <w:pPr>
              <w:spacing w:line="360" w:lineRule="auto"/>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szCs w:val="24"/>
                <w:highlight w:val="none"/>
              </w:rPr>
              <w:t>其它补充说明</w:t>
            </w:r>
          </w:p>
        </w:tc>
        <w:tc>
          <w:tcPr>
            <w:tcW w:w="5727" w:type="dxa"/>
            <w:vAlign w:val="center"/>
          </w:tcPr>
          <w:p w14:paraId="5D0B9FD9">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1.中标人与采购人签订合同后，将合同副本原件扫描件发送采购代理机构备案。</w:t>
            </w:r>
          </w:p>
          <w:p w14:paraId="6D2F83BB">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2.履约验收要求：合格，符合招标文件及投标文件要求，满足采购人需求。</w:t>
            </w:r>
          </w:p>
        </w:tc>
      </w:tr>
      <w:tr w14:paraId="4A85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665" w:type="dxa"/>
            <w:vAlign w:val="center"/>
          </w:tcPr>
          <w:p w14:paraId="31E5CCC8">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rPr>
            </w:pPr>
          </w:p>
        </w:tc>
        <w:tc>
          <w:tcPr>
            <w:tcW w:w="2266" w:type="dxa"/>
            <w:vAlign w:val="center"/>
          </w:tcPr>
          <w:p w14:paraId="66BCD680">
            <w:pPr>
              <w:keepLines/>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质疑和投诉</w:t>
            </w:r>
          </w:p>
        </w:tc>
        <w:tc>
          <w:tcPr>
            <w:tcW w:w="5727" w:type="dxa"/>
            <w:vAlign w:val="center"/>
          </w:tcPr>
          <w:p w14:paraId="23C3AD62">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1.供应商认为采购文件、采购过程和中标或者成交结果使自己的权益受到损害的，可以在知道或者应知其权益受到损害之日起7个工作日内，以书面形式向采购人、采购代理机构提出质疑。</w:t>
            </w:r>
          </w:p>
          <w:p w14:paraId="6AF74984">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提出质疑的供应商应按照财政部门制定的《政府采购质疑函范本》格式（详见中国政府采购网）和《政府采购质疑和投诉办法》的要求，在法定质疑期内以书面形式提出质疑，针对同一采购程序环节的质疑应一次性提出。</w:t>
            </w:r>
          </w:p>
          <w:p w14:paraId="507088B7">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超出法定质疑期的、重复提出的、分次提出的或内容、形式不符合《政府采购质疑和投诉办法》的，提出质疑的供应商将依法承担不利后果。</w:t>
            </w:r>
          </w:p>
          <w:p w14:paraId="6BC2C8AA">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3.质疑函接收部门、联系电话和通讯地址, 见供应商须知前附表</w:t>
            </w:r>
          </w:p>
          <w:p w14:paraId="404BF066">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4.质疑供应商对采购人、采购代理机构的答复不满意，或者采购人、采购代理机构未在规定时间内作出答复的，可以在答复期满后15个工作日内向财政部门提起投诉。</w:t>
            </w:r>
          </w:p>
          <w:p w14:paraId="13EC84B3">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5.投诉人投诉时,应当提交投诉书和必要的证明材料，并按照被投诉采购人、采购代理机构（以下简称被投诉人）和与投诉事项有关的供应商数量提供投诉书的副本。</w:t>
            </w:r>
          </w:p>
        </w:tc>
      </w:tr>
      <w:tr w14:paraId="6872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6F146BC9">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rPr>
            </w:pPr>
          </w:p>
        </w:tc>
        <w:tc>
          <w:tcPr>
            <w:tcW w:w="2266" w:type="dxa"/>
            <w:vAlign w:val="center"/>
          </w:tcPr>
          <w:p w14:paraId="77F2E9FD">
            <w:pPr>
              <w:keepLines/>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招标文件解释</w:t>
            </w:r>
          </w:p>
        </w:tc>
        <w:tc>
          <w:tcPr>
            <w:tcW w:w="5727" w:type="dxa"/>
            <w:vAlign w:val="center"/>
          </w:tcPr>
          <w:p w14:paraId="27D918CF">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构成本招标文件的各个组成文件应互为解释，互为说明；如有不明确或不一致，构成合同文件组成内容的，以合同文件约定内容为准，除招标文件中有特别规定外，仅适用于采购阶段的规定，按招标公告、供应商须知、评分方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62651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53F873F2">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rPr>
            </w:pPr>
          </w:p>
        </w:tc>
        <w:tc>
          <w:tcPr>
            <w:tcW w:w="2266" w:type="dxa"/>
            <w:vAlign w:val="center"/>
          </w:tcPr>
          <w:p w14:paraId="0B6C9367">
            <w:pPr>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44"/>
                <w:sz w:val="24"/>
                <w:szCs w:val="24"/>
                <w:highlight w:val="none"/>
              </w:rPr>
              <w:t>同义词语</w:t>
            </w:r>
          </w:p>
        </w:tc>
        <w:tc>
          <w:tcPr>
            <w:tcW w:w="5727" w:type="dxa"/>
            <w:vAlign w:val="center"/>
          </w:tcPr>
          <w:p w14:paraId="6972D045">
            <w:pPr>
              <w:spacing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44"/>
                <w:sz w:val="24"/>
                <w:szCs w:val="24"/>
                <w:highlight w:val="none"/>
              </w:rPr>
              <w:t xml:space="preserve">  构成招标文件组成部分的“通用合同条款”、“专用合同条款”、“技术标准和要求”等章节中出现的措辞“发包人”和“承包人”，在招标投标阶段应当分别按“招标人”和“投标人”进行理解。</w:t>
            </w:r>
          </w:p>
        </w:tc>
      </w:tr>
      <w:tr w14:paraId="3E1D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65" w:type="dxa"/>
            <w:vAlign w:val="center"/>
          </w:tcPr>
          <w:p w14:paraId="34428D5F">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rPr>
            </w:pPr>
          </w:p>
        </w:tc>
        <w:tc>
          <w:tcPr>
            <w:tcW w:w="2266" w:type="dxa"/>
            <w:vAlign w:val="center"/>
          </w:tcPr>
          <w:p w14:paraId="55F60C57">
            <w:pPr>
              <w:autoSpaceDE w:val="0"/>
              <w:autoSpaceDN w:val="0"/>
              <w:adjustRightInd w:val="0"/>
              <w:spacing w:line="360" w:lineRule="auto"/>
              <w:contextualSpacing/>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知识产权</w:t>
            </w:r>
          </w:p>
        </w:tc>
        <w:tc>
          <w:tcPr>
            <w:tcW w:w="5727" w:type="dxa"/>
            <w:vAlign w:val="center"/>
          </w:tcPr>
          <w:p w14:paraId="7E5E0843">
            <w:pPr>
              <w:spacing w:line="360" w:lineRule="auto"/>
              <w:ind w:firstLine="240" w:firstLineChars="1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构成本采购文件各个组成部分的文件，未经采购人书面同意，供应商不得擅自复印和用于非本招标项目所需的其他目的。采购人全部或者部分使用未成交供应商响应文件中的技术成果或技术方案时，需征得其书面同意，并不得擅自复印或提供给第三人。</w:t>
            </w:r>
          </w:p>
        </w:tc>
      </w:tr>
      <w:tr w14:paraId="2115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trPr>
        <w:tc>
          <w:tcPr>
            <w:tcW w:w="665" w:type="dxa"/>
            <w:vAlign w:val="center"/>
          </w:tcPr>
          <w:p w14:paraId="70A5F062">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29C9BD40">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是否实行计算机辅助评标</w:t>
            </w:r>
          </w:p>
        </w:tc>
        <w:tc>
          <w:tcPr>
            <w:tcW w:w="5727" w:type="dxa"/>
            <w:vAlign w:val="center"/>
          </w:tcPr>
          <w:p w14:paraId="2F7EA521">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w:t>
            </w:r>
          </w:p>
          <w:p w14:paraId="36CE969B">
            <w:pPr>
              <w:spacing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供应商须独立制作、修改和上传响应文件，若因“响应文件制作机器码”与其他供应商一致，机器码一致的所有响应文件按无效文件处理，所造成的不良后果由供应商自行承担。</w:t>
            </w:r>
          </w:p>
        </w:tc>
      </w:tr>
      <w:tr w14:paraId="27A2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665" w:type="dxa"/>
            <w:vAlign w:val="center"/>
          </w:tcPr>
          <w:p w14:paraId="74A1CFAC">
            <w:pPr>
              <w:numPr>
                <w:ilvl w:val="0"/>
                <w:numId w:val="1"/>
              </w:num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p>
        </w:tc>
        <w:tc>
          <w:tcPr>
            <w:tcW w:w="2266" w:type="dxa"/>
            <w:vAlign w:val="center"/>
          </w:tcPr>
          <w:p w14:paraId="622539E8">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highlight w:val="none"/>
              </w:rPr>
              <w:t>其他</w:t>
            </w:r>
          </w:p>
        </w:tc>
        <w:tc>
          <w:tcPr>
            <w:tcW w:w="5727" w:type="dxa"/>
            <w:vAlign w:val="center"/>
          </w:tcPr>
          <w:p w14:paraId="149C9412">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一、招标文件的最终解释权归招标人；</w:t>
            </w:r>
          </w:p>
          <w:p w14:paraId="61F0BA2D">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二、其它未尽事宜，按国家有关法律、法规执行。</w:t>
            </w:r>
          </w:p>
          <w:p w14:paraId="171A1958">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三、成交供应商，不得以任何理由和任何方式转包给第三方。</w:t>
            </w:r>
          </w:p>
          <w:p w14:paraId="6176A71E">
            <w:pPr>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四、参与同一个标段（包）的供应商存在下列情形之一的，其投标（响应）文件无效：</w:t>
            </w:r>
          </w:p>
          <w:p w14:paraId="76E178BF">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（1）不同供应商的响应文件由同一单位或者个人编制；</w:t>
            </w:r>
          </w:p>
          <w:p w14:paraId="584FFF03">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（2）不同供应商委托同一单位或者个人办理投标事宜；</w:t>
            </w:r>
          </w:p>
          <w:p w14:paraId="6462ABEE">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（3）不同供应商的响应文件载明的项目管理成员或者联系人员为同一人；</w:t>
            </w:r>
          </w:p>
          <w:p w14:paraId="24AAA29E">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（4）不同供应商的响应文件异常一致或者投标报价呈规律性差异；</w:t>
            </w:r>
          </w:p>
          <w:p w14:paraId="391C9E93">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（5）不同供应商的响应文件相互混装；</w:t>
            </w:r>
          </w:p>
          <w:p w14:paraId="090325C0">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（6）不同供应商的电子投标（响应）文件上传计算机的网卡MAC地址、CPU序列号和硬盘序列号等硬件信息相同的；</w:t>
            </w:r>
          </w:p>
          <w:p w14:paraId="14D98DAD">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（7）不同供应商的投标（响应）文件由同一电子设备编制、打印加密或者上传；</w:t>
            </w:r>
          </w:p>
          <w:p w14:paraId="5BFB09E9">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（8）不同供应商的投标（响应）文件由同一电子设备打印、复印；</w:t>
            </w:r>
          </w:p>
          <w:p w14:paraId="2CFE00B9">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（9）不同供应商的投标（响应）文件由同一人送达或者分发，或者不同供应商联系人为同一人或不同联系人的联系电话一致的；</w:t>
            </w:r>
          </w:p>
          <w:p w14:paraId="20D5AA13">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（10）不同供应商的投标（响应）文件的内容存在两处以上细节错误一致；</w:t>
            </w:r>
          </w:p>
          <w:p w14:paraId="19DA8A40">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（11）不同供应商的法定代表人、委托代理人、项目经理、项目负责人等由同一个单位缴纳社会保险或者领取报酬的；</w:t>
            </w:r>
          </w:p>
          <w:p w14:paraId="10F09A5D">
            <w:pPr>
              <w:spacing w:line="360" w:lineRule="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（12）不同供应商投标（响应）文件中法定代表人或者负责人签字出自同一人之手；</w:t>
            </w:r>
          </w:p>
          <w:p w14:paraId="2B0D5CD3">
            <w:pPr>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Cs/>
                <w:color w:val="auto"/>
                <w:sz w:val="24"/>
                <w:szCs w:val="24"/>
                <w:highlight w:val="none"/>
              </w:rPr>
              <w:t>（13）其它涉嫌串通的情形。</w:t>
            </w:r>
          </w:p>
        </w:tc>
      </w:tr>
      <w:tr w14:paraId="45529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8658" w:type="dxa"/>
            <w:gridSpan w:val="3"/>
            <w:vAlign w:val="center"/>
          </w:tcPr>
          <w:p w14:paraId="73CC1ADB">
            <w:pPr>
              <w:spacing w:line="360" w:lineRule="auto"/>
              <w:rPr>
                <w:rFonts w:hint="eastAsia" w:asciiTheme="minorEastAsia" w:hAnsiTheme="minorEastAsia" w:eastAsiaTheme="minorEastAsia" w:cstheme="minorEastAsia"/>
                <w:b/>
                <w:bCs/>
                <w:color w:val="auto"/>
                <w:sz w:val="24"/>
                <w:szCs w:val="24"/>
                <w:highlight w:val="none"/>
                <w:shd w:val="clear" w:color="auto" w:fill="FFFFFF"/>
                <w:lang w:bidi="ar"/>
              </w:rPr>
            </w:pPr>
            <w:r>
              <w:rPr>
                <w:rFonts w:hint="eastAsia" w:asciiTheme="minorEastAsia" w:hAnsiTheme="minorEastAsia" w:eastAsiaTheme="minorEastAsia" w:cstheme="minorEastAsia"/>
                <w:b/>
                <w:bCs/>
                <w:color w:val="auto"/>
                <w:sz w:val="24"/>
                <w:szCs w:val="24"/>
                <w:highlight w:val="none"/>
                <w:shd w:val="clear" w:color="auto" w:fill="FFFFFF"/>
                <w:lang w:bidi="ar"/>
              </w:rPr>
              <w:t>电子化交易注意事项</w:t>
            </w:r>
          </w:p>
        </w:tc>
      </w:tr>
      <w:tr w14:paraId="326A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658" w:type="dxa"/>
            <w:gridSpan w:val="3"/>
          </w:tcPr>
          <w:p w14:paraId="564B328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本项目为电子化、无纸化交易项目，投标文件是投标人、响应人（以下简称“投标人”）通过中心投标文件制作系统制作，并经过签章和加密后生成的电子版投标文件。</w:t>
            </w:r>
          </w:p>
          <w:p w14:paraId="5BE4E1F9">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电子化投标文件具体制作文件请点击https://download.bqpoint.com/download/downloaddetail.html?SourceFrom=Ztb&amp;ZtbSoftXiaQuCode=1506&amp;ZtbSoftType=tballinclusive进行下载。</w:t>
            </w:r>
          </w:p>
          <w:p w14:paraId="6EEF2128">
            <w:pPr>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温馨提示：本项目为电子化、无纸化交易项目，为保证您能投标成功，请需仔细阅读以下条款。</w:t>
            </w:r>
          </w:p>
          <w:p w14:paraId="2DAFD625">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一、电子化投标</w:t>
            </w:r>
          </w:p>
          <w:p w14:paraId="7469C0AF">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（一）电子化投标文件的签章</w:t>
            </w:r>
          </w:p>
          <w:p w14:paraId="4F7A91D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1、投标人在生成电子化投标文件后，应对电子化投标文件进行签章，未进行签章的视为无效投标。</w:t>
            </w:r>
          </w:p>
          <w:p w14:paraId="00276CF5">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2、招标文件中要求法定代表人或授权委托人电子签章的，</w:t>
            </w:r>
            <w:r>
              <w:rPr>
                <w:rFonts w:hint="eastAsia" w:asciiTheme="minorEastAsia" w:hAnsiTheme="minorEastAsia" w:eastAsiaTheme="minorEastAsia" w:cstheme="minorEastAsia"/>
                <w:color w:val="auto"/>
                <w:sz w:val="24"/>
                <w:szCs w:val="24"/>
                <w:highlight w:val="none"/>
                <w:lang w:eastAsia="zh-CN"/>
              </w:rPr>
              <w:t>文件中要求盖单位章的位置投标人应使用CA数字证书签盖投标人的单位电子印章；要求法定代表人签字或盖章的地方，投标人应使用CA数字证书签盖法定代表人的个人电子印章为准。要求委托代理人签字或盖章的以委托代理人签字或盖章为准。</w:t>
            </w:r>
          </w:p>
          <w:p w14:paraId="7CBF0ED5">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（二）电子化投标文件的格式及上传投标</w:t>
            </w:r>
          </w:p>
          <w:p w14:paraId="20AB11C9">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人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备份文件主要用于电子化开标出现技术问题后的补救，请投标人随身携带。</w:t>
            </w:r>
          </w:p>
          <w:p w14:paraId="3CBD5B0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2、电子化投标文件应在投标截止时间前成功上传至三门峡市公共资源电子化交易系统。至投标截止时间止，仍未上传成功的电子化投标文件将不予接收。</w:t>
            </w:r>
          </w:p>
          <w:p w14:paraId="209BDE3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227B08F9">
            <w:pPr>
              <w:autoSpaceDE w:val="0"/>
              <w:autoSpaceDN w:val="0"/>
              <w:spacing w:before="210" w:line="360" w:lineRule="auto"/>
              <w:ind w:right="63"/>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技术联系电话：</w:t>
            </w:r>
            <w:r>
              <w:rPr>
                <w:rFonts w:hint="eastAsia" w:asciiTheme="minorEastAsia" w:hAnsiTheme="minorEastAsia" w:eastAsiaTheme="minorEastAsia" w:cstheme="minorEastAsia"/>
                <w:bCs/>
                <w:color w:val="auto"/>
                <w:spacing w:val="-2"/>
                <w:kern w:val="0"/>
                <w:sz w:val="24"/>
                <w:szCs w:val="24"/>
                <w:highlight w:val="none"/>
              </w:rPr>
              <w:t>0398-3117871</w:t>
            </w:r>
          </w:p>
          <w:p w14:paraId="4F369035">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（三）电子化项目开标、解密、唱标、评标</w:t>
            </w:r>
          </w:p>
          <w:p w14:paraId="131CE40E">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1、本项目采用电子化、无纸化进行招标，开标当日，投标人无需到开标现场参加开标会议，投标人应当在投标截止时间前，登陆不见面开标大厅选择登陆三门峡市公共资源电子招投标系统进行登陆（网址为</w:t>
            </w:r>
            <w:r>
              <w:rPr>
                <w:rFonts w:hint="eastAsia" w:asciiTheme="minorEastAsia" w:hAnsiTheme="minorEastAsia" w:eastAsiaTheme="minorEastAsia" w:cstheme="minorEastAsia"/>
                <w:color w:val="auto"/>
                <w:sz w:val="24"/>
                <w:szCs w:val="24"/>
                <w:highlight w:val="none"/>
                <w:u w:val="single"/>
              </w:rPr>
              <w:t>http://120.194.249.36:10094/BidOpening/bidopeninghallaction/hall/login</w:t>
            </w:r>
            <w:r>
              <w:rPr>
                <w:rFonts w:hint="eastAsia" w:asciiTheme="minorEastAsia" w:hAnsiTheme="minorEastAsia" w:eastAsiaTheme="minorEastAsia" w:cstheme="minorEastAsia"/>
                <w:color w:val="auto"/>
                <w:sz w:val="24"/>
                <w:szCs w:val="24"/>
                <w:highlight w:val="none"/>
              </w:rPr>
              <w:t>）,在线准时参加开标活动并进行投标文件解密等</w:t>
            </w:r>
          </w:p>
          <w:p w14:paraId="6FA1D23D">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2、电子化投标文件采用一次加密方式。开标时，由投标人使用CA 证书，在规定时间内对其电子化投标文件进行解密。每位投标人的解密时间为开标时间起30 分钟内，如在规定时间内未完成解密的，其投标文件不予开标、唱标。</w:t>
            </w:r>
          </w:p>
          <w:p w14:paraId="2CC81EA7">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3、电子化投标文件解密异常的处理</w:t>
            </w:r>
          </w:p>
          <w:p w14:paraId="144CC77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如出现投标人的电子投标文件无法解密等异常情况，投标人应及时致电中介服务机构说明。投标文件异常，按以下步骤进行处理：</w:t>
            </w:r>
          </w:p>
          <w:p w14:paraId="7188C574">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（1）首先由技术人员进行问题排查。</w:t>
            </w:r>
          </w:p>
          <w:p w14:paraId="2DC0AEF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（2）经技术人员排查后，是投标人文件自身问题导致投标文件无法解密的，该投标文件将不予接收、解密和唱标。开标会议继续进行。</w:t>
            </w:r>
          </w:p>
          <w:p w14:paraId="785D61B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13D7A94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4、待所有投标人投标文件解密完成后，由中介服务机构操作，对所有已解密投标文件进行唱标。</w:t>
            </w:r>
          </w:p>
          <w:p w14:paraId="72A0FFE0">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投标人应保证在开标期间电话、电脑、网络能够正常工作，投标人因停电、电脑病毒、网络堵塞等原因，未在规定的解密时间内对投标文件进行解密的，其投标文件不予接收、唱标。</w:t>
            </w:r>
          </w:p>
          <w:p w14:paraId="2096AB42">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开标时投标人可登录到交易系统中在开标解密栏中点击报价一览表查看自己的投标报价。如对自己的唱标内容有异议的，应在投标人解密成功后10分钟内向中介服务机构电话质疑。中介服务机构应在监督人员的监督下进行免提通话接受投标人的质疑并做好书面记录。投标人未在规定时间内提出质疑的，视为认可唱标内容。</w:t>
            </w:r>
          </w:p>
          <w:p w14:paraId="2F6E85B1">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评标时，评标委员会对电子化投标文件有质疑的，将通过电子化交易系统对投标人发起质疑，并在监督人员的监督下，用免提模式致电需要答复的投标人对质疑进行回复。投标人的回复文件必须以经过投标人和其法定代表人签章的PDF格式文件为准，并通过电子化交易系统提交至评标委员会。</w:t>
            </w:r>
          </w:p>
          <w:p w14:paraId="43FD0825">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7、如评标委员会对需要回复的投标人连续三次致电未接通的，视为投标人放弃回复，评标委员会将自行对需要回复的内容进行认定。</w:t>
            </w:r>
          </w:p>
          <w:p w14:paraId="71EF89E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二、投标文件的提交</w:t>
            </w:r>
          </w:p>
          <w:p w14:paraId="21D930FE">
            <w:pPr>
              <w:wordWrap w:val="0"/>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本项目实行后审，审查内容以投标截止时间前在三门峡市公共资源交易系统上传的投标文件的信息为准。其上传资料真实性由投标人自行承担，同时，投标人需要完善主体库信息。</w:t>
            </w:r>
            <w:r>
              <w:rPr>
                <w:rFonts w:hint="eastAsia" w:asciiTheme="minorEastAsia" w:hAnsiTheme="minorEastAsia" w:eastAsiaTheme="minorEastAsia" w:cstheme="minorEastAsia"/>
                <w:b/>
                <w:bCs/>
                <w:color w:val="auto"/>
                <w:sz w:val="24"/>
                <w:szCs w:val="24"/>
                <w:highlight w:val="none"/>
              </w:rPr>
              <w:t>（注：评标过程中若主体库资料显示不全面，不得作为废标的依据）</w:t>
            </w:r>
          </w:p>
          <w:p w14:paraId="6870A354">
            <w:pPr>
              <w:spacing w:line="360" w:lineRule="auto"/>
              <w:ind w:firstLine="480" w:firstLineChars="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rPr>
              <w:t>提示：本项目为电子化、无纸化交易项目，为保证您能投标成功，请需仔细阅读以上条款。</w:t>
            </w:r>
          </w:p>
        </w:tc>
      </w:tr>
    </w:tbl>
    <w:p w14:paraId="23CD272C">
      <w:pPr>
        <w:spacing w:line="517" w:lineRule="exact"/>
        <w:jc w:val="center"/>
        <w:outlineLvl w:val="1"/>
        <w:rPr>
          <w:rFonts w:hint="eastAsia" w:asciiTheme="minorEastAsia" w:hAnsiTheme="minorEastAsia" w:eastAsiaTheme="minorEastAsia" w:cstheme="minorEastAsia"/>
          <w:b/>
          <w:bCs/>
          <w:color w:val="auto"/>
          <w:sz w:val="28"/>
          <w:szCs w:val="36"/>
          <w:highlight w:val="none"/>
          <w:shd w:val="clear" w:color="auto" w:fill="FFFFFF"/>
          <w:lang w:val="zh-CN" w:bidi="zh-CN"/>
        </w:rPr>
      </w:pPr>
      <w:bookmarkStart w:id="16" w:name="_Toc176358318"/>
      <w:r>
        <w:rPr>
          <w:rFonts w:hint="eastAsia" w:asciiTheme="minorEastAsia" w:hAnsiTheme="minorEastAsia" w:eastAsiaTheme="minorEastAsia" w:cstheme="minorEastAsia"/>
          <w:b/>
          <w:bCs/>
          <w:color w:val="auto"/>
          <w:sz w:val="28"/>
          <w:szCs w:val="32"/>
          <w:highlight w:val="none"/>
          <w:shd w:val="clear" w:color="auto" w:fill="FFFFFF"/>
          <w:lang w:bidi="ar"/>
        </w:rPr>
        <w:t>一、</w:t>
      </w:r>
      <w:r>
        <w:rPr>
          <w:rFonts w:hint="eastAsia" w:asciiTheme="minorEastAsia" w:hAnsiTheme="minorEastAsia" w:eastAsiaTheme="minorEastAsia" w:cstheme="minorEastAsia"/>
          <w:b/>
          <w:bCs/>
          <w:color w:val="auto"/>
          <w:sz w:val="28"/>
          <w:szCs w:val="36"/>
          <w:highlight w:val="none"/>
          <w:shd w:val="clear" w:color="auto" w:fill="FFFFFF"/>
          <w:lang w:val="zh-CN" w:bidi="zh-CN"/>
        </w:rPr>
        <w:t>总则</w:t>
      </w:r>
      <w:bookmarkEnd w:id="16"/>
    </w:p>
    <w:p w14:paraId="0FDC7BF6">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7" w:name="_Toc170287268"/>
      <w:bookmarkStart w:id="18" w:name="_Toc113892412"/>
      <w:bookmarkStart w:id="19" w:name="_Toc176358319"/>
      <w:bookmarkStart w:id="20" w:name="_Toc113891900"/>
      <w:bookmarkStart w:id="21" w:name="_Toc170287616"/>
      <w:bookmarkStart w:id="22" w:name="_Toc151210111"/>
      <w:r>
        <w:rPr>
          <w:rFonts w:hint="eastAsia" w:asciiTheme="minorEastAsia" w:hAnsiTheme="minorEastAsia" w:eastAsiaTheme="minorEastAsia" w:cstheme="minorEastAsia"/>
          <w:b/>
          <w:bCs/>
          <w:color w:val="auto"/>
          <w:sz w:val="28"/>
          <w:szCs w:val="28"/>
          <w:highlight w:val="none"/>
        </w:rPr>
        <w:t>1、适用范围</w:t>
      </w:r>
      <w:bookmarkEnd w:id="17"/>
      <w:bookmarkEnd w:id="18"/>
      <w:bookmarkEnd w:id="19"/>
      <w:bookmarkEnd w:id="20"/>
      <w:bookmarkEnd w:id="21"/>
      <w:bookmarkEnd w:id="22"/>
    </w:p>
    <w:p w14:paraId="03DB01F3">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1.1本招标文件仅适用于招标文件中所述货物及有关服务的采购。</w:t>
      </w:r>
    </w:p>
    <w:p w14:paraId="3CF80548">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1.2本次根据有关法律法规。</w:t>
      </w:r>
    </w:p>
    <w:p w14:paraId="7C025431">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3" w:name="_Toc113892413"/>
      <w:bookmarkStart w:id="24" w:name="_Toc176358320"/>
      <w:bookmarkStart w:id="25" w:name="_Toc170287617"/>
      <w:bookmarkStart w:id="26" w:name="_Toc170287269"/>
      <w:bookmarkStart w:id="27" w:name="_Toc151210112"/>
      <w:bookmarkStart w:id="28" w:name="_Toc113891901"/>
      <w:r>
        <w:rPr>
          <w:rFonts w:hint="eastAsia" w:asciiTheme="minorEastAsia" w:hAnsiTheme="minorEastAsia" w:eastAsiaTheme="minorEastAsia" w:cstheme="minorEastAsia"/>
          <w:b/>
          <w:bCs/>
          <w:color w:val="auto"/>
          <w:sz w:val="28"/>
          <w:szCs w:val="28"/>
          <w:highlight w:val="none"/>
        </w:rPr>
        <w:t>2、定义与解释</w:t>
      </w:r>
      <w:bookmarkEnd w:id="23"/>
      <w:bookmarkEnd w:id="24"/>
      <w:bookmarkEnd w:id="25"/>
      <w:bookmarkEnd w:id="26"/>
      <w:bookmarkEnd w:id="27"/>
      <w:bookmarkEnd w:id="28"/>
    </w:p>
    <w:p w14:paraId="1F8875C5">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2.1 采购人：依法进行政府采购的国家机关、事业单位、团体组织。</w:t>
      </w:r>
    </w:p>
    <w:p w14:paraId="1DB539DC">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2.2 采购代理机构：受采购人委托组织招标活动，在招标过程中负有相应义务和责任的社会中介组织。</w:t>
      </w:r>
    </w:p>
    <w:p w14:paraId="5EDAEE39">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2.3 供应商：系指是指响应招标、参加投标竞争的法人或者其他组织。</w:t>
      </w:r>
    </w:p>
    <w:p w14:paraId="5CE92251">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2.4货物：系指投标供应商按招标文件规定而提供的货物及其他有关资料和材料。</w:t>
      </w:r>
    </w:p>
    <w:p w14:paraId="45CE5977">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2.5服务：系指投标供应商按招标文件提供的服务。</w:t>
      </w:r>
    </w:p>
    <w:p w14:paraId="0FB88708">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2.6 评标委员会：是指按照《评标委员会和评标方法暂行规定》的规定组建的专门负责本次招标的评标工作的临时机构。</w:t>
      </w:r>
    </w:p>
    <w:p w14:paraId="2D99450A">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2.7 日期、天数、时间：无特别说明时是指公历日及北京时间。</w:t>
      </w:r>
    </w:p>
    <w:p w14:paraId="6440E3A7">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9" w:name="_Toc170287270"/>
      <w:bookmarkStart w:id="30" w:name="_Toc151210113"/>
      <w:bookmarkStart w:id="31" w:name="_Toc176358321"/>
      <w:bookmarkStart w:id="32" w:name="_Toc170287618"/>
      <w:r>
        <w:rPr>
          <w:rFonts w:hint="eastAsia" w:asciiTheme="minorEastAsia" w:hAnsiTheme="minorEastAsia" w:eastAsiaTheme="minorEastAsia" w:cstheme="minorEastAsia"/>
          <w:b/>
          <w:bCs/>
          <w:color w:val="auto"/>
          <w:sz w:val="28"/>
          <w:szCs w:val="28"/>
          <w:highlight w:val="none"/>
        </w:rPr>
        <w:t>3、合格供应商</w:t>
      </w:r>
      <w:bookmarkEnd w:id="29"/>
      <w:bookmarkEnd w:id="30"/>
      <w:bookmarkEnd w:id="31"/>
      <w:bookmarkEnd w:id="32"/>
    </w:p>
    <w:p w14:paraId="06349CA2">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3.1能够遵守国家有关法律、法规和本次招标的有关规定。</w:t>
      </w:r>
    </w:p>
    <w:p w14:paraId="3FCEA1B1">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3.2满足招标文件前附表要求。</w:t>
      </w:r>
    </w:p>
    <w:p w14:paraId="177A0B84">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3.3供应商不得存在下列情形之一：</w:t>
      </w:r>
    </w:p>
    <w:p w14:paraId="24DA2C56">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（1）与采购人或采购代理机构存在利害关系且可能影响招标公正性；</w:t>
      </w:r>
    </w:p>
    <w:p w14:paraId="5CD4E238">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（2）与本招标项目的其他供应商为同一个单位负责人；</w:t>
      </w:r>
    </w:p>
    <w:p w14:paraId="7168A2BB">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（3）与本招标项目的其他供应商存在直接控股、管理关系；</w:t>
      </w:r>
    </w:p>
    <w:p w14:paraId="79CC5EB2">
      <w:pPr>
        <w:spacing w:line="360" w:lineRule="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（4）参加政府采购活动前 3 年内未因违法经营受到刑事处罚或者责令停产停业、吊销许可证或者执照、较大数额罚款等行政处罚；</w:t>
      </w:r>
    </w:p>
    <w:p w14:paraId="4D4C8CD5">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3" w:name="_Toc176358322"/>
      <w:bookmarkStart w:id="34" w:name="_Toc170287619"/>
      <w:bookmarkStart w:id="35" w:name="_Toc113892414"/>
      <w:bookmarkStart w:id="36" w:name="_Toc151210114"/>
      <w:bookmarkStart w:id="37" w:name="_Toc113891902"/>
      <w:bookmarkStart w:id="38" w:name="_Toc170287271"/>
      <w:r>
        <w:rPr>
          <w:rFonts w:hint="eastAsia" w:asciiTheme="minorEastAsia" w:hAnsiTheme="minorEastAsia" w:eastAsiaTheme="minorEastAsia" w:cstheme="minorEastAsia"/>
          <w:b/>
          <w:bCs/>
          <w:color w:val="auto"/>
          <w:sz w:val="28"/>
          <w:szCs w:val="28"/>
          <w:highlight w:val="none"/>
        </w:rPr>
        <w:t>4、投标费用</w:t>
      </w:r>
      <w:bookmarkEnd w:id="33"/>
      <w:bookmarkEnd w:id="34"/>
      <w:bookmarkEnd w:id="35"/>
      <w:bookmarkEnd w:id="36"/>
      <w:bookmarkEnd w:id="37"/>
      <w:bookmarkEnd w:id="38"/>
    </w:p>
    <w:p w14:paraId="0BE760AB">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供应商应自行承担所有准备和参加投标有关的全部费用。不论投标的结果如何，采购代理机构和采购人均无义务和责任承担这些费用。</w:t>
      </w:r>
    </w:p>
    <w:p w14:paraId="47F462F9">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9" w:name="_Toc479341556"/>
      <w:bookmarkStart w:id="40" w:name="_Toc517338585"/>
      <w:bookmarkStart w:id="41" w:name="_Toc170287272"/>
      <w:bookmarkStart w:id="42" w:name="_Toc113891903"/>
      <w:bookmarkStart w:id="43" w:name="_Toc113892415"/>
      <w:bookmarkStart w:id="44" w:name="_Toc22702"/>
      <w:bookmarkStart w:id="45" w:name="_Toc170287620"/>
      <w:bookmarkStart w:id="46" w:name="_Toc509822565"/>
      <w:bookmarkStart w:id="47" w:name="_Toc176358323"/>
      <w:bookmarkStart w:id="48" w:name="_Toc508113507"/>
      <w:bookmarkStart w:id="49" w:name="_Toc522288449"/>
      <w:bookmarkStart w:id="50" w:name="_Toc151210115"/>
      <w:r>
        <w:rPr>
          <w:rFonts w:hint="eastAsia" w:asciiTheme="minorEastAsia" w:hAnsiTheme="minorEastAsia" w:eastAsiaTheme="minorEastAsia" w:cstheme="minorEastAsia"/>
          <w:b/>
          <w:bCs/>
          <w:color w:val="auto"/>
          <w:sz w:val="28"/>
          <w:szCs w:val="28"/>
          <w:highlight w:val="none"/>
        </w:rPr>
        <w:t>5、保密</w:t>
      </w:r>
      <w:bookmarkEnd w:id="39"/>
      <w:bookmarkEnd w:id="40"/>
      <w:bookmarkEnd w:id="41"/>
      <w:bookmarkEnd w:id="42"/>
      <w:bookmarkEnd w:id="43"/>
      <w:bookmarkEnd w:id="44"/>
      <w:bookmarkEnd w:id="45"/>
      <w:bookmarkEnd w:id="46"/>
      <w:bookmarkEnd w:id="47"/>
      <w:bookmarkEnd w:id="48"/>
      <w:bookmarkEnd w:id="49"/>
      <w:bookmarkEnd w:id="50"/>
    </w:p>
    <w:p w14:paraId="6FF547B4">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参与招标投标活动的各方应对采购文件和投标文件中的商业和技术等秘密保密，违者应对由此造成的后果承担法律责任。 </w:t>
      </w:r>
    </w:p>
    <w:p w14:paraId="2817331B">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51" w:name="_Toc113891904"/>
      <w:bookmarkStart w:id="52" w:name="_Toc176358324"/>
      <w:bookmarkStart w:id="53" w:name="_Toc170287273"/>
      <w:bookmarkStart w:id="54" w:name="_Toc170287621"/>
      <w:bookmarkStart w:id="55" w:name="_Toc113892416"/>
      <w:bookmarkStart w:id="56" w:name="_Toc151210116"/>
      <w:r>
        <w:rPr>
          <w:rFonts w:hint="eastAsia" w:asciiTheme="minorEastAsia" w:hAnsiTheme="minorEastAsia" w:eastAsiaTheme="minorEastAsia" w:cstheme="minorEastAsia"/>
          <w:b/>
          <w:bCs/>
          <w:color w:val="auto"/>
          <w:sz w:val="28"/>
          <w:szCs w:val="28"/>
          <w:highlight w:val="none"/>
        </w:rPr>
        <w:t>6、知识产权</w:t>
      </w:r>
      <w:bookmarkEnd w:id="51"/>
      <w:bookmarkEnd w:id="52"/>
      <w:bookmarkEnd w:id="53"/>
      <w:bookmarkEnd w:id="54"/>
      <w:bookmarkEnd w:id="55"/>
      <w:bookmarkEnd w:id="56"/>
    </w:p>
    <w:p w14:paraId="70CC1643">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6.1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响应的知识产权，则在投标报价中必须包括合法获取该知识产权的一切相关费用。如因此导致采购人损失的，供应商须承担全部赔偿责任。</w:t>
      </w:r>
    </w:p>
    <w:p w14:paraId="309427A1">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6.2 供应商如欲在项目实施过程中采用自有知识成果，须在投标文件中声明，并提供相关知识产权证明文件。</w:t>
      </w:r>
    </w:p>
    <w:p w14:paraId="36D9D5A0">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57" w:name="_Toc176358325"/>
      <w:bookmarkStart w:id="58" w:name="_Toc508873147"/>
      <w:bookmarkStart w:id="59" w:name="_Toc525836311"/>
      <w:bookmarkStart w:id="60" w:name="_Toc517338592"/>
      <w:bookmarkStart w:id="61" w:name="_Toc479341563"/>
      <w:bookmarkStart w:id="62" w:name="_Toc508113514"/>
      <w:bookmarkStart w:id="63" w:name="_Toc30950"/>
      <w:r>
        <w:rPr>
          <w:rFonts w:hint="eastAsia" w:asciiTheme="minorEastAsia" w:hAnsiTheme="minorEastAsia" w:eastAsiaTheme="minorEastAsia" w:cstheme="minorEastAsia"/>
          <w:b/>
          <w:bCs/>
          <w:color w:val="auto"/>
          <w:sz w:val="28"/>
          <w:szCs w:val="28"/>
          <w:highlight w:val="none"/>
        </w:rPr>
        <w:t>二、 招标文件</w:t>
      </w:r>
      <w:bookmarkEnd w:id="57"/>
      <w:bookmarkEnd w:id="58"/>
      <w:bookmarkEnd w:id="59"/>
      <w:bookmarkEnd w:id="60"/>
      <w:bookmarkEnd w:id="61"/>
      <w:bookmarkEnd w:id="62"/>
      <w:bookmarkEnd w:id="63"/>
    </w:p>
    <w:p w14:paraId="6FBA96E6">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64" w:name="_Toc522288457"/>
      <w:bookmarkStart w:id="65" w:name="_Toc176358326"/>
      <w:bookmarkStart w:id="66" w:name="_Toc170287623"/>
      <w:bookmarkStart w:id="67" w:name="_Toc508113515"/>
      <w:bookmarkStart w:id="68" w:name="_Toc151210118"/>
      <w:bookmarkStart w:id="69" w:name="_Toc517338593"/>
      <w:bookmarkStart w:id="70" w:name="_Toc170287275"/>
      <w:bookmarkStart w:id="71" w:name="_Toc113892418"/>
      <w:bookmarkStart w:id="72" w:name="_Toc113891906"/>
      <w:bookmarkStart w:id="73" w:name="_Toc509822573"/>
      <w:bookmarkStart w:id="74" w:name="_Toc479341564"/>
      <w:bookmarkStart w:id="75" w:name="_Toc29352"/>
      <w:r>
        <w:rPr>
          <w:rFonts w:hint="eastAsia" w:asciiTheme="minorEastAsia" w:hAnsiTheme="minorEastAsia" w:eastAsiaTheme="minorEastAsia" w:cstheme="minorEastAsia"/>
          <w:b/>
          <w:bCs/>
          <w:color w:val="auto"/>
          <w:sz w:val="28"/>
          <w:szCs w:val="28"/>
          <w:highlight w:val="none"/>
        </w:rPr>
        <w:t>7、招标文件的组成</w:t>
      </w:r>
      <w:bookmarkEnd w:id="64"/>
      <w:bookmarkEnd w:id="65"/>
      <w:bookmarkEnd w:id="66"/>
      <w:bookmarkEnd w:id="67"/>
      <w:bookmarkEnd w:id="68"/>
      <w:bookmarkEnd w:id="69"/>
      <w:bookmarkEnd w:id="70"/>
      <w:bookmarkEnd w:id="71"/>
      <w:bookmarkEnd w:id="72"/>
      <w:bookmarkEnd w:id="73"/>
      <w:bookmarkEnd w:id="74"/>
      <w:bookmarkEnd w:id="75"/>
    </w:p>
    <w:p w14:paraId="52DB2FD8">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7.1要求提供的本次服务要求、招标过程和合同条款在招标文件中均有说明。招标文件由下述部分组成：</w:t>
      </w:r>
    </w:p>
    <w:p w14:paraId="1CBDC698">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第一章 招标公告；</w:t>
      </w:r>
    </w:p>
    <w:p w14:paraId="24FF849A">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第二章 供应商须知；</w:t>
      </w:r>
    </w:p>
    <w:p w14:paraId="60AD0E8D">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第三章 采购内容及参数要求；</w:t>
      </w:r>
    </w:p>
    <w:p w14:paraId="3C602E3F">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第四章 评标办法；</w:t>
      </w:r>
    </w:p>
    <w:p w14:paraId="713EEFAD">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第五章 合同条款及格式；</w:t>
      </w:r>
    </w:p>
    <w:p w14:paraId="0CF5359C">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第六章 投标文件格式。</w:t>
      </w:r>
    </w:p>
    <w:p w14:paraId="0B626CD0">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7.2根据本章第8款对招标文件所作的澄清、修改，均构成招标文件的组成部分。</w:t>
      </w:r>
    </w:p>
    <w:p w14:paraId="6745AF41">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7.3供应商应认真阅读招标文件中所有的事项、格式、条款和技术规格等。供应商没有按照招标文件要求提交全部资料，或者投标没有对招标文件在各方面都作出实质性响应是供应商的风险，并可能导致其投标被拒绝。</w:t>
      </w:r>
    </w:p>
    <w:p w14:paraId="769E1E40">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76" w:name="_Toc517338594"/>
      <w:bookmarkStart w:id="77" w:name="_Toc509822574"/>
      <w:bookmarkStart w:id="78" w:name="_Toc522288458"/>
      <w:bookmarkStart w:id="79" w:name="_Toc11139"/>
      <w:bookmarkStart w:id="80" w:name="_Toc479341565"/>
      <w:bookmarkStart w:id="81" w:name="_Toc508113516"/>
      <w:bookmarkStart w:id="82" w:name="_Toc113891907"/>
      <w:bookmarkStart w:id="83" w:name="_Toc170287276"/>
      <w:bookmarkStart w:id="84" w:name="_Toc170287624"/>
      <w:bookmarkStart w:id="85" w:name="_Toc113892419"/>
      <w:bookmarkStart w:id="86" w:name="_Toc176358327"/>
      <w:bookmarkStart w:id="87" w:name="_Toc151210119"/>
      <w:r>
        <w:rPr>
          <w:rFonts w:hint="eastAsia" w:asciiTheme="minorEastAsia" w:hAnsiTheme="minorEastAsia" w:eastAsiaTheme="minorEastAsia" w:cstheme="minorEastAsia"/>
          <w:b/>
          <w:bCs/>
          <w:color w:val="auto"/>
          <w:sz w:val="28"/>
          <w:szCs w:val="28"/>
          <w:highlight w:val="none"/>
        </w:rPr>
        <w:t>8、招标文件的澄清</w:t>
      </w:r>
      <w:bookmarkEnd w:id="76"/>
      <w:bookmarkEnd w:id="77"/>
      <w:bookmarkEnd w:id="78"/>
      <w:bookmarkEnd w:id="79"/>
      <w:bookmarkEnd w:id="80"/>
      <w:bookmarkEnd w:id="81"/>
      <w:r>
        <w:rPr>
          <w:rFonts w:hint="eastAsia" w:asciiTheme="minorEastAsia" w:hAnsiTheme="minorEastAsia" w:eastAsiaTheme="minorEastAsia" w:cstheme="minorEastAsia"/>
          <w:b/>
          <w:bCs/>
          <w:color w:val="auto"/>
          <w:sz w:val="28"/>
          <w:szCs w:val="28"/>
          <w:highlight w:val="none"/>
        </w:rPr>
        <w:t>或修改</w:t>
      </w:r>
      <w:bookmarkEnd w:id="82"/>
      <w:bookmarkEnd w:id="83"/>
      <w:bookmarkEnd w:id="84"/>
      <w:bookmarkEnd w:id="85"/>
      <w:bookmarkEnd w:id="86"/>
      <w:bookmarkEnd w:id="87"/>
    </w:p>
    <w:p w14:paraId="6060937C">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8.1招标文件的澄清</w:t>
      </w:r>
    </w:p>
    <w:p w14:paraId="6F27F843">
      <w:pPr>
        <w:spacing w:line="360" w:lineRule="auto"/>
        <w:ind w:firstLine="560" w:firstLineChars="200"/>
        <w:rPr>
          <w:rFonts w:hint="eastAsia" w:asciiTheme="minorEastAsia" w:hAnsiTheme="minorEastAsia" w:eastAsiaTheme="minorEastAsia" w:cstheme="minorEastAsia"/>
          <w:color w:val="auto"/>
          <w:sz w:val="28"/>
          <w:szCs w:val="28"/>
          <w:highlight w:val="none"/>
        </w:rPr>
      </w:pPr>
      <w:bookmarkStart w:id="88" w:name="_Toc508113517"/>
      <w:r>
        <w:rPr>
          <w:rFonts w:hint="eastAsia" w:asciiTheme="minorEastAsia" w:hAnsiTheme="minorEastAsia" w:eastAsiaTheme="minorEastAsia" w:cstheme="minorEastAsia"/>
          <w:color w:val="auto"/>
          <w:sz w:val="28"/>
          <w:szCs w:val="28"/>
          <w:highlight w:val="none"/>
        </w:rPr>
        <w:t>8.1.1 供应商应仔细阅读和检查招标文件的全部内容。如发现缺页或附件不全，应及时向采购人提出，以便补齐。如有疑问，应在供应商须知前附表规定的时间前在三门峡市公共资源交易系统中提出质询，要求采购人对招标文件予以澄清。</w:t>
      </w:r>
      <w:bookmarkEnd w:id="88"/>
    </w:p>
    <w:p w14:paraId="747CECD7">
      <w:pPr>
        <w:spacing w:line="360" w:lineRule="auto"/>
        <w:ind w:firstLine="560" w:firstLineChars="200"/>
        <w:rPr>
          <w:rFonts w:hint="eastAsia" w:asciiTheme="minorEastAsia" w:hAnsiTheme="minorEastAsia" w:eastAsiaTheme="minorEastAsia" w:cstheme="minorEastAsia"/>
          <w:color w:val="auto"/>
          <w:sz w:val="28"/>
          <w:szCs w:val="28"/>
          <w:highlight w:val="none"/>
        </w:rPr>
      </w:pPr>
      <w:bookmarkStart w:id="89" w:name="_Toc508113518"/>
      <w:r>
        <w:rPr>
          <w:rFonts w:hint="eastAsia" w:asciiTheme="minorEastAsia" w:hAnsiTheme="minorEastAsia" w:eastAsiaTheme="minorEastAsia" w:cstheme="minorEastAsia"/>
          <w:color w:val="auto"/>
          <w:sz w:val="28"/>
          <w:szCs w:val="28"/>
          <w:highlight w:val="none"/>
        </w:rPr>
        <w:t>8.1.2 招标文件的澄清以澄清回复的方式在三门峡市公共资源交易系统中回复所有报名完成的供应商或公开发布澄清公告，但不指明澄清问题的来源。如果澄清发出的时间距投标截止时间不足15日的，并且澄清内容可能影响投标文件编制的，将相应延长投标截止时间。</w:t>
      </w:r>
      <w:bookmarkEnd w:id="89"/>
    </w:p>
    <w:p w14:paraId="73D0F8AF">
      <w:pPr>
        <w:spacing w:line="360" w:lineRule="auto"/>
        <w:ind w:firstLine="560" w:firstLineChars="200"/>
        <w:rPr>
          <w:rFonts w:hint="eastAsia" w:asciiTheme="minorEastAsia" w:hAnsiTheme="minorEastAsia" w:eastAsiaTheme="minorEastAsia" w:cstheme="minorEastAsia"/>
          <w:color w:val="auto"/>
          <w:sz w:val="28"/>
          <w:szCs w:val="28"/>
          <w:highlight w:val="none"/>
        </w:rPr>
      </w:pPr>
      <w:bookmarkStart w:id="90" w:name="_Toc508113519"/>
      <w:r>
        <w:rPr>
          <w:rFonts w:hint="eastAsia" w:asciiTheme="minorEastAsia" w:hAnsiTheme="minorEastAsia" w:eastAsiaTheme="minorEastAsia" w:cstheme="minorEastAsia"/>
          <w:color w:val="auto"/>
          <w:sz w:val="28"/>
          <w:szCs w:val="28"/>
          <w:highlight w:val="none"/>
        </w:rPr>
        <w:t>8.1.3供应商应登录三门峡市公共资源交易系统自行查看澄清信息或在澄清公告发布相关网站（同招标公告发布媒介）自行查看招标文件澄清信息。</w:t>
      </w:r>
      <w:bookmarkEnd w:id="90"/>
    </w:p>
    <w:p w14:paraId="59372663">
      <w:pPr>
        <w:spacing w:line="360" w:lineRule="auto"/>
        <w:ind w:firstLine="560" w:firstLineChars="200"/>
        <w:rPr>
          <w:rFonts w:hint="eastAsia" w:asciiTheme="minorEastAsia" w:hAnsiTheme="minorEastAsia" w:eastAsiaTheme="minorEastAsia" w:cstheme="minorEastAsia"/>
          <w:color w:val="auto"/>
          <w:sz w:val="28"/>
          <w:szCs w:val="28"/>
          <w:highlight w:val="none"/>
        </w:rPr>
      </w:pPr>
      <w:bookmarkStart w:id="91" w:name="_Toc144974513"/>
      <w:bookmarkStart w:id="92" w:name="_Toc508113520"/>
      <w:bookmarkStart w:id="93" w:name="_Toc517338595"/>
      <w:bookmarkStart w:id="94" w:name="_Toc522288459"/>
      <w:bookmarkStart w:id="95" w:name="_Toc152045545"/>
      <w:bookmarkStart w:id="96" w:name="_Toc1728"/>
      <w:bookmarkStart w:id="97" w:name="_Toc179632563"/>
      <w:bookmarkStart w:id="98" w:name="_Toc509822575"/>
      <w:bookmarkStart w:id="99" w:name="_Toc479341566"/>
      <w:bookmarkStart w:id="100" w:name="_Toc152042321"/>
      <w:r>
        <w:rPr>
          <w:rFonts w:hint="eastAsia" w:asciiTheme="minorEastAsia" w:hAnsiTheme="minorEastAsia" w:eastAsiaTheme="minorEastAsia" w:cstheme="minorEastAsia"/>
          <w:color w:val="auto"/>
          <w:sz w:val="28"/>
          <w:szCs w:val="28"/>
          <w:highlight w:val="none"/>
        </w:rPr>
        <w:t>8.2招标文件的修改</w:t>
      </w:r>
      <w:bookmarkEnd w:id="91"/>
      <w:bookmarkEnd w:id="92"/>
      <w:bookmarkEnd w:id="93"/>
      <w:bookmarkEnd w:id="94"/>
      <w:bookmarkEnd w:id="95"/>
      <w:bookmarkEnd w:id="96"/>
      <w:bookmarkEnd w:id="97"/>
      <w:bookmarkEnd w:id="98"/>
      <w:bookmarkEnd w:id="99"/>
      <w:bookmarkEnd w:id="100"/>
    </w:p>
    <w:p w14:paraId="6E2C5EDA">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8.2.1在投标截止时间15天前，采购人可以修改招标文件，并以变更公告形式通知所有已获取招标文件的供应商，不再发放纸质的变更信息。供应商应随时注意网上发布的信息。如果修改招标文件的时间距投标截止时间不足15日的，并且修改内容可能影响投标文件编制的，将相应延长投标截止时间。 </w:t>
      </w:r>
    </w:p>
    <w:p w14:paraId="7C14E127">
      <w:pPr>
        <w:spacing w:line="360" w:lineRule="auto"/>
        <w:ind w:firstLine="478" w:firstLineChars="171"/>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8.2.2供应商应在变更公告发布相关网站（同招标公告发布媒介）自行查看招标文件修改信息。</w:t>
      </w:r>
    </w:p>
    <w:p w14:paraId="7FDDA0FB">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8.3 矛盾文件处理</w:t>
      </w:r>
    </w:p>
    <w:p w14:paraId="4B6498CE">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当招标文件、澄清文件、修改文件等文件内容相互矛盾时，以后发生的文件内容为准。</w:t>
      </w:r>
    </w:p>
    <w:p w14:paraId="2CBF23C2">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101" w:name="_Toc508113521"/>
      <w:bookmarkStart w:id="102" w:name="_Toc508873148"/>
      <w:bookmarkStart w:id="103" w:name="_Toc479341567"/>
      <w:bookmarkStart w:id="104" w:name="_Toc176358328"/>
      <w:bookmarkStart w:id="105" w:name="_Toc525836312"/>
      <w:bookmarkStart w:id="106" w:name="_Toc517338596"/>
      <w:bookmarkStart w:id="107" w:name="_Toc15117"/>
      <w:r>
        <w:rPr>
          <w:rFonts w:hint="eastAsia" w:asciiTheme="minorEastAsia" w:hAnsiTheme="minorEastAsia" w:eastAsiaTheme="minorEastAsia" w:cstheme="minorEastAsia"/>
          <w:b/>
          <w:bCs/>
          <w:color w:val="auto"/>
          <w:sz w:val="28"/>
          <w:szCs w:val="28"/>
          <w:highlight w:val="none"/>
        </w:rPr>
        <w:t>三、投标文件</w:t>
      </w:r>
      <w:bookmarkEnd w:id="101"/>
      <w:bookmarkEnd w:id="102"/>
      <w:bookmarkEnd w:id="103"/>
      <w:bookmarkEnd w:id="104"/>
      <w:bookmarkEnd w:id="105"/>
      <w:bookmarkEnd w:id="106"/>
      <w:bookmarkEnd w:id="107"/>
    </w:p>
    <w:p w14:paraId="2C789BF7">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08" w:name="_Toc176358329"/>
      <w:bookmarkStart w:id="109" w:name="_Toc170287626"/>
      <w:bookmarkStart w:id="110" w:name="_Toc151210121"/>
      <w:bookmarkStart w:id="111" w:name="_Toc170287278"/>
      <w:bookmarkStart w:id="112" w:name="_Toc113891909"/>
      <w:bookmarkStart w:id="113" w:name="_Toc113892421"/>
      <w:r>
        <w:rPr>
          <w:rFonts w:hint="eastAsia" w:asciiTheme="minorEastAsia" w:hAnsiTheme="minorEastAsia" w:eastAsiaTheme="minorEastAsia" w:cstheme="minorEastAsia"/>
          <w:b/>
          <w:bCs/>
          <w:color w:val="auto"/>
          <w:sz w:val="28"/>
          <w:szCs w:val="28"/>
          <w:highlight w:val="none"/>
        </w:rPr>
        <w:t>9、特别说明</w:t>
      </w:r>
      <w:bookmarkEnd w:id="108"/>
      <w:bookmarkEnd w:id="109"/>
      <w:bookmarkEnd w:id="110"/>
      <w:bookmarkEnd w:id="111"/>
      <w:bookmarkEnd w:id="112"/>
      <w:bookmarkEnd w:id="113"/>
    </w:p>
    <w:p w14:paraId="11279B94">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9.1投标语言</w:t>
      </w:r>
    </w:p>
    <w:p w14:paraId="248342F9">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供应商提交的投标文件以及供应商有关投标的所有来往函电均应使用简体中文。</w:t>
      </w:r>
    </w:p>
    <w:p w14:paraId="2DADFD97">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9.2计量</w:t>
      </w:r>
    </w:p>
    <w:p w14:paraId="179E1793">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在电子化投标文件所有计量单位均采用中华人民共和国法定计量单位。</w:t>
      </w:r>
    </w:p>
    <w:p w14:paraId="285B2CB5">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9.3投标供应商在投标文件中所提交的所有资料和文件均应是真实的和有效的，如有作假，则将该投标供应商的投标作无效标处理，若中标后被发现有上述行为的，则采购人有权取消其中标资格，并且该投标供应商应承担由此而造成的一切损失（包括经济损失和法律责任）。</w:t>
      </w:r>
    </w:p>
    <w:p w14:paraId="3AF13706">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14" w:name="_Toc170287627"/>
      <w:bookmarkStart w:id="115" w:name="_Toc151210122"/>
      <w:bookmarkStart w:id="116" w:name="_Toc113892422"/>
      <w:bookmarkStart w:id="117" w:name="_Toc170287279"/>
      <w:bookmarkStart w:id="118" w:name="_Toc113891910"/>
      <w:bookmarkStart w:id="119" w:name="_Toc176358330"/>
      <w:r>
        <w:rPr>
          <w:rFonts w:hint="eastAsia" w:asciiTheme="minorEastAsia" w:hAnsiTheme="minorEastAsia" w:eastAsiaTheme="minorEastAsia" w:cstheme="minorEastAsia"/>
          <w:b/>
          <w:bCs/>
          <w:color w:val="auto"/>
          <w:sz w:val="28"/>
          <w:szCs w:val="28"/>
          <w:highlight w:val="none"/>
        </w:rPr>
        <w:t>10、投标文件的组成</w:t>
      </w:r>
      <w:bookmarkEnd w:id="114"/>
      <w:bookmarkEnd w:id="115"/>
      <w:bookmarkEnd w:id="116"/>
      <w:bookmarkEnd w:id="117"/>
      <w:bookmarkEnd w:id="118"/>
      <w:bookmarkEnd w:id="119"/>
    </w:p>
    <w:p w14:paraId="01DCFCB2">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投标文件应包括下列内容：</w:t>
      </w:r>
    </w:p>
    <w:p w14:paraId="78ADB064">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一、投标函</w:t>
      </w:r>
    </w:p>
    <w:p w14:paraId="75617FA5">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二、投标函附录</w:t>
      </w:r>
    </w:p>
    <w:p w14:paraId="0836D89C">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三、法定代表人身份证明；</w:t>
      </w:r>
    </w:p>
    <w:p w14:paraId="5CF8811B">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四、法定代表人授权委托书；</w:t>
      </w:r>
    </w:p>
    <w:p w14:paraId="518ECB94">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五、投标承诺函</w:t>
      </w:r>
    </w:p>
    <w:p w14:paraId="096538BD">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六、商务和技术偏差表；</w:t>
      </w:r>
    </w:p>
    <w:p w14:paraId="6B4AD774">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七、供应商资格证明文件；</w:t>
      </w:r>
    </w:p>
    <w:p w14:paraId="406AA7D0">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八、技术证明资料；</w:t>
      </w:r>
    </w:p>
    <w:p w14:paraId="010C3618">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九、技术方案；</w:t>
      </w:r>
    </w:p>
    <w:p w14:paraId="6E0CD5B0">
      <w:pPr>
        <w:tabs>
          <w:tab w:val="left" w:pos="1080"/>
          <w:tab w:val="left" w:pos="126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十、投标供应商认为需提供的其他资料；</w:t>
      </w:r>
    </w:p>
    <w:p w14:paraId="4CCB839D">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20" w:name="_Toc517338598"/>
      <w:bookmarkStart w:id="121" w:name="_Toc508113523"/>
      <w:bookmarkStart w:id="122" w:name="_Toc113891911"/>
      <w:bookmarkStart w:id="123" w:name="_Toc509822578"/>
      <w:bookmarkStart w:id="124" w:name="_Toc170287280"/>
      <w:bookmarkStart w:id="125" w:name="_Toc151210123"/>
      <w:bookmarkStart w:id="126" w:name="_Toc170287628"/>
      <w:bookmarkStart w:id="127" w:name="_Toc113892423"/>
      <w:bookmarkStart w:id="128" w:name="_Toc176358331"/>
      <w:bookmarkStart w:id="129" w:name="_Toc390"/>
      <w:bookmarkStart w:id="130" w:name="_Toc479341569"/>
      <w:bookmarkStart w:id="131" w:name="_Toc522288462"/>
      <w:r>
        <w:rPr>
          <w:rFonts w:hint="eastAsia" w:asciiTheme="minorEastAsia" w:hAnsiTheme="minorEastAsia" w:eastAsiaTheme="minorEastAsia" w:cstheme="minorEastAsia"/>
          <w:b/>
          <w:bCs/>
          <w:color w:val="auto"/>
          <w:sz w:val="28"/>
          <w:szCs w:val="28"/>
          <w:highlight w:val="none"/>
        </w:rPr>
        <w:t>11、投标报价</w:t>
      </w:r>
      <w:bookmarkEnd w:id="120"/>
      <w:bookmarkEnd w:id="121"/>
      <w:bookmarkEnd w:id="122"/>
      <w:bookmarkEnd w:id="123"/>
      <w:bookmarkEnd w:id="124"/>
      <w:bookmarkEnd w:id="125"/>
      <w:bookmarkEnd w:id="126"/>
      <w:bookmarkEnd w:id="127"/>
      <w:bookmarkEnd w:id="128"/>
      <w:bookmarkEnd w:id="129"/>
      <w:bookmarkEnd w:id="130"/>
      <w:bookmarkEnd w:id="131"/>
    </w:p>
    <w:p w14:paraId="0557AF96">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bookmarkStart w:id="132" w:name="_Toc418"/>
      <w:r>
        <w:rPr>
          <w:rFonts w:hint="eastAsia" w:asciiTheme="minorEastAsia" w:hAnsiTheme="minorEastAsia" w:eastAsiaTheme="minorEastAsia" w:cstheme="minorEastAsia"/>
          <w:color w:val="auto"/>
          <w:sz w:val="28"/>
          <w:szCs w:val="28"/>
          <w:highlight w:val="none"/>
        </w:rPr>
        <w:t>11.1投标报价的单价和总价均以人民币表示，金额以“元”为单位。</w:t>
      </w:r>
    </w:p>
    <w:p w14:paraId="41B2C5FE">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11.2供应商应对本招标文件、澄清、修改及补充文件等列入招标范围的全部内容进行投标报价。</w:t>
      </w:r>
    </w:p>
    <w:p w14:paraId="3190006F">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11.3供应商投标报价以采购范围为基础进行报价。依据招标文件、有关技术资料及答疑纪要，充分考虑市场价格、风险因素，在合理范围内自主报价。</w:t>
      </w:r>
    </w:p>
    <w:p w14:paraId="32BF349B">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11.4报价方式：</w:t>
      </w:r>
      <w:r>
        <w:rPr>
          <w:rFonts w:hint="eastAsia" w:asciiTheme="minorEastAsia" w:hAnsiTheme="minorEastAsia" w:eastAsiaTheme="minorEastAsia" w:cstheme="minorEastAsia"/>
          <w:color w:val="auto"/>
          <w:spacing w:val="-4"/>
          <w:sz w:val="28"/>
          <w:szCs w:val="28"/>
          <w:highlight w:val="none"/>
        </w:rPr>
        <w:t>投标报价为投标供应商在投标文件中提出的各项支付金额的总和。投标</w:t>
      </w:r>
      <w:r>
        <w:rPr>
          <w:rFonts w:hint="eastAsia" w:asciiTheme="minorEastAsia" w:hAnsiTheme="minorEastAsia" w:eastAsiaTheme="minorEastAsia" w:cstheme="minorEastAsia"/>
          <w:color w:val="auto"/>
          <w:sz w:val="28"/>
          <w:szCs w:val="28"/>
          <w:highlight w:val="none"/>
        </w:rPr>
        <w:t>总报价（含税），总报价应为货到交货地点价。其中应包含货物，运输费，安装费，调试费、税金、技术支持、售后服务等与此项目相关的全部费用（投标供应商的报价视为已包括上述全部费用）。</w:t>
      </w:r>
    </w:p>
    <w:p w14:paraId="3DD69E4D">
      <w:pPr>
        <w:spacing w:line="360" w:lineRule="auto"/>
        <w:ind w:firstLine="48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11.5投标文件中投标函、投标函附录、投标报价明细表等所有报价均一致。若出现不一致时以投标报价明细表报价为准。</w:t>
      </w:r>
    </w:p>
    <w:p w14:paraId="2A2D0076">
      <w:pPr>
        <w:spacing w:line="360" w:lineRule="auto"/>
        <w:ind w:firstLine="48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11.6投标文件中只允许有一个投标报价。</w:t>
      </w:r>
    </w:p>
    <w:p w14:paraId="154ACB20">
      <w:pPr>
        <w:spacing w:line="360" w:lineRule="auto"/>
        <w:ind w:firstLine="48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6"/>
          <w:sz w:val="28"/>
          <w:szCs w:val="28"/>
          <w:highlight w:val="none"/>
        </w:rPr>
        <w:t>11.7投标供应商在投标截止时间前修改投标函中的投标总报价，应同时修改投标报价明细表中的相应报价。此修改须符合招标文件的有关要求。</w:t>
      </w:r>
    </w:p>
    <w:p w14:paraId="688BD1AF">
      <w:pPr>
        <w:spacing w:line="360" w:lineRule="auto"/>
        <w:ind w:firstLine="48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pacing w:val="-6"/>
          <w:sz w:val="28"/>
          <w:szCs w:val="28"/>
          <w:highlight w:val="none"/>
        </w:rPr>
        <w:t>11.8当投标供应商的投标报价大写金额和小写金额不一致的，以大写金额为准；</w:t>
      </w:r>
    </w:p>
    <w:p w14:paraId="080352A8">
      <w:pPr>
        <w:spacing w:line="360" w:lineRule="auto"/>
        <w:ind w:firstLine="480"/>
        <w:jc w:val="left"/>
        <w:rPr>
          <w:rFonts w:hint="eastAsia" w:asciiTheme="minorEastAsia" w:hAnsiTheme="minorEastAsia" w:eastAsiaTheme="minorEastAsia" w:cstheme="minorEastAsia"/>
          <w:color w:val="auto"/>
          <w:spacing w:val="-6"/>
          <w:sz w:val="28"/>
          <w:szCs w:val="28"/>
          <w:highlight w:val="none"/>
        </w:rPr>
      </w:pPr>
      <w:r>
        <w:rPr>
          <w:rFonts w:hint="eastAsia" w:asciiTheme="minorEastAsia" w:hAnsiTheme="minorEastAsia" w:eastAsiaTheme="minorEastAsia" w:cstheme="minorEastAsia"/>
          <w:color w:val="auto"/>
          <w:spacing w:val="-6"/>
          <w:sz w:val="28"/>
          <w:szCs w:val="28"/>
          <w:highlight w:val="none"/>
        </w:rPr>
        <w:t>11.9当投标供应商的投标报价高于最高限价时，该投标供应商的投标报价为无效报价，其投标文件按无效投标文件处理。</w:t>
      </w:r>
    </w:p>
    <w:p w14:paraId="49FDADFF">
      <w:pPr>
        <w:spacing w:line="360" w:lineRule="auto"/>
        <w:ind w:firstLine="560"/>
        <w:rPr>
          <w:rFonts w:hint="eastAsia" w:asciiTheme="minorEastAsia" w:hAnsiTheme="minorEastAsia" w:eastAsiaTheme="minorEastAsia" w:cstheme="minorEastAsia"/>
          <w:color w:val="auto"/>
          <w:spacing w:val="-6"/>
          <w:sz w:val="28"/>
          <w:szCs w:val="24"/>
          <w:highlight w:val="none"/>
        </w:rPr>
      </w:pPr>
      <w:r>
        <w:rPr>
          <w:rFonts w:hint="eastAsia" w:asciiTheme="minorEastAsia" w:hAnsiTheme="minorEastAsia" w:eastAsiaTheme="minorEastAsia" w:cstheme="minorEastAsia"/>
          <w:color w:val="auto"/>
          <w:sz w:val="28"/>
          <w:szCs w:val="28"/>
          <w:highlight w:val="none"/>
        </w:rPr>
        <w:t>11.10为实现物有所值的采购目标，保证本项目产品质量、能诚信履约，按照政府采购法及其相关规定，兼顾采购成本、使用成本、履约风险、后期维护成本的有机统一和项目生命周期总支付成本最低，如评标委员会认为供应商投标报价、产品质量性能可能不满足采购需求的，评标委员会应当要求该供应商在规定的时间内提供成本构成等书面说明，并提交相关证明材料予以证实；否则，按无效投标处理。</w:t>
      </w:r>
    </w:p>
    <w:p w14:paraId="69B2116A">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33" w:name="_Toc176358332"/>
      <w:bookmarkStart w:id="134" w:name="_Toc170287629"/>
      <w:bookmarkStart w:id="135" w:name="_Toc170287281"/>
      <w:bookmarkStart w:id="136" w:name="_Toc113891912"/>
      <w:bookmarkStart w:id="137" w:name="_Toc151210124"/>
      <w:bookmarkStart w:id="138" w:name="_Toc113892424"/>
      <w:r>
        <w:rPr>
          <w:rFonts w:hint="eastAsia" w:asciiTheme="minorEastAsia" w:hAnsiTheme="minorEastAsia" w:eastAsiaTheme="minorEastAsia" w:cstheme="minorEastAsia"/>
          <w:b/>
          <w:bCs/>
          <w:color w:val="auto"/>
          <w:sz w:val="28"/>
          <w:szCs w:val="28"/>
          <w:highlight w:val="none"/>
        </w:rPr>
        <w:t>12、投标货币</w:t>
      </w:r>
      <w:bookmarkEnd w:id="133"/>
      <w:bookmarkEnd w:id="134"/>
      <w:bookmarkEnd w:id="135"/>
      <w:bookmarkEnd w:id="136"/>
      <w:bookmarkEnd w:id="137"/>
      <w:bookmarkEnd w:id="138"/>
    </w:p>
    <w:p w14:paraId="189DCC37">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供应商提供的所有服务用人民币报价。</w:t>
      </w:r>
    </w:p>
    <w:p w14:paraId="2474C57C">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39" w:name="_Toc113891913"/>
      <w:bookmarkStart w:id="140" w:name="_Toc113892425"/>
      <w:bookmarkStart w:id="141" w:name="_Toc151210125"/>
      <w:bookmarkStart w:id="142" w:name="_Toc170287630"/>
      <w:bookmarkStart w:id="143" w:name="_Toc176358333"/>
      <w:bookmarkStart w:id="144" w:name="_Toc170287282"/>
      <w:r>
        <w:rPr>
          <w:rFonts w:hint="eastAsia" w:asciiTheme="minorEastAsia" w:hAnsiTheme="minorEastAsia" w:eastAsiaTheme="minorEastAsia" w:cstheme="minorEastAsia"/>
          <w:b/>
          <w:bCs/>
          <w:color w:val="auto"/>
          <w:sz w:val="28"/>
          <w:szCs w:val="28"/>
          <w:highlight w:val="none"/>
        </w:rPr>
        <w:t>13、技术性能及质量服务要求的响应</w:t>
      </w:r>
      <w:bookmarkEnd w:id="139"/>
      <w:bookmarkEnd w:id="140"/>
      <w:bookmarkEnd w:id="141"/>
      <w:bookmarkEnd w:id="142"/>
      <w:bookmarkEnd w:id="143"/>
      <w:bookmarkEnd w:id="144"/>
    </w:p>
    <w:p w14:paraId="23097D37">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投标技术说明应按照招标文件的要求就所投项目的服务要求、技术参数和性能等方面逐条详细说明、做出实质性响应，并申明与技术规格条文的偏差和例外。</w:t>
      </w:r>
    </w:p>
    <w:p w14:paraId="7C72DC24">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13.1各投标供应商必须对设备清单中的全部设备进行投标。</w:t>
      </w:r>
    </w:p>
    <w:p w14:paraId="201B187E">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13.1.1投标供应商所投设备的所有部件均为合格产品。</w:t>
      </w:r>
    </w:p>
    <w:p w14:paraId="0F1FDE21">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13.1.2投标供应商认为应对其设备的性能特点、优越性等有必要进行补充说明的内容。</w:t>
      </w:r>
    </w:p>
    <w:p w14:paraId="3D72E800">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13.1.3投标供应商必须对招标文件中设备的技术要求逐项、逐条明确答复；应逐项填写“技术参数偏差表”，投标设备与招标文件中的规定要求有偏离的，应详细说明偏离情况。</w:t>
      </w:r>
    </w:p>
    <w:p w14:paraId="134D227A">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45" w:name="_Toc176358334"/>
      <w:bookmarkStart w:id="146" w:name="_Toc509822579"/>
      <w:bookmarkStart w:id="147" w:name="_Toc113891914"/>
      <w:bookmarkStart w:id="148" w:name="_Toc151210126"/>
      <w:bookmarkStart w:id="149" w:name="_Toc170287631"/>
      <w:bookmarkStart w:id="150" w:name="_Toc517338599"/>
      <w:bookmarkStart w:id="151" w:name="_Toc522288463"/>
      <w:bookmarkStart w:id="152" w:name="_Toc170287283"/>
      <w:bookmarkStart w:id="153" w:name="_Toc508113524"/>
      <w:bookmarkStart w:id="154" w:name="_Toc479341570"/>
      <w:bookmarkStart w:id="155" w:name="_Toc113892426"/>
      <w:r>
        <w:rPr>
          <w:rFonts w:hint="eastAsia" w:asciiTheme="minorEastAsia" w:hAnsiTheme="minorEastAsia" w:eastAsiaTheme="minorEastAsia" w:cstheme="minorEastAsia"/>
          <w:b/>
          <w:bCs/>
          <w:color w:val="auto"/>
          <w:sz w:val="28"/>
          <w:szCs w:val="28"/>
          <w:highlight w:val="none"/>
        </w:rPr>
        <w:t>14、投标有效期</w:t>
      </w:r>
      <w:bookmarkEnd w:id="132"/>
      <w:bookmarkEnd w:id="145"/>
      <w:bookmarkEnd w:id="146"/>
      <w:bookmarkEnd w:id="147"/>
      <w:bookmarkEnd w:id="148"/>
      <w:bookmarkEnd w:id="149"/>
      <w:bookmarkEnd w:id="150"/>
      <w:bookmarkEnd w:id="151"/>
      <w:bookmarkEnd w:id="152"/>
      <w:bookmarkEnd w:id="153"/>
      <w:bookmarkEnd w:id="154"/>
      <w:bookmarkEnd w:id="155"/>
    </w:p>
    <w:p w14:paraId="63BA0901">
      <w:pPr>
        <w:tabs>
          <w:tab w:val="left" w:pos="108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14.1 在供应商须知前附表规定的投标有效期内，投标供应商不得要求撤销或修改其投标文件。</w:t>
      </w:r>
    </w:p>
    <w:p w14:paraId="46B78FFE">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14.2出现特殊情况需要延长投标有效期的，采购人以书面形式通知所有投标供应商延长投标有效期。投标供应商同意延长的，应相应延长其投标保证金的有效期，但不得要求或被允许修改或撤销其投标文件；投标供应商拒绝延长的，其投标失效。 </w:t>
      </w:r>
    </w:p>
    <w:p w14:paraId="091D1B02">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56" w:name="_Toc170287632"/>
      <w:bookmarkStart w:id="157" w:name="_Toc20965"/>
      <w:bookmarkStart w:id="158" w:name="_Toc517338600"/>
      <w:bookmarkStart w:id="159" w:name="_Toc170287284"/>
      <w:bookmarkStart w:id="160" w:name="_Toc509822580"/>
      <w:bookmarkStart w:id="161" w:name="_Toc151210127"/>
      <w:bookmarkStart w:id="162" w:name="_Toc113892427"/>
      <w:bookmarkStart w:id="163" w:name="_Toc113891915"/>
      <w:bookmarkStart w:id="164" w:name="_Toc479341571"/>
      <w:bookmarkStart w:id="165" w:name="_Toc508113525"/>
      <w:bookmarkStart w:id="166" w:name="_Toc522288464"/>
      <w:bookmarkStart w:id="167" w:name="_Toc176358335"/>
      <w:r>
        <w:rPr>
          <w:rFonts w:hint="eastAsia" w:asciiTheme="minorEastAsia" w:hAnsiTheme="minorEastAsia" w:eastAsiaTheme="minorEastAsia" w:cstheme="minorEastAsia"/>
          <w:b/>
          <w:bCs/>
          <w:color w:val="auto"/>
          <w:sz w:val="28"/>
          <w:szCs w:val="28"/>
          <w:highlight w:val="none"/>
        </w:rPr>
        <w:t>15、投标保证金</w:t>
      </w:r>
      <w:bookmarkEnd w:id="156"/>
      <w:bookmarkEnd w:id="157"/>
      <w:bookmarkEnd w:id="158"/>
      <w:bookmarkEnd w:id="159"/>
      <w:bookmarkEnd w:id="160"/>
      <w:bookmarkEnd w:id="161"/>
      <w:bookmarkEnd w:id="162"/>
      <w:bookmarkEnd w:id="163"/>
      <w:bookmarkEnd w:id="164"/>
      <w:bookmarkEnd w:id="165"/>
      <w:bookmarkEnd w:id="166"/>
      <w:bookmarkEnd w:id="167"/>
    </w:p>
    <w:p w14:paraId="0C48DEC5">
      <w:pPr>
        <w:spacing w:line="360" w:lineRule="auto"/>
        <w:ind w:firstLine="560" w:firstLineChars="200"/>
        <w:jc w:val="left"/>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Cs/>
          <w:color w:val="auto"/>
          <w:sz w:val="28"/>
          <w:szCs w:val="28"/>
          <w:highlight w:val="none"/>
        </w:rPr>
        <w:t>按照《河南省财政厅关于优化政府采购营商环境有关问题的通知》（豫财购[2019]4号文）的要求，本项目不再收取投标保证金</w:t>
      </w:r>
      <w:r>
        <w:rPr>
          <w:rFonts w:hint="eastAsia" w:asciiTheme="minorEastAsia" w:hAnsiTheme="minorEastAsia" w:eastAsiaTheme="minorEastAsia" w:cstheme="minorEastAsia"/>
          <w:b/>
          <w:bCs/>
          <w:color w:val="auto"/>
          <w:sz w:val="28"/>
          <w:szCs w:val="28"/>
          <w:highlight w:val="none"/>
        </w:rPr>
        <w:t>。</w:t>
      </w:r>
    </w:p>
    <w:p w14:paraId="3E646C3D">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68" w:name="_Toc479341574"/>
      <w:bookmarkStart w:id="169" w:name="_Toc113891916"/>
      <w:bookmarkStart w:id="170" w:name="_Toc509822583"/>
      <w:bookmarkStart w:id="171" w:name="_Toc508113529"/>
      <w:bookmarkStart w:id="172" w:name="_Toc113892428"/>
      <w:bookmarkStart w:id="173" w:name="_Toc27856"/>
      <w:bookmarkStart w:id="174" w:name="_Toc517338603"/>
      <w:bookmarkStart w:id="175" w:name="_Toc170287285"/>
      <w:bookmarkStart w:id="176" w:name="_Toc151210128"/>
      <w:bookmarkStart w:id="177" w:name="_Toc176358336"/>
      <w:bookmarkStart w:id="178" w:name="_Toc522288467"/>
      <w:bookmarkStart w:id="179" w:name="_Toc170287633"/>
      <w:bookmarkStart w:id="180" w:name="_Toc20924"/>
      <w:r>
        <w:rPr>
          <w:rFonts w:hint="eastAsia" w:asciiTheme="minorEastAsia" w:hAnsiTheme="minorEastAsia" w:eastAsiaTheme="minorEastAsia" w:cstheme="minorEastAsia"/>
          <w:b/>
          <w:bCs/>
          <w:color w:val="auto"/>
          <w:sz w:val="28"/>
          <w:szCs w:val="28"/>
          <w:highlight w:val="none"/>
        </w:rPr>
        <w:t>16、投标文件的编制</w:t>
      </w:r>
      <w:bookmarkEnd w:id="168"/>
      <w:bookmarkEnd w:id="169"/>
      <w:bookmarkEnd w:id="170"/>
      <w:bookmarkEnd w:id="171"/>
      <w:bookmarkEnd w:id="172"/>
      <w:bookmarkEnd w:id="173"/>
      <w:bookmarkEnd w:id="174"/>
      <w:bookmarkEnd w:id="175"/>
      <w:bookmarkEnd w:id="176"/>
      <w:bookmarkEnd w:id="177"/>
      <w:bookmarkEnd w:id="178"/>
      <w:bookmarkEnd w:id="179"/>
    </w:p>
    <w:p w14:paraId="0BB3095F">
      <w:pPr>
        <w:spacing w:line="360" w:lineRule="auto"/>
        <w:ind w:firstLine="560" w:firstLineChars="200"/>
        <w:rPr>
          <w:rFonts w:hint="eastAsia" w:asciiTheme="minorEastAsia" w:hAnsiTheme="minorEastAsia" w:eastAsiaTheme="minorEastAsia" w:cstheme="minorEastAsia"/>
          <w:color w:val="auto"/>
          <w:sz w:val="28"/>
          <w:szCs w:val="28"/>
          <w:highlight w:val="none"/>
        </w:rPr>
      </w:pPr>
      <w:bookmarkStart w:id="181" w:name="_Toc32212"/>
      <w:bookmarkStart w:id="182" w:name="_Toc23823"/>
      <w:r>
        <w:rPr>
          <w:rFonts w:hint="eastAsia" w:asciiTheme="minorEastAsia" w:hAnsiTheme="minorEastAsia" w:eastAsiaTheme="minorEastAsia" w:cstheme="minorEastAsia"/>
          <w:color w:val="auto"/>
          <w:sz w:val="28"/>
          <w:szCs w:val="28"/>
          <w:highlight w:val="none"/>
        </w:rPr>
        <w:t>16.1投标文件应按第六章“投标文件格式”进行编写，如有必要，可以增加附页，作为投标文件的组成部分。在满足招标文件实质性要求的基础上，可以提出比招标文件要求更有利于采购人的承诺。</w:t>
      </w:r>
    </w:p>
    <w:p w14:paraId="46EDEA80">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16.2 投标文件应当对招标文件有关合同履行期限（交货期）、投标有效期、质量要求、</w:t>
      </w:r>
      <w:r>
        <w:rPr>
          <w:rFonts w:hint="eastAsia" w:asciiTheme="minorEastAsia" w:hAnsiTheme="minorEastAsia" w:eastAsiaTheme="minorEastAsia" w:cstheme="minorEastAsia"/>
          <w:color w:val="auto"/>
          <w:sz w:val="28"/>
          <w:szCs w:val="28"/>
          <w:highlight w:val="none"/>
          <w:lang w:eastAsia="zh-CN"/>
        </w:rPr>
        <w:t>质保期</w:t>
      </w:r>
      <w:r>
        <w:rPr>
          <w:rFonts w:hint="eastAsia" w:asciiTheme="minorEastAsia" w:hAnsiTheme="minorEastAsia" w:eastAsiaTheme="minorEastAsia" w:cstheme="minorEastAsia"/>
          <w:color w:val="auto"/>
          <w:sz w:val="28"/>
          <w:szCs w:val="28"/>
          <w:highlight w:val="none"/>
        </w:rPr>
        <w:t>、技术参数要求、采购范围等实质性内容作出响应。</w:t>
      </w:r>
    </w:p>
    <w:p w14:paraId="44B37BB0">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16.3本项目为电子化、无纸化交易项目，投标文件是供应商通过中心投标文件制作系统制作，并经过电子签章和加密后生成的电子版投标文件。供应商投标时，将不再接受任何纸质文件资料。</w:t>
      </w:r>
    </w:p>
    <w:p w14:paraId="45F80EEB">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电子投标文件是供应商通过中心投标文件制作系统制作，并经过签章和加密后生成的电子版投标文件。</w:t>
      </w:r>
    </w:p>
    <w:p w14:paraId="2D49A5C8">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电子化投标文件工具下载链接：  https://download.bqpoint.com/download/downloaddetail.html?SourceFrom=Ztb&amp;ZtbSoftXiaQuCode=1506&amp;ZtbSoftType=tballinclusive</w:t>
      </w:r>
    </w:p>
    <w:p w14:paraId="3EE33706">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电子投标文件操作手册链接：</w:t>
      </w:r>
    </w:p>
    <w:p w14:paraId="1502F9E9">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http://gzjy.smx.gov.cn/bzzx/008001/20200330/0bee15ca-16e7-4f3c-b1bb-de3e3a51032a.html</w:t>
      </w:r>
    </w:p>
    <w:p w14:paraId="77DA04E6">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183" w:name="_Toc508113530"/>
      <w:bookmarkStart w:id="184" w:name="_Toc479341575"/>
      <w:bookmarkStart w:id="185" w:name="_Toc508873149"/>
      <w:bookmarkStart w:id="186" w:name="_Toc517338604"/>
      <w:bookmarkStart w:id="187" w:name="_Toc176358337"/>
      <w:bookmarkStart w:id="188" w:name="_Toc525836313"/>
      <w:r>
        <w:rPr>
          <w:rFonts w:hint="eastAsia" w:asciiTheme="minorEastAsia" w:hAnsiTheme="minorEastAsia" w:eastAsiaTheme="minorEastAsia" w:cstheme="minorEastAsia"/>
          <w:b/>
          <w:bCs/>
          <w:color w:val="auto"/>
          <w:sz w:val="28"/>
          <w:szCs w:val="28"/>
          <w:highlight w:val="none"/>
        </w:rPr>
        <w:t>四、投标</w:t>
      </w:r>
      <w:bookmarkEnd w:id="181"/>
      <w:bookmarkEnd w:id="182"/>
      <w:bookmarkEnd w:id="183"/>
      <w:bookmarkEnd w:id="184"/>
      <w:bookmarkEnd w:id="185"/>
      <w:bookmarkEnd w:id="186"/>
      <w:r>
        <w:rPr>
          <w:rFonts w:hint="eastAsia" w:asciiTheme="minorEastAsia" w:hAnsiTheme="minorEastAsia" w:eastAsiaTheme="minorEastAsia" w:cstheme="minorEastAsia"/>
          <w:b/>
          <w:bCs/>
          <w:color w:val="auto"/>
          <w:sz w:val="28"/>
          <w:szCs w:val="28"/>
          <w:highlight w:val="none"/>
        </w:rPr>
        <w:t>文件的递交</w:t>
      </w:r>
      <w:bookmarkEnd w:id="187"/>
      <w:bookmarkEnd w:id="188"/>
    </w:p>
    <w:p w14:paraId="72215901">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189" w:name="_Toc509822585"/>
      <w:bookmarkStart w:id="190" w:name="_Toc508113531"/>
      <w:bookmarkStart w:id="191" w:name="_Toc517338605"/>
      <w:bookmarkStart w:id="192" w:name="_Toc522288469"/>
      <w:bookmarkStart w:id="193" w:name="_Toc479341576"/>
      <w:bookmarkStart w:id="194" w:name="_Toc113891918"/>
      <w:bookmarkStart w:id="195" w:name="_Toc176358338"/>
      <w:bookmarkStart w:id="196" w:name="_Toc151210130"/>
      <w:bookmarkStart w:id="197" w:name="_Toc170287287"/>
      <w:bookmarkStart w:id="198" w:name="_Toc170287635"/>
      <w:bookmarkStart w:id="199" w:name="_Toc113892430"/>
      <w:r>
        <w:rPr>
          <w:rFonts w:hint="eastAsia" w:asciiTheme="minorEastAsia" w:hAnsiTheme="minorEastAsia" w:eastAsiaTheme="minorEastAsia" w:cstheme="minorEastAsia"/>
          <w:b/>
          <w:bCs/>
          <w:color w:val="auto"/>
          <w:sz w:val="28"/>
          <w:szCs w:val="28"/>
          <w:highlight w:val="none"/>
        </w:rPr>
        <w:t>17、</w:t>
      </w:r>
      <w:bookmarkEnd w:id="180"/>
      <w:bookmarkEnd w:id="189"/>
      <w:bookmarkEnd w:id="190"/>
      <w:bookmarkEnd w:id="191"/>
      <w:bookmarkEnd w:id="192"/>
      <w:bookmarkEnd w:id="193"/>
      <w:r>
        <w:rPr>
          <w:rFonts w:hint="eastAsia" w:asciiTheme="minorEastAsia" w:hAnsiTheme="minorEastAsia" w:eastAsiaTheme="minorEastAsia" w:cstheme="minorEastAsia"/>
          <w:b/>
          <w:bCs/>
          <w:color w:val="auto"/>
          <w:sz w:val="28"/>
          <w:szCs w:val="28"/>
          <w:highlight w:val="none"/>
        </w:rPr>
        <w:t>电子投标文件</w:t>
      </w:r>
      <w:bookmarkEnd w:id="194"/>
      <w:bookmarkEnd w:id="195"/>
      <w:bookmarkEnd w:id="196"/>
      <w:bookmarkEnd w:id="197"/>
      <w:bookmarkEnd w:id="198"/>
      <w:bookmarkEnd w:id="199"/>
    </w:p>
    <w:p w14:paraId="0DFBB8AF">
      <w:pPr>
        <w:spacing w:line="360" w:lineRule="auto"/>
        <w:ind w:firstLine="560" w:firstLineChars="200"/>
        <w:rPr>
          <w:rFonts w:hint="eastAsia" w:asciiTheme="minorEastAsia" w:hAnsiTheme="minorEastAsia" w:eastAsiaTheme="minorEastAsia" w:cstheme="minorEastAsia"/>
          <w:color w:val="auto"/>
          <w:sz w:val="22"/>
          <w:szCs w:val="28"/>
          <w:highlight w:val="none"/>
        </w:rPr>
      </w:pPr>
      <w:r>
        <w:rPr>
          <w:rFonts w:hint="eastAsia" w:asciiTheme="minorEastAsia" w:hAnsiTheme="minorEastAsia" w:eastAsiaTheme="minorEastAsia" w:cstheme="minorEastAsia"/>
          <w:color w:val="auto"/>
          <w:sz w:val="28"/>
          <w:szCs w:val="28"/>
          <w:highlight w:val="none"/>
        </w:rPr>
        <w:t>供应商应当按照招标文件和电子招标投标交易平台的要求加密投标文件，具体要求详见供应商须知前附表“电子化招标投标交易注意事项”。</w:t>
      </w:r>
    </w:p>
    <w:p w14:paraId="5A4366CC">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00" w:name="_Toc517338606"/>
      <w:bookmarkStart w:id="201" w:name="_Toc508113532"/>
      <w:bookmarkStart w:id="202" w:name="_Toc14239"/>
      <w:bookmarkStart w:id="203" w:name="_Toc113891919"/>
      <w:bookmarkStart w:id="204" w:name="_Toc176358339"/>
      <w:bookmarkStart w:id="205" w:name="_Toc479341577"/>
      <w:bookmarkStart w:id="206" w:name="_Toc522288470"/>
      <w:bookmarkStart w:id="207" w:name="_Toc509822586"/>
      <w:bookmarkStart w:id="208" w:name="_Toc113892431"/>
      <w:bookmarkStart w:id="209" w:name="_Toc170287636"/>
      <w:bookmarkStart w:id="210" w:name="_Toc151210131"/>
      <w:bookmarkStart w:id="211" w:name="_Toc170287288"/>
      <w:r>
        <w:rPr>
          <w:rFonts w:hint="eastAsia" w:asciiTheme="minorEastAsia" w:hAnsiTheme="minorEastAsia" w:eastAsiaTheme="minorEastAsia" w:cstheme="minorEastAsia"/>
          <w:b/>
          <w:bCs/>
          <w:color w:val="auto"/>
          <w:sz w:val="28"/>
          <w:szCs w:val="28"/>
          <w:highlight w:val="none"/>
        </w:rPr>
        <w:t>18、投标文件的递交</w:t>
      </w:r>
      <w:bookmarkEnd w:id="200"/>
      <w:bookmarkEnd w:id="201"/>
      <w:bookmarkEnd w:id="202"/>
      <w:bookmarkEnd w:id="203"/>
      <w:bookmarkEnd w:id="204"/>
      <w:bookmarkEnd w:id="205"/>
      <w:bookmarkEnd w:id="206"/>
      <w:bookmarkEnd w:id="207"/>
      <w:bookmarkEnd w:id="208"/>
      <w:bookmarkEnd w:id="209"/>
      <w:bookmarkEnd w:id="210"/>
      <w:bookmarkEnd w:id="211"/>
    </w:p>
    <w:p w14:paraId="5C9FFB7F">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bookmarkStart w:id="212" w:name="_Toc13346"/>
      <w:r>
        <w:rPr>
          <w:rFonts w:hint="eastAsia" w:asciiTheme="minorEastAsia" w:hAnsiTheme="minorEastAsia" w:eastAsiaTheme="minorEastAsia" w:cstheme="minorEastAsia"/>
          <w:color w:val="auto"/>
          <w:sz w:val="28"/>
          <w:szCs w:val="28"/>
          <w:highlight w:val="none"/>
        </w:rPr>
        <w:t>18.1供应商应在规定的投标截止时间前上传电子投标文件。</w:t>
      </w:r>
    </w:p>
    <w:p w14:paraId="1BD96B50">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18.2 投标供应商递交电子投标文件的地点：见供应商须知前附表。</w:t>
      </w:r>
    </w:p>
    <w:p w14:paraId="01195CAE">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18.3 供应商所递交的投标文件不予退还。</w:t>
      </w:r>
    </w:p>
    <w:p w14:paraId="62702C8B">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18.4 逾期上传的电子投标文件，采购人不予受理。</w:t>
      </w:r>
    </w:p>
    <w:p w14:paraId="79FFB976">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13" w:name="_Toc113892432"/>
      <w:bookmarkStart w:id="214" w:name="_Toc479341578"/>
      <w:bookmarkStart w:id="215" w:name="_Toc170287289"/>
      <w:bookmarkStart w:id="216" w:name="_Toc170287637"/>
      <w:bookmarkStart w:id="217" w:name="_Toc522288471"/>
      <w:bookmarkStart w:id="218" w:name="_Toc517338607"/>
      <w:bookmarkStart w:id="219" w:name="_Toc113891920"/>
      <w:bookmarkStart w:id="220" w:name="_Toc151210132"/>
      <w:bookmarkStart w:id="221" w:name="_Toc508113533"/>
      <w:bookmarkStart w:id="222" w:name="_Toc509822587"/>
      <w:bookmarkStart w:id="223" w:name="_Toc176358340"/>
      <w:r>
        <w:rPr>
          <w:rFonts w:hint="eastAsia" w:asciiTheme="minorEastAsia" w:hAnsiTheme="minorEastAsia" w:eastAsiaTheme="minorEastAsia" w:cstheme="minorEastAsia"/>
          <w:b/>
          <w:bCs/>
          <w:color w:val="auto"/>
          <w:sz w:val="28"/>
          <w:szCs w:val="28"/>
          <w:highlight w:val="none"/>
        </w:rPr>
        <w:t>19、投标文件的修改与撤回</w:t>
      </w:r>
      <w:bookmarkEnd w:id="212"/>
      <w:bookmarkEnd w:id="213"/>
      <w:bookmarkEnd w:id="214"/>
      <w:bookmarkEnd w:id="215"/>
      <w:bookmarkEnd w:id="216"/>
      <w:bookmarkEnd w:id="217"/>
      <w:bookmarkEnd w:id="218"/>
      <w:bookmarkEnd w:id="219"/>
      <w:bookmarkEnd w:id="220"/>
      <w:bookmarkEnd w:id="221"/>
      <w:bookmarkEnd w:id="222"/>
      <w:bookmarkEnd w:id="223"/>
    </w:p>
    <w:p w14:paraId="62F19EDC">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19.1 在规定的投标截止时间前，供应商可以修改或撤回已上传的投标文件。 </w:t>
      </w:r>
    </w:p>
    <w:p w14:paraId="18E3A666">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19.2 修改的内容为投标文件的组成部分。</w:t>
      </w:r>
    </w:p>
    <w:p w14:paraId="2A4D87D6">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224" w:name="_Toc479341579"/>
      <w:bookmarkStart w:id="225" w:name="_Toc21634"/>
      <w:bookmarkStart w:id="226" w:name="_Toc508113534"/>
      <w:bookmarkStart w:id="227" w:name="_Toc517338608"/>
      <w:bookmarkStart w:id="228" w:name="_Toc508873150"/>
      <w:bookmarkStart w:id="229" w:name="_Toc176358341"/>
      <w:bookmarkStart w:id="230" w:name="_Toc525836314"/>
      <w:r>
        <w:rPr>
          <w:rFonts w:hint="eastAsia" w:asciiTheme="minorEastAsia" w:hAnsiTheme="minorEastAsia" w:eastAsiaTheme="minorEastAsia" w:cstheme="minorEastAsia"/>
          <w:b/>
          <w:bCs/>
          <w:color w:val="auto"/>
          <w:sz w:val="28"/>
          <w:szCs w:val="28"/>
          <w:highlight w:val="none"/>
        </w:rPr>
        <w:t>五、 开标</w:t>
      </w:r>
      <w:bookmarkEnd w:id="224"/>
      <w:bookmarkEnd w:id="225"/>
      <w:r>
        <w:rPr>
          <w:rFonts w:hint="eastAsia" w:asciiTheme="minorEastAsia" w:hAnsiTheme="minorEastAsia" w:eastAsiaTheme="minorEastAsia" w:cstheme="minorEastAsia"/>
          <w:b/>
          <w:bCs/>
          <w:color w:val="auto"/>
          <w:sz w:val="28"/>
          <w:szCs w:val="28"/>
          <w:highlight w:val="none"/>
        </w:rPr>
        <w:t>（本项目为电子化交易项目）</w:t>
      </w:r>
      <w:bookmarkEnd w:id="226"/>
      <w:bookmarkEnd w:id="227"/>
      <w:bookmarkEnd w:id="228"/>
      <w:bookmarkEnd w:id="229"/>
      <w:bookmarkEnd w:id="230"/>
    </w:p>
    <w:p w14:paraId="00622890">
      <w:pPr>
        <w:spacing w:line="360" w:lineRule="auto"/>
        <w:jc w:val="left"/>
        <w:outlineLvl w:val="2"/>
        <w:rPr>
          <w:rFonts w:hint="eastAsia" w:asciiTheme="minorEastAsia" w:hAnsiTheme="minorEastAsia" w:eastAsiaTheme="minorEastAsia" w:cstheme="minorEastAsia"/>
          <w:color w:val="auto"/>
          <w:sz w:val="28"/>
          <w:szCs w:val="28"/>
          <w:highlight w:val="none"/>
        </w:rPr>
      </w:pPr>
      <w:bookmarkStart w:id="231" w:name="_Toc176358342"/>
      <w:bookmarkStart w:id="232" w:name="_Toc4186"/>
      <w:bookmarkStart w:id="233" w:name="_Toc113892434"/>
      <w:bookmarkStart w:id="234" w:name="_Toc517338609"/>
      <w:bookmarkStart w:id="235" w:name="_Toc522288473"/>
      <w:bookmarkStart w:id="236" w:name="_Toc508113535"/>
      <w:bookmarkStart w:id="237" w:name="_Toc509822589"/>
      <w:bookmarkStart w:id="238" w:name="_Toc479341580"/>
      <w:bookmarkStart w:id="239" w:name="_Toc151210134"/>
      <w:bookmarkStart w:id="240" w:name="_Toc170287291"/>
      <w:bookmarkStart w:id="241" w:name="_Toc113891922"/>
      <w:bookmarkStart w:id="242" w:name="_Toc170287639"/>
      <w:r>
        <w:rPr>
          <w:rFonts w:hint="eastAsia" w:asciiTheme="minorEastAsia" w:hAnsiTheme="minorEastAsia" w:eastAsiaTheme="minorEastAsia" w:cstheme="minorEastAsia"/>
          <w:b/>
          <w:color w:val="auto"/>
          <w:sz w:val="28"/>
          <w:szCs w:val="28"/>
          <w:highlight w:val="none"/>
        </w:rPr>
        <w:t>20、</w:t>
      </w:r>
      <w:r>
        <w:rPr>
          <w:rFonts w:hint="eastAsia" w:asciiTheme="minorEastAsia" w:hAnsiTheme="minorEastAsia" w:eastAsiaTheme="minorEastAsia" w:cstheme="minorEastAsia"/>
          <w:color w:val="auto"/>
          <w:sz w:val="28"/>
          <w:szCs w:val="28"/>
          <w:highlight w:val="none"/>
        </w:rPr>
        <w:t>开标时间和地点</w:t>
      </w:r>
      <w:bookmarkEnd w:id="231"/>
      <w:bookmarkEnd w:id="232"/>
      <w:bookmarkEnd w:id="233"/>
      <w:bookmarkEnd w:id="234"/>
      <w:bookmarkEnd w:id="235"/>
      <w:bookmarkEnd w:id="236"/>
      <w:bookmarkEnd w:id="237"/>
      <w:bookmarkEnd w:id="238"/>
      <w:bookmarkEnd w:id="239"/>
      <w:bookmarkEnd w:id="240"/>
      <w:bookmarkEnd w:id="241"/>
      <w:bookmarkEnd w:id="242"/>
    </w:p>
    <w:p w14:paraId="5D013424">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bookmarkStart w:id="243" w:name="_Toc10713"/>
      <w:r>
        <w:rPr>
          <w:rFonts w:hint="eastAsia" w:asciiTheme="minorEastAsia" w:hAnsiTheme="minorEastAsia" w:eastAsiaTheme="minorEastAsia" w:cstheme="minorEastAsia"/>
          <w:color w:val="auto"/>
          <w:sz w:val="28"/>
          <w:szCs w:val="28"/>
          <w:highlight w:val="none"/>
        </w:rPr>
        <w:t>采购人在规定的投标截止时间（开标时间）和地点，通过电子招标投标交易平台公开开标。</w:t>
      </w:r>
    </w:p>
    <w:p w14:paraId="44EC3A90">
      <w:pPr>
        <w:spacing w:line="360" w:lineRule="auto"/>
        <w:jc w:val="left"/>
        <w:outlineLvl w:val="2"/>
        <w:rPr>
          <w:rFonts w:hint="eastAsia" w:asciiTheme="minorEastAsia" w:hAnsiTheme="minorEastAsia" w:eastAsiaTheme="minorEastAsia" w:cstheme="minorEastAsia"/>
          <w:color w:val="auto"/>
          <w:sz w:val="28"/>
          <w:szCs w:val="28"/>
          <w:highlight w:val="none"/>
        </w:rPr>
      </w:pPr>
      <w:bookmarkStart w:id="244" w:name="_Toc522288474"/>
      <w:bookmarkStart w:id="245" w:name="_Toc151210135"/>
      <w:bookmarkStart w:id="246" w:name="_Toc113891923"/>
      <w:bookmarkStart w:id="247" w:name="_Toc170287292"/>
      <w:bookmarkStart w:id="248" w:name="_Toc509822590"/>
      <w:bookmarkStart w:id="249" w:name="_Toc508113536"/>
      <w:bookmarkStart w:id="250" w:name="_Toc517338610"/>
      <w:bookmarkStart w:id="251" w:name="_Toc170287640"/>
      <w:bookmarkStart w:id="252" w:name="_Toc479341581"/>
      <w:bookmarkStart w:id="253" w:name="_Toc176358343"/>
      <w:bookmarkStart w:id="254" w:name="_Toc113892435"/>
      <w:r>
        <w:rPr>
          <w:rFonts w:hint="eastAsia" w:asciiTheme="minorEastAsia" w:hAnsiTheme="minorEastAsia" w:eastAsiaTheme="minorEastAsia" w:cstheme="minorEastAsia"/>
          <w:b/>
          <w:color w:val="auto"/>
          <w:sz w:val="28"/>
          <w:szCs w:val="28"/>
          <w:highlight w:val="none"/>
        </w:rPr>
        <w:t>21、</w:t>
      </w:r>
      <w:r>
        <w:rPr>
          <w:rFonts w:hint="eastAsia" w:asciiTheme="minorEastAsia" w:hAnsiTheme="minorEastAsia" w:eastAsiaTheme="minorEastAsia" w:cstheme="minorEastAsia"/>
          <w:color w:val="auto"/>
          <w:sz w:val="28"/>
          <w:szCs w:val="28"/>
          <w:highlight w:val="none"/>
        </w:rPr>
        <w:t>开标程序</w:t>
      </w:r>
      <w:bookmarkEnd w:id="243"/>
      <w:bookmarkEnd w:id="244"/>
      <w:bookmarkEnd w:id="245"/>
      <w:bookmarkEnd w:id="246"/>
      <w:bookmarkEnd w:id="247"/>
      <w:bookmarkEnd w:id="248"/>
      <w:bookmarkEnd w:id="249"/>
      <w:bookmarkEnd w:id="250"/>
      <w:bookmarkEnd w:id="251"/>
      <w:bookmarkEnd w:id="252"/>
      <w:bookmarkEnd w:id="253"/>
      <w:bookmarkEnd w:id="254"/>
    </w:p>
    <w:p w14:paraId="49896A02">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bookmarkStart w:id="255" w:name="_Toc19062"/>
      <w:r>
        <w:rPr>
          <w:rFonts w:hint="eastAsia" w:asciiTheme="minorEastAsia" w:hAnsiTheme="minorEastAsia" w:eastAsiaTheme="minorEastAsia" w:cstheme="minorEastAsia"/>
          <w:color w:val="auto"/>
          <w:sz w:val="28"/>
          <w:szCs w:val="28"/>
          <w:highlight w:val="none"/>
        </w:rPr>
        <w:t>主持人按下列程序进行开标：</w:t>
      </w:r>
    </w:p>
    <w:p w14:paraId="0652893E">
      <w:pPr>
        <w:spacing w:line="360" w:lineRule="auto"/>
        <w:ind w:firstLine="478" w:firstLineChars="171"/>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（1）宣布开标纪律；</w:t>
      </w:r>
    </w:p>
    <w:p w14:paraId="4155F644">
      <w:pPr>
        <w:spacing w:line="360" w:lineRule="auto"/>
        <w:ind w:firstLine="478" w:firstLineChars="171"/>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（2）宣布主持人、采购人、唱标人、记录人、监督人等有关人员姓名；</w:t>
      </w:r>
    </w:p>
    <w:p w14:paraId="7E733470">
      <w:pPr>
        <w:spacing w:line="360" w:lineRule="auto"/>
        <w:ind w:firstLine="478" w:firstLineChars="171"/>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（3）按照供应商须知前附表的规定确定并宣布投标文件开标顺序；</w:t>
      </w:r>
    </w:p>
    <w:p w14:paraId="66472C85">
      <w:pPr>
        <w:spacing w:line="360" w:lineRule="auto"/>
        <w:ind w:firstLine="478" w:firstLineChars="171"/>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（4）按照宣布的开标顺序当众开标，电子招标投标交易平台自动提取所有电子化投标文件，按时在线解密。解密全部完成后，向所有投标供应商公布投标供应商名称、投标价格和招标文件规定的其他内容。</w:t>
      </w:r>
    </w:p>
    <w:p w14:paraId="75DDB4B3">
      <w:pPr>
        <w:spacing w:line="360" w:lineRule="auto"/>
        <w:ind w:firstLine="478" w:firstLineChars="171"/>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（5）开标会议结束，由</w:t>
      </w:r>
      <w:r>
        <w:rPr>
          <w:rFonts w:hint="eastAsia" w:asciiTheme="minorEastAsia" w:hAnsiTheme="minorEastAsia" w:eastAsiaTheme="minorEastAsia" w:cstheme="minorEastAsia"/>
          <w:b/>
          <w:bCs/>
          <w:color w:val="auto"/>
          <w:sz w:val="28"/>
          <w:szCs w:val="28"/>
          <w:highlight w:val="none"/>
        </w:rPr>
        <w:t>采购人</w:t>
      </w:r>
      <w:r>
        <w:rPr>
          <w:rFonts w:hint="eastAsia" w:asciiTheme="minorEastAsia" w:hAnsiTheme="minorEastAsia" w:eastAsiaTheme="minorEastAsia" w:cstheme="minorEastAsia"/>
          <w:color w:val="auto"/>
          <w:sz w:val="28"/>
          <w:szCs w:val="28"/>
          <w:highlight w:val="none"/>
        </w:rPr>
        <w:t>对供应商资格条件进行审查，有一项不符合的视为未通过资格审查，不得进入下一评审程序。</w:t>
      </w:r>
    </w:p>
    <w:p w14:paraId="55C129B6">
      <w:pPr>
        <w:spacing w:line="360" w:lineRule="auto"/>
        <w:ind w:firstLine="478" w:firstLineChars="171"/>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（6）采购人将符合资格审查的电子化投标文件提交于评标委员会进行评审、比较。</w:t>
      </w:r>
    </w:p>
    <w:p w14:paraId="5BFC6A90">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256" w:name="_Toc517338611"/>
      <w:bookmarkStart w:id="257" w:name="_Toc525836315"/>
      <w:bookmarkStart w:id="258" w:name="_Toc176358344"/>
      <w:bookmarkStart w:id="259" w:name="_Toc508113537"/>
      <w:bookmarkStart w:id="260" w:name="_Toc508873151"/>
      <w:bookmarkStart w:id="261" w:name="_Toc479341582"/>
      <w:r>
        <w:rPr>
          <w:rFonts w:hint="eastAsia" w:asciiTheme="minorEastAsia" w:hAnsiTheme="minorEastAsia" w:eastAsiaTheme="minorEastAsia" w:cstheme="minorEastAsia"/>
          <w:b/>
          <w:bCs/>
          <w:color w:val="auto"/>
          <w:sz w:val="28"/>
          <w:szCs w:val="28"/>
          <w:highlight w:val="none"/>
        </w:rPr>
        <w:t>六、 评 标</w:t>
      </w:r>
      <w:bookmarkEnd w:id="255"/>
      <w:bookmarkEnd w:id="256"/>
      <w:bookmarkEnd w:id="257"/>
      <w:bookmarkEnd w:id="258"/>
      <w:bookmarkEnd w:id="259"/>
      <w:bookmarkEnd w:id="260"/>
      <w:bookmarkEnd w:id="261"/>
      <w:bookmarkStart w:id="262" w:name="_Toc517338612"/>
      <w:bookmarkStart w:id="263" w:name="_Toc479341583"/>
      <w:bookmarkStart w:id="264" w:name="_Toc508113538"/>
      <w:bookmarkStart w:id="265" w:name="_Toc509822592"/>
      <w:bookmarkStart w:id="266" w:name="_Toc25792"/>
      <w:bookmarkStart w:id="267" w:name="_Toc522288476"/>
    </w:p>
    <w:p w14:paraId="41DCAF09">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68" w:name="_Toc113892437"/>
      <w:bookmarkStart w:id="269" w:name="_Toc170287642"/>
      <w:bookmarkStart w:id="270" w:name="_Toc113891925"/>
      <w:bookmarkStart w:id="271" w:name="_Toc170287294"/>
      <w:bookmarkStart w:id="272" w:name="_Toc176358345"/>
      <w:bookmarkStart w:id="273" w:name="_Toc151210137"/>
      <w:r>
        <w:rPr>
          <w:rFonts w:hint="eastAsia" w:asciiTheme="minorEastAsia" w:hAnsiTheme="minorEastAsia" w:eastAsiaTheme="minorEastAsia" w:cstheme="minorEastAsia"/>
          <w:b/>
          <w:bCs/>
          <w:color w:val="auto"/>
          <w:sz w:val="28"/>
          <w:szCs w:val="28"/>
          <w:highlight w:val="none"/>
        </w:rPr>
        <w:t>22、评标委员会</w:t>
      </w:r>
      <w:bookmarkEnd w:id="262"/>
      <w:bookmarkEnd w:id="263"/>
      <w:bookmarkEnd w:id="264"/>
      <w:bookmarkEnd w:id="265"/>
      <w:bookmarkEnd w:id="266"/>
      <w:bookmarkEnd w:id="267"/>
      <w:bookmarkEnd w:id="268"/>
      <w:bookmarkEnd w:id="269"/>
      <w:bookmarkEnd w:id="270"/>
      <w:bookmarkEnd w:id="271"/>
      <w:bookmarkEnd w:id="272"/>
      <w:bookmarkEnd w:id="273"/>
    </w:p>
    <w:p w14:paraId="60EC54A5">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22.1评标由依法组建的评标委员会负责。评标委员会由采购人代表和评审专家组成。评审专家的确定方式见供应商须知前附表。</w:t>
      </w:r>
    </w:p>
    <w:p w14:paraId="130CCE91">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22.2 评标委员会成员有下列情形之一的，应当回避：</w:t>
      </w:r>
    </w:p>
    <w:p w14:paraId="007C25EC">
      <w:pPr>
        <w:spacing w:line="360" w:lineRule="auto"/>
        <w:ind w:firstLine="532" w:firstLineChars="19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（1）采购人或投标供应商的主要负责人的近亲属；</w:t>
      </w:r>
    </w:p>
    <w:p w14:paraId="6721E82B">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（2）项目主管部门或者行政监督部门的人员；</w:t>
      </w:r>
    </w:p>
    <w:p w14:paraId="3ADEAE73">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（3）与投标供应商有经济利益关系，可能影响对投标公正评审的；</w:t>
      </w:r>
    </w:p>
    <w:p w14:paraId="63064DC8">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（4）曾因在招标、评标以及其他与招标投标有关活动中从事违法行为而受过行政处罚或刑事处罚的。</w:t>
      </w:r>
    </w:p>
    <w:p w14:paraId="4ECA6650">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74" w:name="_Toc170287643"/>
      <w:bookmarkStart w:id="275" w:name="_Toc151210138"/>
      <w:bookmarkStart w:id="276" w:name="_Toc509822593"/>
      <w:bookmarkStart w:id="277" w:name="_Toc113892438"/>
      <w:bookmarkStart w:id="278" w:name="_Toc479341584"/>
      <w:bookmarkStart w:id="279" w:name="_Toc113891926"/>
      <w:bookmarkStart w:id="280" w:name="_Toc176358346"/>
      <w:bookmarkStart w:id="281" w:name="_Toc170287295"/>
      <w:bookmarkStart w:id="282" w:name="_Toc517338613"/>
      <w:bookmarkStart w:id="283" w:name="_Toc5934"/>
      <w:bookmarkStart w:id="284" w:name="_Toc508113539"/>
      <w:bookmarkStart w:id="285" w:name="_Toc522288477"/>
      <w:r>
        <w:rPr>
          <w:rFonts w:hint="eastAsia" w:asciiTheme="minorEastAsia" w:hAnsiTheme="minorEastAsia" w:eastAsiaTheme="minorEastAsia" w:cstheme="minorEastAsia"/>
          <w:b/>
          <w:bCs/>
          <w:color w:val="auto"/>
          <w:sz w:val="28"/>
          <w:szCs w:val="28"/>
          <w:highlight w:val="none"/>
        </w:rPr>
        <w:t>23、评标原则</w:t>
      </w:r>
      <w:bookmarkEnd w:id="274"/>
      <w:bookmarkEnd w:id="275"/>
      <w:bookmarkEnd w:id="276"/>
      <w:bookmarkEnd w:id="277"/>
      <w:bookmarkEnd w:id="278"/>
      <w:bookmarkEnd w:id="279"/>
      <w:bookmarkEnd w:id="280"/>
      <w:bookmarkEnd w:id="281"/>
      <w:bookmarkEnd w:id="282"/>
      <w:bookmarkEnd w:id="283"/>
      <w:bookmarkEnd w:id="284"/>
      <w:bookmarkEnd w:id="285"/>
      <w:r>
        <w:rPr>
          <w:rFonts w:hint="eastAsia" w:asciiTheme="minorEastAsia" w:hAnsiTheme="minorEastAsia" w:eastAsiaTheme="minorEastAsia" w:cstheme="minorEastAsia"/>
          <w:b/>
          <w:bCs/>
          <w:color w:val="auto"/>
          <w:sz w:val="28"/>
          <w:szCs w:val="28"/>
          <w:highlight w:val="none"/>
        </w:rPr>
        <w:tab/>
      </w:r>
    </w:p>
    <w:p w14:paraId="0F351DED">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评标活动遵循公平、公正、科学和择优的原则。</w:t>
      </w:r>
      <w:bookmarkStart w:id="286" w:name="_Toc479341585"/>
      <w:bookmarkStart w:id="287" w:name="_Toc509822594"/>
      <w:bookmarkStart w:id="288" w:name="_Toc517338614"/>
      <w:bookmarkStart w:id="289" w:name="_Toc522288478"/>
      <w:bookmarkStart w:id="290" w:name="_Toc23282"/>
      <w:bookmarkStart w:id="291" w:name="_Toc508113540"/>
    </w:p>
    <w:p w14:paraId="4F287F4A">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92" w:name="_Toc113891927"/>
      <w:bookmarkStart w:id="293" w:name="_Toc176358347"/>
      <w:bookmarkStart w:id="294" w:name="_Toc151210139"/>
      <w:bookmarkStart w:id="295" w:name="_Toc170287644"/>
      <w:bookmarkStart w:id="296" w:name="_Toc170287296"/>
      <w:bookmarkStart w:id="297" w:name="_Toc113892439"/>
      <w:r>
        <w:rPr>
          <w:rFonts w:hint="eastAsia" w:asciiTheme="minorEastAsia" w:hAnsiTheme="minorEastAsia" w:eastAsiaTheme="minorEastAsia" w:cstheme="minorEastAsia"/>
          <w:b/>
          <w:bCs/>
          <w:color w:val="auto"/>
          <w:sz w:val="28"/>
          <w:szCs w:val="28"/>
          <w:highlight w:val="none"/>
        </w:rPr>
        <w:t>24、评标</w:t>
      </w:r>
      <w:bookmarkEnd w:id="286"/>
      <w:bookmarkEnd w:id="287"/>
      <w:bookmarkEnd w:id="288"/>
      <w:bookmarkEnd w:id="289"/>
      <w:bookmarkEnd w:id="290"/>
      <w:bookmarkEnd w:id="291"/>
      <w:bookmarkEnd w:id="292"/>
      <w:bookmarkEnd w:id="293"/>
      <w:bookmarkEnd w:id="294"/>
      <w:bookmarkEnd w:id="295"/>
      <w:bookmarkEnd w:id="296"/>
      <w:bookmarkEnd w:id="297"/>
    </w:p>
    <w:p w14:paraId="61D3ACD6">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评标委员会按照第四章“评标办法”规定的方法、评审因素、标准和程序对投标文件进行评审。第四章“评标办法”没有规定的方法、评审因素和标准，不作为评标依据。</w:t>
      </w:r>
    </w:p>
    <w:p w14:paraId="20A9F75F">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298" w:name="_Toc113891928"/>
      <w:bookmarkStart w:id="299" w:name="_Toc113892440"/>
      <w:bookmarkStart w:id="300" w:name="_Toc170287297"/>
      <w:bookmarkStart w:id="301" w:name="_Toc176358348"/>
      <w:bookmarkStart w:id="302" w:name="_Toc170287645"/>
      <w:bookmarkStart w:id="303" w:name="_Toc151210140"/>
      <w:r>
        <w:rPr>
          <w:rFonts w:hint="eastAsia" w:asciiTheme="minorEastAsia" w:hAnsiTheme="minorEastAsia" w:eastAsiaTheme="minorEastAsia" w:cstheme="minorEastAsia"/>
          <w:b/>
          <w:bCs/>
          <w:color w:val="auto"/>
          <w:sz w:val="28"/>
          <w:szCs w:val="28"/>
          <w:highlight w:val="none"/>
        </w:rPr>
        <w:t>25、评标纪律</w:t>
      </w:r>
      <w:bookmarkEnd w:id="298"/>
      <w:bookmarkEnd w:id="299"/>
      <w:bookmarkEnd w:id="300"/>
      <w:bookmarkEnd w:id="301"/>
      <w:bookmarkEnd w:id="302"/>
      <w:bookmarkEnd w:id="303"/>
    </w:p>
    <w:p w14:paraId="5F22267F">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25.1评标委员会成员和参与评标工作的有关人员不得透露对投标文件的评审和比较、中标候选人的推荐情况以及与评标有关的其它情况。</w:t>
      </w:r>
    </w:p>
    <w:p w14:paraId="076FD192">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25.2开标以后至授予中标通知书前，任何投标供应商均不得就与其投标文件有关的问题主动与采购人和招标代理机构发生联系。</w:t>
      </w:r>
    </w:p>
    <w:p w14:paraId="17129004">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25.3如果投标供应商试图对评标委员会的评标施加影响，则将导致该投标供应商的投标文件被拒绝。</w:t>
      </w:r>
    </w:p>
    <w:p w14:paraId="2E15D825">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04" w:name="_Toc113891929"/>
      <w:bookmarkStart w:id="305" w:name="_Toc170287298"/>
      <w:bookmarkStart w:id="306" w:name="_Toc176358349"/>
      <w:bookmarkStart w:id="307" w:name="_Toc113892441"/>
      <w:bookmarkStart w:id="308" w:name="_Toc151210141"/>
      <w:bookmarkStart w:id="309" w:name="_Toc170287646"/>
      <w:r>
        <w:rPr>
          <w:rFonts w:hint="eastAsia" w:asciiTheme="minorEastAsia" w:hAnsiTheme="minorEastAsia" w:eastAsiaTheme="minorEastAsia" w:cstheme="minorEastAsia"/>
          <w:b/>
          <w:bCs/>
          <w:color w:val="auto"/>
          <w:sz w:val="28"/>
          <w:szCs w:val="28"/>
          <w:highlight w:val="none"/>
        </w:rPr>
        <w:t>26、评标过程的保密</w:t>
      </w:r>
      <w:bookmarkEnd w:id="304"/>
      <w:bookmarkEnd w:id="305"/>
      <w:bookmarkEnd w:id="306"/>
      <w:bookmarkEnd w:id="307"/>
      <w:bookmarkEnd w:id="308"/>
      <w:bookmarkEnd w:id="309"/>
    </w:p>
    <w:p w14:paraId="0281E07C">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26.1开标后，直至授予中标供应商合同为止，凡属于对投标文件的审查、澄清、评价和比较有关的资料，中标候选人的推荐情况，及其他任何与评标有关的情况均应严格保密。</w:t>
      </w:r>
    </w:p>
    <w:p w14:paraId="24DCEEDF">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26.2在投标文件的评审和比较、中标候选人推荐以及授予合同的过程中，投标供应商向采购人和评标委员会施加影响的任何行为，都将会导致其投标被拒绝。</w:t>
      </w:r>
    </w:p>
    <w:p w14:paraId="70DA1D50">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26.3中标供应商确定后，采购人不对未中标供应商就评标过程以及未能中标原因作出任何解释。未中标供应商不得向评标委员会组成人员或其他有关人员索问评标过程的情况和材料。</w:t>
      </w:r>
    </w:p>
    <w:p w14:paraId="501ECA50">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310" w:name="_Toc508873152"/>
      <w:bookmarkStart w:id="311" w:name="_Toc176358350"/>
      <w:bookmarkStart w:id="312" w:name="_Toc8618"/>
      <w:bookmarkStart w:id="313" w:name="_Toc508113541"/>
      <w:bookmarkStart w:id="314" w:name="_Toc479341586"/>
      <w:bookmarkStart w:id="315" w:name="_Toc517338615"/>
      <w:bookmarkStart w:id="316" w:name="_Toc525836316"/>
      <w:r>
        <w:rPr>
          <w:rFonts w:hint="eastAsia" w:asciiTheme="minorEastAsia" w:hAnsiTheme="minorEastAsia" w:eastAsiaTheme="minorEastAsia" w:cstheme="minorEastAsia"/>
          <w:b/>
          <w:bCs/>
          <w:color w:val="auto"/>
          <w:sz w:val="28"/>
          <w:szCs w:val="28"/>
          <w:highlight w:val="none"/>
        </w:rPr>
        <w:t>七、合同授予</w:t>
      </w:r>
      <w:bookmarkEnd w:id="310"/>
      <w:bookmarkEnd w:id="311"/>
      <w:bookmarkEnd w:id="312"/>
      <w:bookmarkEnd w:id="313"/>
      <w:bookmarkEnd w:id="314"/>
      <w:bookmarkEnd w:id="315"/>
      <w:bookmarkEnd w:id="316"/>
    </w:p>
    <w:p w14:paraId="09FAC846">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17" w:name="_Toc170287648"/>
      <w:bookmarkStart w:id="318" w:name="_Toc176358351"/>
      <w:bookmarkStart w:id="319" w:name="_Toc170287300"/>
      <w:bookmarkStart w:id="320" w:name="_Toc113891931"/>
      <w:bookmarkStart w:id="321" w:name="_Toc151210143"/>
      <w:bookmarkStart w:id="322" w:name="_Toc113892443"/>
      <w:bookmarkStart w:id="323" w:name="_Toc25766"/>
      <w:r>
        <w:rPr>
          <w:rFonts w:hint="eastAsia" w:asciiTheme="minorEastAsia" w:hAnsiTheme="minorEastAsia" w:eastAsiaTheme="minorEastAsia" w:cstheme="minorEastAsia"/>
          <w:b/>
          <w:bCs/>
          <w:color w:val="auto"/>
          <w:sz w:val="28"/>
          <w:szCs w:val="28"/>
          <w:highlight w:val="none"/>
        </w:rPr>
        <w:t>27、中标结果公告</w:t>
      </w:r>
      <w:bookmarkEnd w:id="317"/>
      <w:bookmarkEnd w:id="318"/>
      <w:bookmarkEnd w:id="319"/>
      <w:bookmarkEnd w:id="320"/>
      <w:bookmarkEnd w:id="321"/>
      <w:bookmarkEnd w:id="322"/>
    </w:p>
    <w:p w14:paraId="2961446D">
      <w:pPr>
        <w:spacing w:line="360" w:lineRule="auto"/>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    采购人或者采购代理机构应当自中标供应商确定之日起2个工作日内，在招标公告发布媒体上公告中标结果，并同时发出中标通知书。公告期限为1个工作日。</w:t>
      </w:r>
    </w:p>
    <w:bookmarkEnd w:id="323"/>
    <w:p w14:paraId="651A3F1D">
      <w:pPr>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24" w:name="_Toc170287301"/>
      <w:bookmarkStart w:id="325" w:name="_Toc151210144"/>
      <w:bookmarkStart w:id="326" w:name="_Toc170287649"/>
      <w:bookmarkStart w:id="327" w:name="_Toc113892444"/>
      <w:bookmarkStart w:id="328" w:name="_Toc176358352"/>
      <w:bookmarkStart w:id="329" w:name="_Toc113891932"/>
      <w:r>
        <w:rPr>
          <w:rFonts w:hint="eastAsia" w:asciiTheme="minorEastAsia" w:hAnsiTheme="minorEastAsia" w:eastAsiaTheme="minorEastAsia" w:cstheme="minorEastAsia"/>
          <w:b/>
          <w:color w:val="auto"/>
          <w:sz w:val="28"/>
          <w:szCs w:val="28"/>
          <w:highlight w:val="none"/>
        </w:rPr>
        <w:t>2</w:t>
      </w:r>
      <w:r>
        <w:rPr>
          <w:rFonts w:hint="eastAsia" w:asciiTheme="minorEastAsia" w:hAnsiTheme="minorEastAsia" w:eastAsiaTheme="minorEastAsia" w:cstheme="minorEastAsia"/>
          <w:b/>
          <w:bCs/>
          <w:color w:val="auto"/>
          <w:sz w:val="28"/>
          <w:szCs w:val="28"/>
          <w:highlight w:val="none"/>
        </w:rPr>
        <w:t>8、质疑和投诉</w:t>
      </w:r>
      <w:bookmarkEnd w:id="324"/>
      <w:bookmarkEnd w:id="325"/>
      <w:bookmarkEnd w:id="326"/>
      <w:bookmarkEnd w:id="327"/>
      <w:bookmarkEnd w:id="328"/>
      <w:bookmarkEnd w:id="329"/>
    </w:p>
    <w:p w14:paraId="6DDBADE6">
      <w:pPr>
        <w:spacing w:line="360" w:lineRule="auto"/>
        <w:ind w:firstLine="660" w:firstLineChars="236"/>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28.1供应商认为采购过程和中标结果使自己的合法权益受到损害的，可以在知道或者应知其权益受到损害之日起7个工作日内，以书面形式（经法定代表人或其委托代理人签字并加盖单位公章的质疑函原件）向采购人或采购代理机构提出质疑。采购人、采购代理机构应当在收到质疑函后7个工作日内作出答复，并以书面形式通知质疑供应商和其他有关供应商。供应商对采购人或采购代理机构的质疑答复不满意或采购人或采购代理机构未在规定时间内作出答复的，可以在答复期满后15个工作日内向相关监督部门投诉。</w:t>
      </w:r>
    </w:p>
    <w:p w14:paraId="488BAF9F">
      <w:pPr>
        <w:spacing w:line="360" w:lineRule="auto"/>
        <w:ind w:firstLine="660" w:firstLineChars="236"/>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28.2 质疑、投诉应当采用书面形式，质疑书、投诉书均应明确阐述招标文件、招投标过程和中标结果中使自己合法权益受到损害的实质性内容，提供相关事实、依据和证据及其来源或线索，便于有关单位调查、答复和处理。投标人对其质疑和投诉内容的真实性及其来源的合法性承担法律责任。</w:t>
      </w:r>
    </w:p>
    <w:p w14:paraId="1B138843">
      <w:pPr>
        <w:spacing w:line="360" w:lineRule="auto"/>
        <w:jc w:val="left"/>
        <w:outlineLvl w:val="2"/>
        <w:rPr>
          <w:rFonts w:hint="eastAsia" w:asciiTheme="minorEastAsia" w:hAnsiTheme="minorEastAsia" w:eastAsiaTheme="minorEastAsia" w:cstheme="minorEastAsia"/>
          <w:b/>
          <w:color w:val="auto"/>
          <w:sz w:val="28"/>
          <w:szCs w:val="28"/>
          <w:highlight w:val="none"/>
        </w:rPr>
      </w:pPr>
      <w:bookmarkStart w:id="330" w:name="_Toc151210145"/>
      <w:bookmarkStart w:id="331" w:name="_Toc113892445"/>
      <w:bookmarkStart w:id="332" w:name="_Toc170287650"/>
      <w:bookmarkStart w:id="333" w:name="_Toc176358353"/>
      <w:bookmarkStart w:id="334" w:name="_Toc170287302"/>
      <w:bookmarkStart w:id="335" w:name="_Toc113891933"/>
      <w:r>
        <w:rPr>
          <w:rFonts w:hint="eastAsia" w:asciiTheme="minorEastAsia" w:hAnsiTheme="minorEastAsia" w:eastAsiaTheme="minorEastAsia" w:cstheme="minorEastAsia"/>
          <w:b/>
          <w:color w:val="auto"/>
          <w:sz w:val="28"/>
          <w:szCs w:val="28"/>
          <w:highlight w:val="none"/>
        </w:rPr>
        <w:t>29、定标</w:t>
      </w:r>
      <w:bookmarkEnd w:id="330"/>
      <w:bookmarkEnd w:id="331"/>
      <w:bookmarkEnd w:id="332"/>
      <w:bookmarkEnd w:id="333"/>
      <w:bookmarkEnd w:id="334"/>
      <w:bookmarkEnd w:id="335"/>
    </w:p>
    <w:p w14:paraId="7A802F0F">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采购人将确定排名第一的中标候选人为中标人。排名第一的中标候选人放弃中标、因不可抗力不能履行合同、不符合招标文件要求，或者被查实存在影响成交结果的违法行为等情形，不符合中标条件的，采购人可以按照评标委员会提出的中标候选人名单排序依次确定其他成中标选人为中标人，采购人也可以重新招标。</w:t>
      </w:r>
    </w:p>
    <w:p w14:paraId="1ABDDC6A">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36" w:name="_Toc113891934"/>
      <w:bookmarkStart w:id="337" w:name="_Toc176358354"/>
      <w:bookmarkStart w:id="338" w:name="_Toc170287651"/>
      <w:bookmarkStart w:id="339" w:name="_Toc113892446"/>
      <w:bookmarkStart w:id="340" w:name="_Toc151210146"/>
      <w:bookmarkStart w:id="341" w:name="_Toc170287303"/>
      <w:r>
        <w:rPr>
          <w:rFonts w:hint="eastAsia" w:asciiTheme="minorEastAsia" w:hAnsiTheme="minorEastAsia" w:eastAsiaTheme="minorEastAsia" w:cstheme="minorEastAsia"/>
          <w:b/>
          <w:bCs/>
          <w:color w:val="auto"/>
          <w:sz w:val="28"/>
          <w:szCs w:val="28"/>
          <w:highlight w:val="none"/>
        </w:rPr>
        <w:t>30、中标通知</w:t>
      </w:r>
      <w:bookmarkEnd w:id="336"/>
      <w:bookmarkEnd w:id="337"/>
      <w:bookmarkEnd w:id="338"/>
      <w:bookmarkEnd w:id="339"/>
      <w:bookmarkEnd w:id="340"/>
      <w:bookmarkEnd w:id="341"/>
    </w:p>
    <w:p w14:paraId="5DE199F6">
      <w:pPr>
        <w:spacing w:line="360" w:lineRule="auto"/>
        <w:ind w:firstLine="56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30.1采购人或者采购代理机构应当自中标人确定之日起1个工作日内，在省级以上财政部门指定的媒体上公告中标结果，招标文件应当随中标结果同时公告。</w:t>
      </w:r>
    </w:p>
    <w:p w14:paraId="394DD130">
      <w:pPr>
        <w:spacing w:line="360" w:lineRule="auto"/>
        <w:ind w:firstLine="56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30.2中标结果公告内容应当包括采购人及其委托的采购代理机构的名称、地址、联系方式，项目名称和项目编号，中标人名称、地址和中标金额，主要中标标的的名称、服务要求，中标公告期限以及评审专家名单。中标公告期限为1个工作日。</w:t>
      </w:r>
    </w:p>
    <w:p w14:paraId="0F87806B">
      <w:pPr>
        <w:spacing w:line="360" w:lineRule="auto"/>
        <w:ind w:firstLine="560"/>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在公告中标结果的同时，采购人或者采购代理机构应当向中标人发出中标通知书；对未通过资格审查的投标人，应当告知其未通过的原因。</w:t>
      </w:r>
    </w:p>
    <w:p w14:paraId="300FEF12">
      <w:pPr>
        <w:spacing w:line="360" w:lineRule="auto"/>
        <w:ind w:firstLine="56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
          <w:color w:val="auto"/>
          <w:sz w:val="28"/>
          <w:szCs w:val="28"/>
          <w:highlight w:val="none"/>
        </w:rPr>
        <w:t>30.3中标供应商应在接到通知后领取中标通知书，逾期不领取中标通知书的将视为放弃中标项目，按《政府采购货物与服务招标投标管理办法》（财政部第87号令）第七十条和供应商须知第15条的规定，对其进行相应处罚。</w:t>
      </w:r>
    </w:p>
    <w:p w14:paraId="043E6E82">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42" w:name="_Toc509822598"/>
      <w:bookmarkStart w:id="343" w:name="_Toc30705"/>
      <w:bookmarkStart w:id="344" w:name="_Toc517338618"/>
      <w:bookmarkStart w:id="345" w:name="_Toc479341589"/>
      <w:bookmarkStart w:id="346" w:name="_Toc522288482"/>
      <w:bookmarkStart w:id="347" w:name="_Toc508113544"/>
      <w:bookmarkStart w:id="348" w:name="_Toc113891935"/>
      <w:bookmarkStart w:id="349" w:name="_Toc170287652"/>
      <w:bookmarkStart w:id="350" w:name="_Toc113892447"/>
      <w:bookmarkStart w:id="351" w:name="_Toc170287304"/>
      <w:bookmarkStart w:id="352" w:name="_Toc151210147"/>
      <w:bookmarkStart w:id="353" w:name="_Toc176358355"/>
      <w:r>
        <w:rPr>
          <w:rFonts w:hint="eastAsia" w:asciiTheme="minorEastAsia" w:hAnsiTheme="minorEastAsia" w:eastAsiaTheme="minorEastAsia" w:cstheme="minorEastAsia"/>
          <w:b/>
          <w:bCs/>
          <w:color w:val="auto"/>
          <w:sz w:val="28"/>
          <w:szCs w:val="28"/>
          <w:highlight w:val="none"/>
        </w:rPr>
        <w:t>31、履约</w:t>
      </w:r>
      <w:bookmarkEnd w:id="342"/>
      <w:bookmarkEnd w:id="343"/>
      <w:bookmarkEnd w:id="344"/>
      <w:bookmarkEnd w:id="345"/>
      <w:bookmarkEnd w:id="346"/>
      <w:bookmarkEnd w:id="347"/>
      <w:r>
        <w:rPr>
          <w:rFonts w:hint="eastAsia" w:asciiTheme="minorEastAsia" w:hAnsiTheme="minorEastAsia" w:eastAsiaTheme="minorEastAsia" w:cstheme="minorEastAsia"/>
          <w:b/>
          <w:bCs/>
          <w:color w:val="auto"/>
          <w:sz w:val="28"/>
          <w:szCs w:val="28"/>
          <w:highlight w:val="none"/>
        </w:rPr>
        <w:t>担保</w:t>
      </w:r>
      <w:bookmarkEnd w:id="348"/>
      <w:bookmarkEnd w:id="349"/>
      <w:bookmarkEnd w:id="350"/>
      <w:bookmarkEnd w:id="351"/>
      <w:bookmarkEnd w:id="352"/>
      <w:bookmarkEnd w:id="353"/>
    </w:p>
    <w:p w14:paraId="3B0EE78F">
      <w:pPr>
        <w:tabs>
          <w:tab w:val="left" w:pos="108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31.1详见供应商须知前附表。 </w:t>
      </w:r>
    </w:p>
    <w:p w14:paraId="44650421">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54" w:name="_Toc113892448"/>
      <w:bookmarkStart w:id="355" w:name="_Toc113891936"/>
      <w:bookmarkStart w:id="356" w:name="_Toc176358356"/>
      <w:bookmarkStart w:id="357" w:name="_Toc508113545"/>
      <w:bookmarkStart w:id="358" w:name="_Toc509822599"/>
      <w:bookmarkStart w:id="359" w:name="_Toc170287653"/>
      <w:bookmarkStart w:id="360" w:name="_Toc522288483"/>
      <w:bookmarkStart w:id="361" w:name="_Toc479341590"/>
      <w:bookmarkStart w:id="362" w:name="_Toc170287305"/>
      <w:bookmarkStart w:id="363" w:name="_Toc517338619"/>
      <w:bookmarkStart w:id="364" w:name="_Toc151210148"/>
      <w:bookmarkStart w:id="365" w:name="_Toc31162"/>
      <w:r>
        <w:rPr>
          <w:rFonts w:hint="eastAsia" w:asciiTheme="minorEastAsia" w:hAnsiTheme="minorEastAsia" w:eastAsiaTheme="minorEastAsia" w:cstheme="minorEastAsia"/>
          <w:b/>
          <w:bCs/>
          <w:color w:val="auto"/>
          <w:sz w:val="28"/>
          <w:szCs w:val="28"/>
          <w:highlight w:val="none"/>
        </w:rPr>
        <w:t>32、签订合同</w:t>
      </w:r>
      <w:bookmarkEnd w:id="354"/>
      <w:bookmarkEnd w:id="355"/>
      <w:bookmarkEnd w:id="356"/>
      <w:bookmarkEnd w:id="357"/>
      <w:bookmarkEnd w:id="358"/>
      <w:bookmarkEnd w:id="359"/>
      <w:bookmarkEnd w:id="360"/>
      <w:bookmarkEnd w:id="361"/>
      <w:bookmarkEnd w:id="362"/>
      <w:bookmarkEnd w:id="363"/>
      <w:bookmarkEnd w:id="364"/>
      <w:bookmarkEnd w:id="365"/>
    </w:p>
    <w:p w14:paraId="7078E94A">
      <w:pPr>
        <w:tabs>
          <w:tab w:val="left" w:pos="108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bookmarkStart w:id="366" w:name="_Toc6872"/>
      <w:r>
        <w:rPr>
          <w:rFonts w:hint="eastAsia" w:asciiTheme="minorEastAsia" w:hAnsiTheme="minorEastAsia" w:eastAsiaTheme="minorEastAsia" w:cstheme="minorEastAsia"/>
          <w:color w:val="auto"/>
          <w:sz w:val="28"/>
          <w:szCs w:val="28"/>
          <w:highlight w:val="none"/>
        </w:rPr>
        <w:t>32.1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不得订立背离合同实质性内容的协议。中标供应商无正当理由拒签合同的，采购人取消其中标资格，给采购人造成损失的，中标供应商应当予以赔偿。</w:t>
      </w:r>
    </w:p>
    <w:p w14:paraId="4E71242A">
      <w:pPr>
        <w:tabs>
          <w:tab w:val="left" w:pos="1080"/>
        </w:tabs>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 xml:space="preserve">32.2发出中标通知书后，采购人无正当理由拒签合同的，给中标供应商造成损失的，应当予以赔偿。  </w:t>
      </w:r>
    </w:p>
    <w:p w14:paraId="6DB00AB4">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367" w:name="_Toc40366835"/>
      <w:bookmarkStart w:id="368" w:name="_Toc24706"/>
      <w:bookmarkStart w:id="369" w:name="_Toc176358357"/>
      <w:bookmarkStart w:id="370" w:name="_Toc96965843"/>
      <w:bookmarkStart w:id="371" w:name="_Toc455080146"/>
      <w:r>
        <w:rPr>
          <w:rFonts w:hint="eastAsia" w:asciiTheme="minorEastAsia" w:hAnsiTheme="minorEastAsia" w:eastAsiaTheme="minorEastAsia" w:cstheme="minorEastAsia"/>
          <w:b/>
          <w:bCs/>
          <w:color w:val="auto"/>
          <w:sz w:val="28"/>
          <w:szCs w:val="28"/>
          <w:highlight w:val="none"/>
        </w:rPr>
        <w:t>八、</w:t>
      </w:r>
      <w:bookmarkEnd w:id="367"/>
      <w:bookmarkEnd w:id="368"/>
      <w:bookmarkEnd w:id="369"/>
      <w:bookmarkEnd w:id="370"/>
      <w:bookmarkEnd w:id="371"/>
      <w:r>
        <w:rPr>
          <w:rFonts w:hint="eastAsia" w:asciiTheme="minorEastAsia" w:hAnsiTheme="minorEastAsia" w:eastAsiaTheme="minorEastAsia" w:cstheme="minorEastAsia"/>
          <w:b/>
          <w:color w:val="auto"/>
          <w:sz w:val="32"/>
          <w:szCs w:val="32"/>
          <w:highlight w:val="none"/>
        </w:rPr>
        <w:t>废标条件和招标方式变更</w:t>
      </w:r>
    </w:p>
    <w:p w14:paraId="47863D42">
      <w:pPr>
        <w:spacing w:line="360" w:lineRule="auto"/>
        <w:rPr>
          <w:rFonts w:hint="eastAsia" w:asciiTheme="minorEastAsia" w:hAnsiTheme="minorEastAsia" w:eastAsiaTheme="minorEastAsia" w:cstheme="minorEastAsia"/>
          <w:b/>
          <w:color w:val="auto"/>
          <w:sz w:val="28"/>
          <w:szCs w:val="28"/>
          <w:highlight w:val="none"/>
        </w:rPr>
      </w:pPr>
      <w:bookmarkStart w:id="372" w:name="_Toc113891938"/>
      <w:bookmarkStart w:id="373" w:name="_Toc16556"/>
      <w:bookmarkStart w:id="374" w:name="_Toc151210150"/>
      <w:bookmarkStart w:id="375" w:name="_Toc170287655"/>
      <w:bookmarkStart w:id="376" w:name="_Toc176358358"/>
      <w:bookmarkStart w:id="377" w:name="_Toc113892450"/>
      <w:bookmarkStart w:id="378" w:name="_Toc170287307"/>
      <w:r>
        <w:rPr>
          <w:rFonts w:hint="eastAsia" w:asciiTheme="minorEastAsia" w:hAnsiTheme="minorEastAsia" w:eastAsiaTheme="minorEastAsia" w:cstheme="minorEastAsia"/>
          <w:b/>
          <w:bCs/>
          <w:color w:val="auto"/>
          <w:sz w:val="28"/>
          <w:szCs w:val="28"/>
          <w:highlight w:val="none"/>
        </w:rPr>
        <w:t xml:space="preserve">33、 </w:t>
      </w:r>
      <w:bookmarkEnd w:id="372"/>
      <w:bookmarkEnd w:id="373"/>
      <w:bookmarkEnd w:id="374"/>
      <w:bookmarkEnd w:id="375"/>
      <w:bookmarkEnd w:id="376"/>
      <w:bookmarkEnd w:id="377"/>
      <w:bookmarkEnd w:id="378"/>
      <w:r>
        <w:rPr>
          <w:rFonts w:hint="eastAsia" w:asciiTheme="minorEastAsia" w:hAnsiTheme="minorEastAsia" w:eastAsiaTheme="minorEastAsia" w:cstheme="minorEastAsia"/>
          <w:b/>
          <w:color w:val="auto"/>
          <w:sz w:val="28"/>
          <w:szCs w:val="28"/>
          <w:highlight w:val="none"/>
        </w:rPr>
        <w:t>废标条件</w:t>
      </w:r>
    </w:p>
    <w:p w14:paraId="660C9C21">
      <w:pPr>
        <w:spacing w:line="360" w:lineRule="auto"/>
        <w:ind w:firstLine="562"/>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33.1在招标采购中，出现下列情形之一的，将予以废标：</w:t>
      </w:r>
    </w:p>
    <w:p w14:paraId="5C44D3D8">
      <w:pPr>
        <w:spacing w:line="360" w:lineRule="auto"/>
        <w:ind w:firstLine="562"/>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（一）符合专业条件的供应商或者对招标文件作实质投标的供应商不足三家的；</w:t>
      </w:r>
    </w:p>
    <w:p w14:paraId="4138F93A">
      <w:pPr>
        <w:spacing w:line="360" w:lineRule="auto"/>
        <w:ind w:firstLine="562"/>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（二）出现影响采购公正的违法、违规行为的；</w:t>
      </w:r>
    </w:p>
    <w:p w14:paraId="29E3C6D1">
      <w:pPr>
        <w:spacing w:line="360" w:lineRule="auto"/>
        <w:ind w:firstLine="562"/>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（三）供应商的报价均超过了采购预算，采购人不能支付的；</w:t>
      </w:r>
    </w:p>
    <w:p w14:paraId="1799A5BD">
      <w:pPr>
        <w:spacing w:line="360" w:lineRule="auto"/>
        <w:ind w:firstLine="562"/>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（四）因重大变故，采购任务取消的。</w:t>
      </w:r>
    </w:p>
    <w:p w14:paraId="680135D8">
      <w:pPr>
        <w:spacing w:line="360" w:lineRule="auto"/>
        <w:ind w:firstLine="562"/>
        <w:rPr>
          <w:rFonts w:hint="eastAsia" w:asciiTheme="minorEastAsia" w:hAnsiTheme="minorEastAsia" w:eastAsiaTheme="minorEastAsia" w:cstheme="minorEastAsia"/>
          <w:bCs/>
          <w:color w:val="auto"/>
          <w:sz w:val="28"/>
          <w:szCs w:val="28"/>
          <w:highlight w:val="none"/>
        </w:rPr>
      </w:pPr>
      <w:bookmarkStart w:id="379" w:name="_Toc381295025"/>
      <w:bookmarkStart w:id="380" w:name="_Toc386032345"/>
      <w:r>
        <w:rPr>
          <w:rFonts w:hint="eastAsia" w:asciiTheme="minorEastAsia" w:hAnsiTheme="minorEastAsia" w:eastAsiaTheme="minorEastAsia" w:cstheme="minorEastAsia"/>
          <w:bCs/>
          <w:color w:val="auto"/>
          <w:sz w:val="28"/>
          <w:szCs w:val="28"/>
          <w:highlight w:val="none"/>
        </w:rPr>
        <w:t>33.2</w:t>
      </w:r>
      <w:bookmarkEnd w:id="379"/>
      <w:r>
        <w:rPr>
          <w:rFonts w:hint="eastAsia" w:asciiTheme="minorEastAsia" w:hAnsiTheme="minorEastAsia" w:eastAsiaTheme="minorEastAsia" w:cstheme="minorEastAsia"/>
          <w:bCs/>
          <w:color w:val="auto"/>
          <w:sz w:val="28"/>
          <w:szCs w:val="28"/>
          <w:highlight w:val="none"/>
        </w:rPr>
        <w:t>采购方式变更</w:t>
      </w:r>
      <w:bookmarkEnd w:id="380"/>
    </w:p>
    <w:p w14:paraId="7CA554F8">
      <w:pPr>
        <w:spacing w:line="360" w:lineRule="auto"/>
        <w:ind w:firstLine="562"/>
        <w:rPr>
          <w:rFonts w:hint="eastAsia" w:asciiTheme="minorEastAsia" w:hAnsiTheme="minorEastAsia" w:eastAsiaTheme="minorEastAsia" w:cstheme="minorEastAsia"/>
          <w:bCs/>
          <w:color w:val="auto"/>
          <w:sz w:val="28"/>
          <w:szCs w:val="28"/>
          <w:highlight w:val="none"/>
        </w:rPr>
      </w:pPr>
      <w:r>
        <w:rPr>
          <w:rFonts w:hint="eastAsia" w:asciiTheme="minorEastAsia" w:hAnsiTheme="minorEastAsia" w:eastAsiaTheme="minorEastAsia" w:cstheme="minorEastAsia"/>
          <w:bCs/>
          <w:color w:val="auto"/>
          <w:sz w:val="28"/>
          <w:szCs w:val="28"/>
          <w:highlight w:val="none"/>
        </w:rPr>
        <w:t>废标后，除采购任务取消情形外，将重新组织招标；或在采购活动开始前获得设区的市、自治州以上人民政府采购监督管理部门或者政府有关部门批准，采取其他方式采购。</w:t>
      </w:r>
    </w:p>
    <w:p w14:paraId="33AAD3EA">
      <w:pPr>
        <w:spacing w:line="360" w:lineRule="auto"/>
        <w:ind w:firstLine="660" w:firstLineChars="236"/>
        <w:rPr>
          <w:rFonts w:hint="eastAsia" w:asciiTheme="minorEastAsia" w:hAnsiTheme="minorEastAsia" w:eastAsiaTheme="minorEastAsia" w:cstheme="minorEastAsia"/>
          <w:color w:val="auto"/>
          <w:sz w:val="28"/>
          <w:szCs w:val="28"/>
          <w:highlight w:val="none"/>
        </w:rPr>
      </w:pPr>
    </w:p>
    <w:bookmarkEnd w:id="366"/>
    <w:p w14:paraId="2F849027">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381" w:name="_Toc517338623"/>
      <w:bookmarkStart w:id="382" w:name="_Toc525836317"/>
      <w:bookmarkStart w:id="383" w:name="_Toc176358359"/>
      <w:bookmarkStart w:id="384" w:name="_Toc479341594"/>
      <w:bookmarkStart w:id="385" w:name="_Toc508113549"/>
      <w:bookmarkStart w:id="386" w:name="_Toc454"/>
      <w:bookmarkStart w:id="387" w:name="_Toc508873154"/>
      <w:bookmarkStart w:id="388" w:name="_Toc113891939"/>
      <w:r>
        <w:rPr>
          <w:rFonts w:hint="eastAsia" w:asciiTheme="minorEastAsia" w:hAnsiTheme="minorEastAsia" w:eastAsiaTheme="minorEastAsia" w:cstheme="minorEastAsia"/>
          <w:b/>
          <w:bCs/>
          <w:color w:val="auto"/>
          <w:sz w:val="28"/>
          <w:szCs w:val="28"/>
          <w:highlight w:val="none"/>
        </w:rPr>
        <w:t>九、纪律和监督</w:t>
      </w:r>
      <w:bookmarkEnd w:id="381"/>
      <w:bookmarkEnd w:id="382"/>
      <w:bookmarkEnd w:id="383"/>
      <w:bookmarkEnd w:id="384"/>
      <w:bookmarkEnd w:id="385"/>
      <w:bookmarkEnd w:id="386"/>
      <w:bookmarkEnd w:id="387"/>
      <w:bookmarkEnd w:id="388"/>
    </w:p>
    <w:p w14:paraId="1CCC670E">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389" w:name="_Toc522288488"/>
      <w:bookmarkStart w:id="390" w:name="_Toc517338624"/>
      <w:bookmarkStart w:id="391" w:name="_Toc113892452"/>
      <w:bookmarkStart w:id="392" w:name="_Toc509822604"/>
      <w:bookmarkStart w:id="393" w:name="_Toc10746"/>
      <w:bookmarkStart w:id="394" w:name="_Toc508113550"/>
      <w:bookmarkStart w:id="395" w:name="_Toc170287309"/>
      <w:bookmarkStart w:id="396" w:name="_Toc479341595"/>
      <w:bookmarkStart w:id="397" w:name="_Toc170287657"/>
      <w:bookmarkStart w:id="398" w:name="_Toc151210152"/>
      <w:bookmarkStart w:id="399" w:name="_Toc113891940"/>
      <w:bookmarkStart w:id="400" w:name="_Toc176358360"/>
      <w:r>
        <w:rPr>
          <w:rFonts w:hint="eastAsia" w:asciiTheme="minorEastAsia" w:hAnsiTheme="minorEastAsia" w:eastAsiaTheme="minorEastAsia" w:cstheme="minorEastAsia"/>
          <w:b/>
          <w:bCs/>
          <w:color w:val="auto"/>
          <w:sz w:val="28"/>
          <w:szCs w:val="28"/>
          <w:highlight w:val="none"/>
        </w:rPr>
        <w:t>34、对采购人的纪律要求</w:t>
      </w:r>
      <w:bookmarkEnd w:id="389"/>
      <w:bookmarkEnd w:id="390"/>
      <w:bookmarkEnd w:id="391"/>
      <w:bookmarkEnd w:id="392"/>
      <w:bookmarkEnd w:id="393"/>
      <w:bookmarkEnd w:id="394"/>
      <w:bookmarkEnd w:id="395"/>
      <w:bookmarkEnd w:id="396"/>
      <w:bookmarkEnd w:id="397"/>
      <w:bookmarkEnd w:id="398"/>
      <w:bookmarkEnd w:id="399"/>
      <w:bookmarkEnd w:id="400"/>
    </w:p>
    <w:p w14:paraId="6D42A909">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采购人不得泄漏政府采购活动中应当保密的情况和资料，不得与投标供应商串通损害国家利益、社会公共利益或者他人合法权益。</w:t>
      </w:r>
    </w:p>
    <w:p w14:paraId="33A1C432">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401" w:name="_Toc29128"/>
      <w:bookmarkStart w:id="402" w:name="_Toc479341596"/>
      <w:bookmarkStart w:id="403" w:name="_Toc522288489"/>
      <w:bookmarkStart w:id="404" w:name="_Toc113892453"/>
      <w:bookmarkStart w:id="405" w:name="_Toc176358361"/>
      <w:bookmarkStart w:id="406" w:name="_Toc170287310"/>
      <w:bookmarkStart w:id="407" w:name="_Toc170287658"/>
      <w:bookmarkStart w:id="408" w:name="_Toc508113551"/>
      <w:bookmarkStart w:id="409" w:name="_Toc113891941"/>
      <w:bookmarkStart w:id="410" w:name="_Toc517338625"/>
      <w:bookmarkStart w:id="411" w:name="_Toc151210153"/>
      <w:bookmarkStart w:id="412" w:name="_Toc509822605"/>
      <w:r>
        <w:rPr>
          <w:rFonts w:hint="eastAsia" w:asciiTheme="minorEastAsia" w:hAnsiTheme="minorEastAsia" w:eastAsiaTheme="minorEastAsia" w:cstheme="minorEastAsia"/>
          <w:b/>
          <w:bCs/>
          <w:color w:val="auto"/>
          <w:sz w:val="28"/>
          <w:szCs w:val="28"/>
          <w:highlight w:val="none"/>
        </w:rPr>
        <w:t>35、对投标供应商的纪律要求</w:t>
      </w:r>
      <w:bookmarkEnd w:id="401"/>
      <w:bookmarkEnd w:id="402"/>
      <w:bookmarkEnd w:id="403"/>
      <w:bookmarkEnd w:id="404"/>
      <w:bookmarkEnd w:id="405"/>
      <w:bookmarkEnd w:id="406"/>
      <w:bookmarkEnd w:id="407"/>
      <w:bookmarkEnd w:id="408"/>
      <w:bookmarkEnd w:id="409"/>
      <w:bookmarkEnd w:id="410"/>
      <w:bookmarkEnd w:id="411"/>
      <w:bookmarkEnd w:id="412"/>
    </w:p>
    <w:p w14:paraId="4E28607D">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458316A7">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413" w:name="_Toc508113552"/>
      <w:bookmarkStart w:id="414" w:name="_Toc151210154"/>
      <w:bookmarkStart w:id="415" w:name="_Toc2316"/>
      <w:bookmarkStart w:id="416" w:name="_Toc113891942"/>
      <w:bookmarkStart w:id="417" w:name="_Toc479341597"/>
      <w:bookmarkStart w:id="418" w:name="_Toc176358362"/>
      <w:bookmarkStart w:id="419" w:name="_Toc170287311"/>
      <w:bookmarkStart w:id="420" w:name="_Toc113892454"/>
      <w:bookmarkStart w:id="421" w:name="_Toc170287659"/>
      <w:bookmarkStart w:id="422" w:name="_Toc517338626"/>
      <w:bookmarkStart w:id="423" w:name="_Toc522288490"/>
      <w:bookmarkStart w:id="424" w:name="_Toc509822606"/>
      <w:r>
        <w:rPr>
          <w:rFonts w:hint="eastAsia" w:asciiTheme="minorEastAsia" w:hAnsiTheme="minorEastAsia" w:eastAsiaTheme="minorEastAsia" w:cstheme="minorEastAsia"/>
          <w:b/>
          <w:bCs/>
          <w:color w:val="auto"/>
          <w:sz w:val="28"/>
          <w:szCs w:val="28"/>
          <w:highlight w:val="none"/>
        </w:rPr>
        <w:t>36、对评标委员会成员的纪律要求</w:t>
      </w:r>
      <w:bookmarkEnd w:id="413"/>
      <w:bookmarkEnd w:id="414"/>
      <w:bookmarkEnd w:id="415"/>
      <w:bookmarkEnd w:id="416"/>
      <w:bookmarkEnd w:id="417"/>
      <w:bookmarkEnd w:id="418"/>
      <w:bookmarkEnd w:id="419"/>
      <w:bookmarkEnd w:id="420"/>
      <w:bookmarkEnd w:id="421"/>
      <w:bookmarkEnd w:id="422"/>
      <w:bookmarkEnd w:id="423"/>
      <w:bookmarkEnd w:id="424"/>
    </w:p>
    <w:p w14:paraId="5B6C2E04">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3章“评标办法”没有规定的评审因素和标准进行评标。</w:t>
      </w:r>
    </w:p>
    <w:p w14:paraId="2277D59F">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bookmarkStart w:id="425" w:name="_Toc517338627"/>
      <w:bookmarkStart w:id="426" w:name="_Toc170287660"/>
      <w:bookmarkStart w:id="427" w:name="_Toc113892455"/>
      <w:bookmarkStart w:id="428" w:name="_Toc113891943"/>
      <w:bookmarkStart w:id="429" w:name="_Toc522288491"/>
      <w:bookmarkStart w:id="430" w:name="_Toc170287312"/>
      <w:bookmarkStart w:id="431" w:name="_Toc508113553"/>
      <w:bookmarkStart w:id="432" w:name="_Toc10087"/>
      <w:bookmarkStart w:id="433" w:name="_Toc176358363"/>
      <w:bookmarkStart w:id="434" w:name="_Toc151210155"/>
      <w:bookmarkStart w:id="435" w:name="_Toc509822607"/>
      <w:bookmarkStart w:id="436" w:name="_Toc479341598"/>
      <w:r>
        <w:rPr>
          <w:rFonts w:hint="eastAsia" w:asciiTheme="minorEastAsia" w:hAnsiTheme="minorEastAsia" w:eastAsiaTheme="minorEastAsia" w:cstheme="minorEastAsia"/>
          <w:b/>
          <w:bCs/>
          <w:color w:val="auto"/>
          <w:sz w:val="28"/>
          <w:szCs w:val="28"/>
          <w:highlight w:val="none"/>
        </w:rPr>
        <w:t>37、对与评标活动有关的工作人员的纪律要求</w:t>
      </w:r>
      <w:bookmarkEnd w:id="425"/>
      <w:bookmarkEnd w:id="426"/>
      <w:bookmarkEnd w:id="427"/>
      <w:bookmarkEnd w:id="428"/>
      <w:bookmarkEnd w:id="429"/>
      <w:bookmarkEnd w:id="430"/>
      <w:bookmarkEnd w:id="431"/>
      <w:bookmarkEnd w:id="432"/>
      <w:bookmarkEnd w:id="433"/>
      <w:bookmarkEnd w:id="434"/>
      <w:bookmarkEnd w:id="435"/>
      <w:bookmarkEnd w:id="436"/>
    </w:p>
    <w:p w14:paraId="458CE234">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7CCFC79B">
      <w:pPr>
        <w:spacing w:line="360" w:lineRule="auto"/>
        <w:rPr>
          <w:rFonts w:hint="eastAsia" w:asciiTheme="minorEastAsia" w:hAnsiTheme="minorEastAsia" w:eastAsiaTheme="minorEastAsia" w:cstheme="minorEastAsia"/>
          <w:b/>
          <w:color w:val="auto"/>
          <w:sz w:val="28"/>
          <w:szCs w:val="28"/>
          <w:highlight w:val="none"/>
        </w:rPr>
      </w:pPr>
      <w:bookmarkStart w:id="437" w:name="_Toc170287661"/>
      <w:bookmarkStart w:id="438" w:name="_Toc176358364"/>
      <w:bookmarkStart w:id="439" w:name="_Toc113892456"/>
      <w:bookmarkStart w:id="440" w:name="_Toc170287313"/>
      <w:bookmarkStart w:id="441" w:name="_Toc113891944"/>
      <w:bookmarkStart w:id="442" w:name="_Toc151210156"/>
      <w:r>
        <w:rPr>
          <w:rFonts w:hint="eastAsia" w:asciiTheme="minorEastAsia" w:hAnsiTheme="minorEastAsia" w:eastAsiaTheme="minorEastAsia" w:cstheme="minorEastAsia"/>
          <w:b/>
          <w:color w:val="auto"/>
          <w:sz w:val="28"/>
          <w:szCs w:val="28"/>
          <w:highlight w:val="none"/>
        </w:rPr>
        <w:t>38.质疑</w:t>
      </w:r>
    </w:p>
    <w:p w14:paraId="5F34EA1F">
      <w:pPr>
        <w:snapToGrid w:val="0"/>
        <w:spacing w:line="360" w:lineRule="auto"/>
        <w:ind w:firstLine="6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38.1招标文件的质疑及答复</w:t>
      </w:r>
    </w:p>
    <w:p w14:paraId="1746C428">
      <w:pPr>
        <w:snapToGrid w:val="0"/>
        <w:spacing w:line="360" w:lineRule="auto"/>
        <w:ind w:firstLine="6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38.1.1潜在供应商已依法获取其可质疑的采购文件或者采购文件公告期限届满之日起7个工作日内提出质疑的，应当以书面形式一次性向采购人、采购代理机构提出。采购代理机构应当在收到供应商的书面质疑后7个工作日内作出答复，并以书面形式通知质疑供应商和其他有关供应商，但答复的内容不得涉及商业秘密。</w:t>
      </w:r>
    </w:p>
    <w:p w14:paraId="3F796521">
      <w:pPr>
        <w:snapToGrid w:val="0"/>
        <w:spacing w:line="360" w:lineRule="auto"/>
        <w:ind w:firstLine="6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38.1.2对采购文件提出的质疑，采购人、采购代理机构认为供应商质疑不成立，或者成立但未对成交结果构成影响的，继续开展采购活动；认为供应商质疑成立且影响或者可能影响成交结果的，依法通过澄清或者修改可以继续开展采购活动的，澄清或者修改采购文件后继续开展采购活动；否则应当修改采购文件后重新开展采购活动。</w:t>
      </w:r>
    </w:p>
    <w:p w14:paraId="208D184F">
      <w:pPr>
        <w:snapToGrid w:val="0"/>
        <w:spacing w:line="360" w:lineRule="auto"/>
        <w:ind w:firstLine="6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该澄清或者修改的内容为招标文件的组成部分。</w:t>
      </w:r>
    </w:p>
    <w:p w14:paraId="315D1D38">
      <w:pPr>
        <w:snapToGrid w:val="0"/>
        <w:spacing w:line="360" w:lineRule="auto"/>
        <w:ind w:firstLine="6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38.2采购过程、成交结果的质疑及答复</w:t>
      </w:r>
    </w:p>
    <w:p w14:paraId="0A620351">
      <w:pPr>
        <w:snapToGrid w:val="0"/>
        <w:spacing w:line="360" w:lineRule="auto"/>
        <w:ind w:firstLine="6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38.2.1参与本项目采购活动相应采购程序环节的供应商，认为采购过程或成交结果使自己的权益受到损害的，可以在知道或者应知其权益受到损害之日起七个工作日内，以书面形式一次性向采购人、采购代理机构提出针对该采购程序环节的质疑。</w:t>
      </w:r>
    </w:p>
    <w:p w14:paraId="65FD6DFC">
      <w:pPr>
        <w:snapToGrid w:val="0"/>
        <w:spacing w:line="360" w:lineRule="auto"/>
        <w:ind w:firstLine="600"/>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38.2.2采购人、采购代理机构应当在收到供应商的书面质疑后七个工作日内作出答复，并以书面形式通知质疑供应商和其他有关供应商，但答复的内容不得涉及商业秘密。采购人、采购代理机构认为供应商质疑不成立，或者成立但未对成交结果构成影响的，继续开展采购活动；认为供应商质疑成立且影响或者可能影响成交结果的，对采购过程、成交结果提出的质疑，合格供应商符合法定数量时，可以从合格的成交候选人中另行确定成交供应商的，应当依法另行确定成交供应商；否则应当重新开展采购活动。</w:t>
      </w:r>
    </w:p>
    <w:p w14:paraId="285B4CAA">
      <w:pPr>
        <w:snapToGrid w:val="0"/>
        <w:spacing w:line="360" w:lineRule="auto"/>
        <w:ind w:firstLine="560" w:firstLineChars="200"/>
        <w:jc w:val="left"/>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38.3提出质疑的供应商符合《政府采购质疑和投诉办法》财政部令第94号的相关规定（如对</w:t>
      </w:r>
      <w:r>
        <w:rPr>
          <w:rFonts w:hint="eastAsia" w:asciiTheme="minorEastAsia" w:hAnsiTheme="minorEastAsia" w:eastAsiaTheme="minorEastAsia" w:cstheme="minorEastAsia"/>
          <w:color w:val="auto"/>
          <w:kern w:val="0"/>
          <w:sz w:val="28"/>
          <w:szCs w:val="28"/>
          <w:highlight w:val="none"/>
          <w:lang w:eastAsia="zh-CN"/>
        </w:rPr>
        <w:t>采购文件</w:t>
      </w:r>
      <w:r>
        <w:rPr>
          <w:rFonts w:hint="eastAsia" w:asciiTheme="minorEastAsia" w:hAnsiTheme="minorEastAsia" w:eastAsiaTheme="minorEastAsia" w:cstheme="minorEastAsia"/>
          <w:color w:val="auto"/>
          <w:kern w:val="0"/>
          <w:sz w:val="28"/>
          <w:szCs w:val="28"/>
          <w:highlight w:val="none"/>
        </w:rPr>
        <w:t>提出质疑的，还须提供其在电子招标投标交易平台下载</w:t>
      </w:r>
      <w:r>
        <w:rPr>
          <w:rFonts w:hint="eastAsia" w:asciiTheme="minorEastAsia" w:hAnsiTheme="minorEastAsia" w:eastAsiaTheme="minorEastAsia" w:cstheme="minorEastAsia"/>
          <w:color w:val="auto"/>
          <w:kern w:val="0"/>
          <w:sz w:val="28"/>
          <w:szCs w:val="28"/>
          <w:highlight w:val="none"/>
          <w:lang w:eastAsia="zh-CN"/>
        </w:rPr>
        <w:t>采购文件</w:t>
      </w:r>
      <w:r>
        <w:rPr>
          <w:rFonts w:hint="eastAsia" w:asciiTheme="minorEastAsia" w:hAnsiTheme="minorEastAsia" w:eastAsiaTheme="minorEastAsia" w:cstheme="minorEastAsia"/>
          <w:color w:val="auto"/>
          <w:kern w:val="0"/>
          <w:sz w:val="28"/>
          <w:szCs w:val="28"/>
          <w:highlight w:val="none"/>
        </w:rPr>
        <w:t>成功的网页截图），方可提出质疑；否则，应承担对其不利的后果。</w:t>
      </w:r>
    </w:p>
    <w:p w14:paraId="54156327">
      <w:pPr>
        <w:spacing w:line="360" w:lineRule="auto"/>
        <w:ind w:firstLine="56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质疑接收：</w:t>
      </w:r>
    </w:p>
    <w:p w14:paraId="0A4D3A17">
      <w:pPr>
        <w:spacing w:line="360" w:lineRule="auto"/>
        <w:ind w:firstLine="560"/>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color w:val="auto"/>
          <w:sz w:val="28"/>
          <w:szCs w:val="28"/>
          <w:highlight w:val="none"/>
        </w:rPr>
        <w:t>接收质疑函的方式：在电子招标投标交易平台系统内进行，或者电子邮件、纸质文件（邮寄）及其他法律规定的书面形式。</w:t>
      </w:r>
    </w:p>
    <w:p w14:paraId="1085AFAC">
      <w:pPr>
        <w:keepNext/>
        <w:keepLines/>
        <w:spacing w:line="360" w:lineRule="auto"/>
        <w:jc w:val="left"/>
        <w:outlineLvl w:val="2"/>
        <w:rPr>
          <w:rFonts w:hint="eastAsia" w:asciiTheme="minorEastAsia" w:hAnsiTheme="minorEastAsia" w:eastAsiaTheme="minorEastAsia" w:cstheme="minorEastAsia"/>
          <w:b/>
          <w:bCs/>
          <w:color w:val="auto"/>
          <w:sz w:val="28"/>
          <w:szCs w:val="28"/>
          <w:highlight w:val="none"/>
        </w:rPr>
      </w:pPr>
      <w:r>
        <w:rPr>
          <w:rFonts w:hint="eastAsia" w:asciiTheme="minorEastAsia" w:hAnsiTheme="minorEastAsia" w:eastAsiaTheme="minorEastAsia" w:cstheme="minorEastAsia"/>
          <w:b/>
          <w:bCs/>
          <w:color w:val="auto"/>
          <w:sz w:val="28"/>
          <w:szCs w:val="28"/>
          <w:highlight w:val="none"/>
        </w:rPr>
        <w:t>39、投诉</w:t>
      </w:r>
      <w:bookmarkEnd w:id="437"/>
      <w:bookmarkEnd w:id="438"/>
      <w:bookmarkEnd w:id="439"/>
      <w:bookmarkEnd w:id="440"/>
      <w:bookmarkEnd w:id="441"/>
      <w:bookmarkEnd w:id="442"/>
    </w:p>
    <w:p w14:paraId="56C8FE03">
      <w:pPr>
        <w:spacing w:line="360" w:lineRule="auto"/>
        <w:ind w:firstLine="660" w:firstLineChars="236"/>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供应商和其他利害关系人认为本次招标活动违反法律、法规和规章规定的，有权向有关行政监督部门投诉。</w:t>
      </w:r>
    </w:p>
    <w:p w14:paraId="203BBBDF">
      <w:pPr>
        <w:keepNext/>
        <w:keepLines/>
        <w:spacing w:line="360" w:lineRule="auto"/>
        <w:jc w:val="center"/>
        <w:outlineLvl w:val="1"/>
        <w:rPr>
          <w:rFonts w:hint="eastAsia" w:asciiTheme="minorEastAsia" w:hAnsiTheme="minorEastAsia" w:eastAsiaTheme="minorEastAsia" w:cstheme="minorEastAsia"/>
          <w:b/>
          <w:bCs/>
          <w:color w:val="auto"/>
          <w:sz w:val="28"/>
          <w:szCs w:val="28"/>
          <w:highlight w:val="none"/>
        </w:rPr>
      </w:pPr>
      <w:bookmarkStart w:id="443" w:name="_Toc525836318"/>
      <w:bookmarkStart w:id="444" w:name="_Toc176358365"/>
      <w:r>
        <w:rPr>
          <w:rFonts w:hint="eastAsia" w:asciiTheme="minorEastAsia" w:hAnsiTheme="minorEastAsia" w:eastAsiaTheme="minorEastAsia" w:cstheme="minorEastAsia"/>
          <w:b/>
          <w:bCs/>
          <w:color w:val="auto"/>
          <w:sz w:val="28"/>
          <w:szCs w:val="28"/>
          <w:highlight w:val="none"/>
        </w:rPr>
        <w:t>十、需要补充的其他内容</w:t>
      </w:r>
      <w:bookmarkEnd w:id="443"/>
      <w:bookmarkEnd w:id="444"/>
    </w:p>
    <w:p w14:paraId="44E361FD">
      <w:pPr>
        <w:spacing w:line="360" w:lineRule="auto"/>
        <w:ind w:firstLine="560" w:firstLineChars="200"/>
        <w:jc w:val="lef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需要补充的其他内容：见供应商须知前附表。</w:t>
      </w:r>
    </w:p>
    <w:p w14:paraId="4AE311BB">
      <w:pPr>
        <w:spacing w:line="360" w:lineRule="auto"/>
        <w:ind w:firstLine="566" w:firstLineChars="236"/>
        <w:rPr>
          <w:rFonts w:hint="eastAsia" w:asciiTheme="minorEastAsia" w:hAnsiTheme="minorEastAsia" w:eastAsiaTheme="minorEastAsia" w:cstheme="minorEastAsia"/>
          <w:color w:val="auto"/>
          <w:sz w:val="24"/>
          <w:highlight w:val="none"/>
        </w:rPr>
      </w:pPr>
      <w:bookmarkStart w:id="445" w:name="_Toc176358366"/>
      <w:bookmarkStart w:id="446" w:name="_Toc108777068"/>
      <w:bookmarkStart w:id="447" w:name="_Toc108777256"/>
      <w:bookmarkStart w:id="448" w:name="_Toc108777131"/>
    </w:p>
    <w:p w14:paraId="298F1373">
      <w:pPr>
        <w:spacing w:line="360" w:lineRule="auto"/>
        <w:ind w:firstLine="602" w:firstLineChars="200"/>
        <w:jc w:val="center"/>
        <w:outlineLvl w:val="0"/>
        <w:rPr>
          <w:rFonts w:hint="eastAsia" w:asciiTheme="minorEastAsia" w:hAnsiTheme="minorEastAsia" w:eastAsiaTheme="minorEastAsia" w:cstheme="minorEastAsia"/>
          <w:b/>
          <w:bCs/>
          <w:color w:val="auto"/>
          <w:sz w:val="30"/>
          <w:szCs w:val="32"/>
          <w:highlight w:val="none"/>
          <w:shd w:val="clear" w:color="auto" w:fill="FFFFFF"/>
        </w:rPr>
        <w:sectPr>
          <w:footerReference r:id="rId11" w:type="first"/>
          <w:footerReference r:id="rId10" w:type="default"/>
          <w:pgSz w:w="11906" w:h="16838"/>
          <w:pgMar w:top="1440" w:right="1946" w:bottom="1440" w:left="1560" w:header="851" w:footer="737" w:gutter="0"/>
          <w:pgNumType w:start="1"/>
          <w:cols w:space="720" w:num="1"/>
          <w:titlePg/>
          <w:docGrid w:type="lines" w:linePitch="381" w:charSpace="0"/>
        </w:sectPr>
      </w:pPr>
    </w:p>
    <w:p w14:paraId="37D513A6">
      <w:pPr>
        <w:spacing w:line="360" w:lineRule="auto"/>
        <w:jc w:val="center"/>
        <w:outlineLvl w:val="0"/>
        <w:rPr>
          <w:rFonts w:hint="eastAsia" w:asciiTheme="minorEastAsia" w:hAnsiTheme="minorEastAsia" w:eastAsiaTheme="minorEastAsia" w:cstheme="minorEastAsia"/>
          <w:b/>
          <w:bCs/>
          <w:color w:val="auto"/>
          <w:sz w:val="30"/>
          <w:szCs w:val="32"/>
          <w:highlight w:val="none"/>
          <w:shd w:val="clear" w:color="auto" w:fill="FFFFFF"/>
        </w:rPr>
      </w:pPr>
      <w:r>
        <w:rPr>
          <w:rFonts w:hint="eastAsia" w:asciiTheme="minorEastAsia" w:hAnsiTheme="minorEastAsia" w:eastAsiaTheme="minorEastAsia" w:cstheme="minorEastAsia"/>
          <w:b/>
          <w:bCs/>
          <w:color w:val="auto"/>
          <w:sz w:val="30"/>
          <w:szCs w:val="32"/>
          <w:highlight w:val="none"/>
          <w:shd w:val="clear" w:color="auto" w:fill="FFFFFF"/>
        </w:rPr>
        <w:t>第三章  采购内容及参数要求</w:t>
      </w:r>
      <w:bookmarkEnd w:id="445"/>
      <w:bookmarkEnd w:id="446"/>
      <w:bookmarkEnd w:id="447"/>
      <w:bookmarkEnd w:id="448"/>
    </w:p>
    <w:p w14:paraId="06295FF4">
      <w:pPr>
        <w:spacing w:line="360" w:lineRule="auto"/>
        <w:ind w:firstLine="562" w:firstLineChars="200"/>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一、项目概况</w:t>
      </w:r>
    </w:p>
    <w:p w14:paraId="7CA901B2">
      <w:pPr>
        <w:spacing w:line="360" w:lineRule="auto"/>
        <w:ind w:firstLine="56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eastAsia="zh-CN"/>
        </w:rPr>
        <w:t>灵宝市教育体育局校园重点部位视频监控升级项目，对灵宝市15所义务教育中小学校校园重点部位监控设施进行升级改造，主要内容为网络摄像机、交换机、录像机、硬盘等安防设备的采购及安装、调试、验收、培训、质保期服务、与货物有关的运输和保险及其他伴随服务。</w:t>
      </w:r>
    </w:p>
    <w:p w14:paraId="14185BD8">
      <w:pPr>
        <w:widowControl/>
        <w:spacing w:line="360" w:lineRule="auto"/>
        <w:ind w:firstLine="562" w:firstLineChars="200"/>
        <w:jc w:val="left"/>
        <w:rPr>
          <w:rFonts w:hint="eastAsia" w:asciiTheme="minorEastAsia" w:hAnsiTheme="minorEastAsia" w:eastAsiaTheme="minorEastAsia" w:cstheme="minorEastAsia"/>
          <w:color w:val="auto"/>
          <w:sz w:val="22"/>
          <w:szCs w:val="24"/>
          <w:highlight w:val="none"/>
        </w:rPr>
      </w:pPr>
      <w:r>
        <w:rPr>
          <w:rFonts w:hint="eastAsia" w:asciiTheme="minorEastAsia" w:hAnsiTheme="minorEastAsia" w:eastAsiaTheme="minorEastAsia" w:cstheme="minorEastAsia"/>
          <w:b/>
          <w:bCs/>
          <w:color w:val="auto"/>
          <w:kern w:val="0"/>
          <w:sz w:val="28"/>
          <w:szCs w:val="28"/>
          <w:highlight w:val="none"/>
          <w:lang w:bidi="ar"/>
        </w:rPr>
        <w:t>★本项目核心产品为：32路录像机；</w:t>
      </w:r>
    </w:p>
    <w:p w14:paraId="4FD94A33">
      <w:pPr>
        <w:spacing w:line="360" w:lineRule="auto"/>
        <w:ind w:firstLine="562" w:firstLineChars="200"/>
        <w:rPr>
          <w:rFonts w:hint="eastAsia" w:asciiTheme="minorEastAsia" w:hAnsiTheme="minorEastAsia" w:eastAsiaTheme="minorEastAsia" w:cstheme="minorEastAsia"/>
          <w:b/>
          <w:bCs/>
          <w:color w:val="auto"/>
          <w:sz w:val="28"/>
          <w:szCs w:val="28"/>
          <w:highlight w:val="none"/>
          <w:shd w:val="clear" w:color="auto" w:fill="FFFFFF"/>
          <w:lang w:bidi="ar"/>
        </w:rPr>
      </w:pPr>
      <w:r>
        <w:rPr>
          <w:rFonts w:hint="eastAsia" w:asciiTheme="minorEastAsia" w:hAnsiTheme="minorEastAsia" w:eastAsiaTheme="minorEastAsia" w:cstheme="minorEastAsia"/>
          <w:b/>
          <w:bCs/>
          <w:color w:val="auto"/>
          <w:sz w:val="28"/>
          <w:szCs w:val="28"/>
          <w:highlight w:val="none"/>
          <w:shd w:val="clear" w:color="auto" w:fill="FFFFFF"/>
          <w:lang w:bidi="ar"/>
        </w:rPr>
        <w:t>二、采购货物参数（技术规格）及数量要求</w:t>
      </w:r>
    </w:p>
    <w:tbl>
      <w:tblPr>
        <w:tblStyle w:val="19"/>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807"/>
        <w:gridCol w:w="825"/>
        <w:gridCol w:w="7529"/>
        <w:gridCol w:w="696"/>
        <w:gridCol w:w="1176"/>
        <w:gridCol w:w="1176"/>
        <w:gridCol w:w="1176"/>
      </w:tblGrid>
      <w:tr w14:paraId="12CAB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27BB52D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4"/>
                <w:szCs w:val="24"/>
                <w:highlight w:val="none"/>
                <w:u w:val="none"/>
              </w:rPr>
            </w:pPr>
            <w:bookmarkStart w:id="449" w:name="_Toc108777257"/>
            <w:bookmarkStart w:id="450" w:name="_Toc108777069"/>
            <w:bookmarkStart w:id="451" w:name="_Toc108777132"/>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69AC448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4"/>
                <w:szCs w:val="24"/>
                <w:highlight w:val="none"/>
                <w:u w:val="none"/>
              </w:rPr>
            </w:pPr>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产品名称</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0BBC92E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4"/>
                <w:szCs w:val="24"/>
                <w:highlight w:val="none"/>
                <w:u w:val="none"/>
              </w:rPr>
            </w:pPr>
            <w: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1E41C6F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1505ADE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采购数量</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4EEFC7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单价(元)</w:t>
            </w:r>
          </w:p>
        </w:tc>
        <w:tc>
          <w:tcPr>
            <w:tcW w:w="0" w:type="auto"/>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73B183D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小计(元)</w:t>
            </w:r>
          </w:p>
        </w:tc>
      </w:tr>
      <w:tr w14:paraId="6AF1B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6C335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30046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网络摄像机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AF13A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最大分辨率2560*1440。</w:t>
            </w:r>
          </w:p>
          <w:p w14:paraId="72D2784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摄像机靶面尺寸为1/3英寸，最低照度彩色0.005lx。</w:t>
            </w:r>
          </w:p>
          <w:p w14:paraId="4DE7F13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同一静止场景相同图像质量下，设备在H.264或H.265编码方式时，开启智能编码功能和不开启智能编码相比，码率节约50％。</w:t>
            </w:r>
          </w:p>
          <w:p w14:paraId="5881F7B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具备区域入侵、越界入侵，当以上智能分析行为达到设定的阈值时，可通过客户端软件或IE浏览器给出报警提示。</w:t>
            </w:r>
          </w:p>
          <w:p w14:paraId="2F551A8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在彩色模式下，当照度降低至一定值时，可自动开启补光灯补光，在白天夜晚均可输出彩色视频图像。</w:t>
            </w:r>
          </w:p>
          <w:p w14:paraId="053B258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红外开启可识别距设备50m处的人体轮廓。</w:t>
            </w:r>
          </w:p>
          <w:p w14:paraId="50407E9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内置不少于1个麦克风。</w:t>
            </w:r>
          </w:p>
          <w:p w14:paraId="40145C9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具有不少于1个RJ45 网络接口</w:t>
            </w:r>
          </w:p>
          <w:p w14:paraId="45438F6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外壳防护能力应符合IP67要求。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511F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51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2"/>
                <w:szCs w:val="22"/>
                <w:highlight w:val="none"/>
                <w:u w:val="none"/>
                <w:lang w:val="en-US" w:eastAsia="zh-CN" w:bidi="ar"/>
              </w:rPr>
              <w:t>376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395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672.00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C1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252672.00 </w:t>
            </w:r>
          </w:p>
        </w:tc>
      </w:tr>
      <w:tr w14:paraId="11563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E884D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1C2A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网络摄像机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D7FCE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传感器类型：1/3" Progressive Scan CMOS</w:t>
            </w:r>
          </w:p>
          <w:p w14:paraId="61B8346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最低照度：彩色：0.005 Lux</w:t>
            </w:r>
          </w:p>
          <w:p w14:paraId="6EF3B47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宽动态：120 dB</w:t>
            </w:r>
          </w:p>
          <w:p w14:paraId="1B7123B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调节角度：水平：0°~360°，垂直：0°~75°，旋转：0°~360°</w:t>
            </w:r>
          </w:p>
          <w:p w14:paraId="76F5FB7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景深范围：2.8 mm: 1.4 m~∞</w:t>
            </w:r>
          </w:p>
          <w:p w14:paraId="0C2CA58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4 mm: 1.5 m~∞</w:t>
            </w:r>
          </w:p>
          <w:p w14:paraId="66FA2F6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6 mm: 3.5 m~∞</w:t>
            </w:r>
          </w:p>
          <w:p w14:paraId="6EAA183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8 mm: 5.5 m~∞</w:t>
            </w:r>
          </w:p>
          <w:p w14:paraId="2EC0F19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焦距&amp;视场角：2.8 mm，水平视场角：98°，垂直视场角：54°，对角视场角：115°</w:t>
            </w:r>
          </w:p>
          <w:p w14:paraId="578999F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4 mm，水平视场角：79°，垂直视场角：42°，对角视场角：93°</w:t>
            </w:r>
          </w:p>
          <w:p w14:paraId="192FE35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6 mm，水平视场角：49°，垂直视场角：26°，对角视场角：57°</w:t>
            </w:r>
          </w:p>
          <w:p w14:paraId="2952484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8 mm，水平视场角：38°，垂直视场角：21°，对角视场角：44°</w:t>
            </w:r>
          </w:p>
          <w:p w14:paraId="11312FF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补光灯类型：红外灯</w:t>
            </w:r>
          </w:p>
          <w:p w14:paraId="307DE56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补光距离：最远可达30 m</w:t>
            </w:r>
          </w:p>
          <w:p w14:paraId="41EDDF0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红外波长范围：850 nm</w:t>
            </w:r>
          </w:p>
          <w:p w14:paraId="681DA90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防补光过曝：支持</w:t>
            </w:r>
          </w:p>
          <w:p w14:paraId="3879ED5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最大图像尺寸：2688 × 1520（默认2560 × 1440）</w:t>
            </w:r>
          </w:p>
          <w:p w14:paraId="4ACA3CB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视频压缩标准：主码流：H.265/H.264，支持超级智能编码</w:t>
            </w:r>
          </w:p>
          <w:p w14:paraId="3B107F4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子码流：H.265/H.264/MJPEG</w:t>
            </w:r>
          </w:p>
          <w:p w14:paraId="288E66E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音频：1个内置麦克风</w:t>
            </w:r>
          </w:p>
          <w:p w14:paraId="2A1DDAE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网络：1个RJ45 10 M/100 M自适应以太网口</w:t>
            </w:r>
          </w:p>
          <w:p w14:paraId="157F913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存储温湿度：-30 ℃~60 ℃，湿度小于95%（无凝结）</w:t>
            </w:r>
          </w:p>
          <w:p w14:paraId="7761A80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恢复出厂设置：支持客户端或浏览器恢复</w:t>
            </w:r>
          </w:p>
          <w:p w14:paraId="731671C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启动及工作温湿度：-30 ℃~60 ℃，湿度小于95%（无凝结）</w:t>
            </w:r>
          </w:p>
          <w:p w14:paraId="6477EAB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供电方式：DC：12 V ± 25%，支持防反接保护</w:t>
            </w:r>
          </w:p>
          <w:p w14:paraId="4172B9B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PoE：IEEE 802.3af，Class 3</w:t>
            </w:r>
          </w:p>
          <w:p w14:paraId="4BE9EEC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电流及功耗：DC：12 V，0.42 A，最大功耗：5 W</w:t>
            </w:r>
          </w:p>
          <w:p w14:paraId="7E1EAEF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PoE：IEEE 802.3af，Class 3，最大功耗：6.5W</w:t>
            </w:r>
          </w:p>
          <w:p w14:paraId="47D9EC0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电源接口类型：Ø5.5 mm圆口</w:t>
            </w:r>
          </w:p>
          <w:p w14:paraId="425CA3E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产品尺寸：Ø127.3 × 96.8 mm</w:t>
            </w:r>
          </w:p>
          <w:p w14:paraId="2552748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包装尺寸：150 × 150 × 141 mm</w:t>
            </w:r>
          </w:p>
          <w:p w14:paraId="2218D4A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设备重量：335 g</w:t>
            </w:r>
          </w:p>
          <w:p w14:paraId="23F8BBA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带包装重量：540 g</w:t>
            </w:r>
          </w:p>
          <w:p w14:paraId="06F3076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防护：IP66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556C7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18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C4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687.00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F0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13740.00 </w:t>
            </w:r>
          </w:p>
        </w:tc>
      </w:tr>
      <w:tr w14:paraId="50BE6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50B5F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770E9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球形网络摄像机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AD215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支持输出图像分辨率不低于2560×1440</w:t>
            </w:r>
          </w:p>
          <w:p w14:paraId="307C495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★支持23倍光学变焦，最大焦距110mm</w:t>
            </w:r>
          </w:p>
          <w:p w14:paraId="60052BE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水平旋转范围为360°连续旋转，垂直旋转范围为-5°~90°</w:t>
            </w:r>
          </w:p>
          <w:p w14:paraId="1DF4FD2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应具有300个预置位，设备可按照所设置的预置位完成8条巡航路径，可按照所设置轨迹完成4条模式路径；在控制云镜时，可实现RS485接口优先或RJ45网络接口优先控制功能。</w:t>
            </w:r>
          </w:p>
          <w:p w14:paraId="272A3A7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在丢包率为20%的网络环境下，仍可正常显示监视画面。</w:t>
            </w:r>
          </w:p>
          <w:p w14:paraId="4C1B694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设备应符合IP66的规定，温度65℃、-30℃，持续时间24h，试验期间设备处于工作状态，试验后设备应能正常工作。</w:t>
            </w:r>
          </w:p>
          <w:p w14:paraId="75B4133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需支持DC12V供电。</w:t>
            </w:r>
          </w:p>
          <w:p w14:paraId="338CD8E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可对镜头前盖玻璃进行加热，去除玻璃上的冰状和水状附着物。</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FE9C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C1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19</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F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2656.00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C5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50464.00 </w:t>
            </w:r>
          </w:p>
        </w:tc>
      </w:tr>
      <w:tr w14:paraId="55121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BC87C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22DBD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监控立杆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FC8D6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材质:镀锌钢管</w:t>
            </w:r>
          </w:p>
          <w:p w14:paraId="58A9163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高度: 立杆高度3.5米</w:t>
            </w:r>
          </w:p>
          <w:p w14:paraId="2E4002B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厚度:≥2. OMM</w:t>
            </w:r>
          </w:p>
          <w:p w14:paraId="4C27634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固定方式:螺丝</w:t>
            </w:r>
          </w:p>
          <w:p w14:paraId="736A770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安装方式:活动横臂 自由搭配</w:t>
            </w:r>
          </w:p>
          <w:p w14:paraId="053A95A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使用寿命:10年</w:t>
            </w:r>
          </w:p>
          <w:p w14:paraId="79B1C00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颜色：白色（按项目学校要求）；</w:t>
            </w:r>
          </w:p>
          <w:p w14:paraId="1302310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配件:送预埋件、顶部不锈钢球或避雷针、横臂两个、不锈钢材质防水箱一个、空开、插排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AB1D2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根</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B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FA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486.60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33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1946.40 </w:t>
            </w:r>
          </w:p>
        </w:tc>
      </w:tr>
      <w:tr w14:paraId="6512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72B58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3199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室外防水箱</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E0C58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lang w:val="en-US"/>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不锈钢材质、300×400×200 mm、配套空开和插排</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CDE8F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个</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48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CD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98.00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7D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3528.00 </w:t>
            </w:r>
          </w:p>
        </w:tc>
      </w:tr>
      <w:tr w14:paraId="76A12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35756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67DE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8口POE千兆交换机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4787C4">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配置：可用千兆PoE电口数量≥8，千兆光口数量≥2</w:t>
            </w:r>
          </w:p>
          <w:p w14:paraId="5223B7AA">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交换容量≥20Gbps，转发性能≥14.88Mpps</w:t>
            </w:r>
          </w:p>
          <w:p w14:paraId="795397B0">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工信部进网许可证，进网检测报告证明</w:t>
            </w:r>
          </w:p>
          <w:p w14:paraId="50AA20D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管理平台和手机APP展示并管理交换机的拓扑，交换机支持不同拓扑连接方式，包括网线连接、光纤连接、无线连接，支持在网络拓扑中展示交换机详情，包括基本信息、交换机性能使用信息、交换机面板状态、端口信息</w:t>
            </w:r>
          </w:p>
          <w:p w14:paraId="281B6015">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支持通过管理平台和手机APP对交换机进行远程控制、状态查看、远程升级和远程重启</w:t>
            </w:r>
          </w:p>
          <w:p w14:paraId="57DC161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支持通过管理平台和手机APP在交换机网络断开、电源故障、端口故障等异常情况时，能实时显示交换机告警内容</w:t>
            </w:r>
          </w:p>
          <w:p w14:paraId="6AFCCD87">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支持通过管理平台和手机APP对交换机的端口进行速率、流控、使能配置及实时收发速率、峰值收发速率统计</w:t>
            </w:r>
          </w:p>
          <w:p w14:paraId="37CBFFED">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支持通过管理平台和手机APP对交换机的VLAN功能进行配置</w:t>
            </w:r>
          </w:p>
          <w:p w14:paraId="2A180D16">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支持通过管理平台和手机APP对交换机进行准入配置，识别接入终端并进行终端准入管控，阻止异常终端接入</w:t>
            </w:r>
          </w:p>
          <w:p w14:paraId="6016D7CE">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支持通过管理平台和手机APP对交换机进行POE功率管理，包括监控整机/端口功率，开启/关闭POE功能，支持自适应802.3af/at供电标准，整机最大输出功率≥110W，支持POE 过载保护/过压保护功能，支持POE上电/下电功率管理功能，支持POE看门狗功能</w:t>
            </w:r>
          </w:p>
          <w:p w14:paraId="01A92FA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支持链路聚合、QoS、STP/RSTP、端口镜像、端口隔离、风暴抑制功能，支持SNMP管理、LLDP功能，支持SNMP管理、LLDP功能</w:t>
            </w:r>
          </w:p>
          <w:p w14:paraId="694BC9C0">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浪涌（冲击）抗扰度符合GB/T17626.5</w:t>
            </w:r>
          </w:p>
          <w:p w14:paraId="16ADE1F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支持工作温度范围为0℃-45℃</w:t>
            </w:r>
          </w:p>
          <w:p w14:paraId="440A1ED6">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支持64Bytes-1518Bytes下均能线速转发</w:t>
            </w:r>
          </w:p>
          <w:p w14:paraId="7E4DC783">
            <w:pPr>
              <w:spacing w:line="360" w:lineRule="auto"/>
              <w:jc w:val="left"/>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★提供至少2年原厂维保服务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176F6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A9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76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AA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798.00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E4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60648.00 </w:t>
            </w:r>
          </w:p>
        </w:tc>
      </w:tr>
      <w:tr w14:paraId="0A497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39519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E25C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千兆光纤收发器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D5242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端口：1千兆电口，1千兆光口</w:t>
            </w:r>
          </w:p>
          <w:p w14:paraId="3CC0E7F0">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尺寸（宽×高×深）：71.6 mm × 26.1 mm × 94.1 mm</w:t>
            </w:r>
          </w:p>
          <w:p w14:paraId="7072E8E5">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重量：140 g</w:t>
            </w:r>
          </w:p>
          <w:p w14:paraId="40AB7FF6">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工作温度：–30 °C - 70 °C</w:t>
            </w:r>
          </w:p>
          <w:p w14:paraId="6C5CD1D4">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工作湿度：5% - 95%(非冷凝)</w:t>
            </w:r>
          </w:p>
          <w:p w14:paraId="206F6AC2">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存储湿度：5% ～ 95%（非冷凝）</w:t>
            </w:r>
          </w:p>
          <w:p w14:paraId="024B7F24">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存储温度：–40°C ～ 85°C</w:t>
            </w:r>
          </w:p>
          <w:p w14:paraId="42A55FA8">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安装方式：桌面式，支持机框安装</w:t>
            </w:r>
          </w:p>
          <w:p w14:paraId="7C650E01">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电源规格：5 VDC 2A</w:t>
            </w:r>
          </w:p>
          <w:p w14:paraId="5D2D0C6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风扇：无风扇</w:t>
            </w:r>
          </w:p>
          <w:p w14:paraId="2676526B">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整机功耗：≤5 W</w:t>
            </w:r>
          </w:p>
          <w:p w14:paraId="0426937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光纤接口：SC</w:t>
            </w:r>
          </w:p>
          <w:p w14:paraId="252ED077">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光纤类型：单模单纤双向</w:t>
            </w:r>
          </w:p>
          <w:p w14:paraId="1C319E7F">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传输距离：20 km</w:t>
            </w:r>
          </w:p>
          <w:p w14:paraId="4A489F2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波长：Tx1550 nm/Rx1310 nm</w:t>
            </w:r>
          </w:p>
          <w:p w14:paraId="4D619100">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发射功率：–9 dBm~ –1 dBm</w:t>
            </w:r>
          </w:p>
          <w:p w14:paraId="58AEF351">
            <w:pPr>
              <w:spacing w:line="360" w:lineRule="auto"/>
              <w:jc w:val="left"/>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接收灵敏度：≤ –21 dBm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302D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对</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7F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56</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66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388.00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75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21728.00 </w:t>
            </w:r>
          </w:p>
        </w:tc>
      </w:tr>
      <w:tr w14:paraId="760B9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BDFC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976E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光缆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C7FD1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lang w:val="en-US"/>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国标铠装单模12芯，含熔接时配套的终端盒、法兰、尾纤等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8F2F2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64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4170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F4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6.86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E1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28606.20 </w:t>
            </w:r>
          </w:p>
        </w:tc>
      </w:tr>
      <w:tr w14:paraId="78AE0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9FD60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24A967">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网线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1A142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国标6类室内非屏蔽双绞线，0.57无氧铜</w:t>
            </w:r>
          </w:p>
          <w:p w14:paraId="0763071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CD06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0E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17200</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D4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2.91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956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50052.00 </w:t>
            </w:r>
          </w:p>
        </w:tc>
      </w:tr>
      <w:tr w14:paraId="427EA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26FAF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EEE8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监控电源线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FCD03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国标RVV2*1.0电源线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4B57C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米</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2EB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3041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8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2.95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7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8970.95 </w:t>
            </w:r>
          </w:p>
        </w:tc>
      </w:tr>
      <w:tr w14:paraId="5C0B0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6476C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0F8D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32路录像机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2EEB73">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具有2个HDMI接口、2个VGA接口、1个CVBS接口、2个RJ45千兆网络接口、2个USB2.0接口、2个USB3.0接口、1个RS232接口、1个RS485接口（可接入RS485键盘）、1个eSata接口；具有1路音频输入接口、2路音频输出接口、16路报警输入接口；可内置8块SATA接口硬盘</w:t>
            </w:r>
          </w:p>
          <w:p w14:paraId="7A16F003">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设备支持以文搜图功能，可通过文字语义描述，快速检索目标对象或内容；并可基于以文搜图快速检索的结果，对目标进行图搜的二次精准检索定位</w:t>
            </w:r>
          </w:p>
          <w:p w14:paraId="5C0010A3">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支持独立的以文搜图应用展示界面，默认支持全通道录像检索，且通道和时间范围可设；支持自定义选择时间范围，可快速选择1天、3天、7天</w:t>
            </w:r>
          </w:p>
          <w:p w14:paraId="2BBD4997">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支持对智能IPC上报的人体，车辆等目标进行多模态大模型的建模并生成特征模型，也可接入普通IPC分析建模</w:t>
            </w:r>
          </w:p>
          <w:p w14:paraId="10336DCD">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支持对人体、车辆、非机动车、物品、动物等类型的检索</w:t>
            </w:r>
          </w:p>
          <w:p w14:paraId="5D0E5661">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支持将搜索内容添加到历史记录，历史检索词条保持最近10条，通过直接点击该高频热词或历史记录可直接进行重复检索</w:t>
            </w:r>
          </w:p>
          <w:p w14:paraId="65599208">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设备支持独立的智能以文搜图应用模块，应用内置以文搜图高频热词，如：人的上衣颜色、下装颜色、随身物品、性别；车的颜色、类型、品牌；其他的抽烟、打电话、玩手机等，支持用户选择高频词后，设备可自动填充描述成句</w:t>
            </w:r>
          </w:p>
          <w:p w14:paraId="6673202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支持32个人脸库，库容10万张人脸图片；支持路人库，库容1万张人脸抓拍图片</w:t>
            </w:r>
          </w:p>
          <w:p w14:paraId="17BCD96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人脸库建模成功率不低于99.99%</w:t>
            </w:r>
          </w:p>
          <w:p w14:paraId="6B6976A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人脸在低头角度不超过 20°，左右侧脸不超过 45°情况下，人脸检出率不小于98%</w:t>
            </w:r>
          </w:p>
          <w:p w14:paraId="65506BF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人员签到任务支持签到墙和分组签到两种方式，支持以任务方式配置，最大支持创建32个签到任务；支持人员签到信息进度查询，支持查询签到任务的人员签到状态，支持统计总人数、已签到人数、未签到人数</w:t>
            </w:r>
          </w:p>
          <w:p w14:paraId="500407C4">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接入非智能IPC、人脸抓拍机、客流相机实现客流统计功能，支持多通道自由分组，可根据IPC点位部署的物理位置动态调整客流统计分组，同一个IPC点位支持被不同分组使用；最大支持4个客流组，每个客流组最大支持16个IPC</w:t>
            </w:r>
          </w:p>
          <w:p w14:paraId="0781E31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支持客流去重统计功能，可将一段时间某一个客流组内多次出现的人员合并为1次统计；支持跨通道去重，去重时间间隔(1～1440)分钟可设</w:t>
            </w:r>
          </w:p>
          <w:p w14:paraId="5040BC92">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★支持人员档案聚合，一人一档功能，可将陌生人自动归入到档案库，并统计和展示每个陌生人出现的次数，多次出现的陌生人，设备自动选取一张评分最高的人脸图片作为人员档案封面（★提供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w:t>
            </w:r>
          </w:p>
          <w:p w14:paraId="7CB7132A">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支持常规距离、中距离、远距离三种检测模式；根据不同的检测距离，在配置界面给出最小可检出人体目标尺寸，单个通道最多同时支持 4 种周界报警模式，每种模式最多同时支持 4 个警戒区域</w:t>
            </w:r>
          </w:p>
          <w:p w14:paraId="65FED442">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基础周界报警/大模型周界报警过滤功能，对IPC上报越界侦测报警和区域入侵报警进行去误报，在特定条件下，可去除由树叶、灯光、车辆、阴影以及小动物引起的误报。支持设置检测目标类型，包括人体、车辆</w:t>
            </w:r>
          </w:p>
          <w:p w14:paraId="660291E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周界大模型支持视频分析、图片分析、图片二次分析过滤</w:t>
            </w:r>
          </w:p>
          <w:p w14:paraId="3C593DCD">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支持手动选择开启周界大模型，启用后可将周界报警误报降低99%</w:t>
            </w:r>
          </w:p>
          <w:p w14:paraId="2AE8F87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可接入32路高空抛物行为检测摄像机，支持在预览界面实时展示高空抛物事件轨迹并弹窗回放轨迹信息</w:t>
            </w:r>
          </w:p>
          <w:p w14:paraId="36CA447D">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可通过设备本地GUI画面、电脑客户端和手机客户端展示高空抛物事件，并支持回放高空抛物轨迹信息，支持联动录像、抓图、蜂鸣报警、预置点、邮件、本地报警输出、IPC报警输出以及日志记录</w:t>
            </w:r>
          </w:p>
          <w:p w14:paraId="06A17F8A">
            <w:pPr>
              <w:spacing w:line="360" w:lineRule="auto"/>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支持将预览监视画面和回放画面进行视频冻结，通过手动和自动的方式框选人/车目标，将所选目标与数据库中的历史目标抓拍数据进行比对检索。检索结果可根据相似度或抓拍时间进行排序展示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44555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1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34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15676.00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C2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宋体" w:hAnsi="宋体" w:eastAsia="宋体" w:cs="宋体"/>
                <w:i w:val="0"/>
                <w:iCs w:val="0"/>
                <w:color w:val="auto"/>
                <w:kern w:val="0"/>
                <w:sz w:val="20"/>
                <w:szCs w:val="20"/>
                <w:highlight w:val="none"/>
                <w:u w:val="none"/>
                <w:lang w:val="en-US" w:eastAsia="zh-CN" w:bidi="ar"/>
              </w:rPr>
              <w:t xml:space="preserve">438928.00 </w:t>
            </w:r>
          </w:p>
        </w:tc>
      </w:tr>
      <w:tr w14:paraId="5821E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3F0FD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FD0D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监控硬盘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A0D8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8TB容量，3.5英寸，SATA3.0接口，5400RPM</w:t>
            </w:r>
          </w:p>
          <w:p w14:paraId="16C05F7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空气盘， CMR传统磁记录</w:t>
            </w:r>
          </w:p>
          <w:p w14:paraId="36789B1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传输速率215MB/s，流畅存储视频有效防止丢帧</w:t>
            </w:r>
          </w:p>
          <w:p w14:paraId="312480C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高级格式（AF）512e扇区技术，保障硬盘扇区4K对齐</w:t>
            </w:r>
          </w:p>
          <w:p w14:paraId="54E760C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满足数据严苛的7*24小时运行可靠性、安全性的需求</w:t>
            </w:r>
          </w:p>
          <w:p w14:paraId="50C79EB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支持3年有限质保服务</w:t>
            </w:r>
          </w:p>
          <w:p w14:paraId="2734492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适用海拔高度范围-305m至3050m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67597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块</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FC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F2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3372.00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AE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296736.00 </w:t>
            </w:r>
          </w:p>
        </w:tc>
      </w:tr>
      <w:tr w14:paraId="79956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AE9F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AC46D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监控硬盘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B2F40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16TB容量，3.5英寸，SATA3.0接口，7200RPM</w:t>
            </w:r>
          </w:p>
          <w:p w14:paraId="7DD6688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氦气盘， CMR传统磁记录</w:t>
            </w:r>
          </w:p>
          <w:p w14:paraId="15B829A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传输速率285 MB/s，流畅存储视频有效防止丢帧</w:t>
            </w:r>
          </w:p>
          <w:p w14:paraId="4A3B2E1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高级格式（AF）512e扇区技术，保障硬盘扇区4K对齐</w:t>
            </w:r>
          </w:p>
          <w:p w14:paraId="09145E7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满足数据严苛的7*24小时运行可靠性、安全性的需求</w:t>
            </w:r>
          </w:p>
          <w:p w14:paraId="70A1326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支持5年有限质保服务</w:t>
            </w:r>
          </w:p>
          <w:p w14:paraId="13B8FAB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适用海拔高度范围-305m至3050m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6D837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块</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FE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33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5500.00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07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247500.00 </w:t>
            </w:r>
          </w:p>
        </w:tc>
      </w:tr>
      <w:tr w14:paraId="0A2B8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C5A1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3EFDB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4块拼接屏套装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6DD41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55寸拼接屏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1B7C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LCD显示单元为：55“超窄边液晶屏；单元物理拼缝≤3.5mm，物理分辨率达到1920×1080，对比度达到1000：1。</w:t>
            </w:r>
          </w:p>
          <w:p w14:paraId="0FEBB94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★LCD显示单元响应时间≤8ms，显示色彩达到16.7M，亮度达到500cd/㎡，图像显示清晰度达到1000TVL。（提供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w:t>
            </w:r>
          </w:p>
          <w:p w14:paraId="6B418A8E">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LCD产品具备CCC</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认证证书</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w:t>
            </w:r>
          </w:p>
          <w:p w14:paraId="665E5E2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内置MPEG、JPEG和 Real media解码器，支持点播U盘、移动硬盘中的视频、图片、音频或文本资源。</w:t>
            </w:r>
          </w:p>
          <w:p w14:paraId="4FC49C4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屏幕支持防灼烧功能，能够有效改善液晶长时间显示静态画面时造成的残影现象。</w:t>
            </w:r>
          </w:p>
          <w:p w14:paraId="2BC7E28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拼接屏具备智能温控功能，当屏幕温度在55-60℃之间时，会提醒用户温度过高，请及时通风；当温度超过60℃，屏幕会立即进入休眠状态；等温度降至50℃以下会被唤醒或者通过遥控器主动唤醒。</w:t>
            </w:r>
          </w:p>
          <w:p w14:paraId="1CED596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支持4比3、16比9、点对点等比例显示。</w:t>
            </w:r>
          </w:p>
          <w:p w14:paraId="25E2397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内置智能系统，可快速读取显示屏信息，包括屏幕背光源、亮度、对比度、分辨率等基本信息。</w:t>
            </w:r>
          </w:p>
          <w:p w14:paraId="09D699C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支持通过客户端和软件控制屏幕，不需要遥控器的接入，实现遥控器的所有功能。</w:t>
            </w:r>
          </w:p>
          <w:p w14:paraId="4E92FAA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可通过客户端或菜单设置屏幕ID，ID属性包含行、列，实现自动分配ID。</w:t>
            </w:r>
          </w:p>
          <w:p w14:paraId="7355006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★设备支持不断电待机功能，当无任何信号输入时，设备在规定时间内自动待机节能，当有信号接入时，设备能快速开机，正常显示。待机功耗低于0.5W，提供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1F63285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套</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14:paraId="443457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14:paraId="4EF95A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45940.00 </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14:paraId="4F2331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183760.00 </w:t>
            </w:r>
          </w:p>
        </w:tc>
      </w:tr>
      <w:tr w14:paraId="7DF46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42D51">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C9543">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8D7A0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条形屏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96A2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lang w:val="en-US"/>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单红2.426米，与拼接屏同品牌</w:t>
            </w:r>
          </w:p>
        </w:tc>
        <w:tc>
          <w:tcPr>
            <w:tcW w:w="0" w:type="auto"/>
            <w:vMerge w:val="continue"/>
            <w:tcBorders>
              <w:left w:val="single" w:color="000000" w:sz="4" w:space="0"/>
              <w:right w:val="single" w:color="000000" w:sz="4" w:space="0"/>
            </w:tcBorders>
            <w:shd w:val="clear" w:color="auto" w:fill="auto"/>
            <w:vAlign w:val="center"/>
          </w:tcPr>
          <w:p w14:paraId="437764E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343DC1D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323FE6C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0436C5C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r>
      <w:tr w14:paraId="30E7E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7A327">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3200F">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28EA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4路超高清解码器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4497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采用嵌入式架构，专用Linux系统，使用DSP解码。为了设备稳定可靠运行，不得采用工控机或者PC机的X86架构。</w:t>
            </w:r>
          </w:p>
          <w:p w14:paraId="38017EC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支持2路3200W、或2路2400W、或4路1200W、或8路800W、或10路分辨率为600W、或16路400W、或32路200W、或64路100W像素的视频图像同时解码上墙，支持对主/子码流区分取流和解码显示。</w:t>
            </w:r>
          </w:p>
          <w:p w14:paraId="37ACA0A2">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支持接入MPEG4、MPEG2、H.264、MJPEG、H.265、SVAC等编码格式视频，并解码输出。</w:t>
            </w:r>
          </w:p>
          <w:p w14:paraId="4828B32E">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支持客户端软件将电脑投屏后，通过设备对电脑进行远程操作。</w:t>
            </w:r>
          </w:p>
          <w:p w14:paraId="0625DA2A">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为保证产品兼容性，需提供设备支持GB/T 28181-2022的证明。</w:t>
            </w:r>
          </w:p>
          <w:p w14:paraId="0742FB6E">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支持全部输出口同时输出3840×2160分辨率的图像。</w:t>
            </w:r>
          </w:p>
          <w:p w14:paraId="2E7ED8F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每个输出口支持任意开窗、漫游；任意1路信号显示画面可进行任意漫游、缩放；可在单屏或多屏的任意位置上叠加显示，图层最大不少于64层。</w:t>
            </w:r>
          </w:p>
          <w:p w14:paraId="58A34A79">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支持1、2、4、6、8、9、10、12、16、25、36、64画面分割显示，支持M×N≤64的任意分割。</w:t>
            </w:r>
          </w:p>
          <w:p w14:paraId="35BD3AF4">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支持不通过IP网络，通过红外遥控器实现解码图像切换、场景切换、屏幕亮度调节。</w:t>
            </w:r>
          </w:p>
          <w:p w14:paraId="2C37CA8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显控系统设备间支持信息交互功能，通过平台/客户端界面能够查看屏幕运维信息，包括使用时长、序列号、温度、亮度、显示模式，支持下发配置屏幕参数。</w:t>
            </w:r>
          </w:p>
          <w:p w14:paraId="06A0CF22">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显控系统支持通过自动识别屏幕的行列号信息，并能根据行列号信息，自动生成对应的电视墙规模和绑定输出口关系，避免手动一对一设置输出口和LCD屏幕的对应关系。</w:t>
            </w:r>
          </w:p>
          <w:p w14:paraId="2AF978AD">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显控系统支持自动检测输入源的信号类型，根据信号源类型和显示位置，自动配置信号源所在屏幕的显示场景模式。</w:t>
            </w:r>
          </w:p>
          <w:p w14:paraId="3F93DCC9">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显控系统支持远程开关机控制，实现拼接墙整墙的开关机，定时开关机操作。</w:t>
            </w:r>
          </w:p>
          <w:p w14:paraId="19741B58">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支持跨屏同步显示功能，所有跨屏信号源可同时发送至各个屏幕显示，时差小于1ms。</w:t>
            </w:r>
          </w:p>
          <w:p w14:paraId="69199C2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单个HDMI输出接口可实现40个画面分割显示，每个视频流的分辨率为1920×1080、帧率为30fps。</w:t>
            </w:r>
          </w:p>
          <w:p w14:paraId="680BB13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支持文件投屏，支持word、excel、ppt、pdf文件投屏上墙。</w:t>
            </w:r>
          </w:p>
          <w:p w14:paraId="4E78BBE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支持预布局和发送布局，用户可在软件上，预布局电视墙的显示内容，完成后一键发送，在电视墙上同步显示。</w:t>
            </w:r>
          </w:p>
          <w:p w14:paraId="0F66D84F">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支持通过客户端，实现设备与摄像机之间的双向语音对讲。</w:t>
            </w:r>
          </w:p>
          <w:p w14:paraId="63DA6D99">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支持通过客户端软件将电脑整屏、单窗口、自定义区域的图像投屏上墙，画面帧率可达30fps，分辨率为1920×1080，延迟低于90ms，可发送至多个输出接口拼接显示。</w:t>
            </w:r>
          </w:p>
          <w:p w14:paraId="52408C1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支持PC软件客户端、WEB浏览器客户端、平台客户端、移动APP客户端、可视化平台方式访问和管理样机。</w:t>
            </w:r>
          </w:p>
          <w:p w14:paraId="765D94D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支持黑白名单功能，最多可设置256个黑白名单；当设置黑白名单时，只允许白名单IP访问样机；当设置黑名单时，黑名单内IP无法访问样机。</w:t>
            </w:r>
          </w:p>
          <w:p w14:paraId="2B30909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支持通过客户端软件设置底色或底图，当无画面上墙显示时，输出显示该底色或底图；底色支持任意颜色设置；底图支持设置7680×4320及以下分辨率，最多保存8张底图。</w:t>
            </w:r>
          </w:p>
          <w:p w14:paraId="2D315E9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支持对输入的视频画面进行90°、180°、270°旋转显示。</w:t>
            </w:r>
          </w:p>
          <w:p w14:paraId="3716276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支持通过web页面进行网络模式设置，包括设置为流畅性优先、实时性优先。</w:t>
            </w:r>
          </w:p>
          <w:p w14:paraId="7C8C685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支持通过客户端软件导入和导出样机配置参数。</w:t>
            </w:r>
          </w:p>
          <w:p w14:paraId="46B4BAA1">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支持将视频图像进行轮巡输出显示，并可在客户端软件设置轮巡计划。</w:t>
            </w:r>
          </w:p>
          <w:p w14:paraId="560BE88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支持解码音频格式为G711A、G711U、 G722.1、G726-16/U/A、MPEG2-L2、MP3、 AAC-LC、PCM的文件。</w:t>
            </w:r>
          </w:p>
          <w:p w14:paraId="53676918">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烟雾检测场景：支持接入具有烟雾检测功能的前端摄像机，检测指定区域内是否有烟雾；当检测到烟雾时，可在显示画面中实时指示烟雾位置，可对前端码流里面的智能信息进行解码并显示，并触发报警弹窗、联动报警输出。</w:t>
            </w:r>
          </w:p>
          <w:p w14:paraId="52530638">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值岗检测：支持接入具有值岗检测功能的前端摄像机，支持人员是否在岗、是否玩手机、是否睡觉的检测，可对前端码流里面的智能信息进行解码并显示，并触发报警弹窗、联动报警输出。</w:t>
            </w:r>
          </w:p>
          <w:p w14:paraId="2F869EA2">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高空抛物场景：支持接入具有高空抛物检测功能的前端摄像机，支持高空抛物检测信息叠加，可对前端码流里面的智能信息进行解码并显示，并触发报警弹窗、联动报警输出。</w:t>
            </w:r>
          </w:p>
          <w:p w14:paraId="2095C977">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区域入侵场景：支持接入具有区域入侵功能的前端摄像机，支持区域入侵侦测、越界侦测、进入区域侦测、离开区域侦测，可对前端码流里面的智能信息进行解码并显示，并触发报警弹窗、联动报警输出。</w:t>
            </w:r>
          </w:p>
          <w:p w14:paraId="210E4A0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周界防范场景：支持接入具有周界防范功能的前端摄像机，支持区域入侵、越界入侵、徘徊、物品移除、物品遗留、人员聚集、停车的检测，可对前端码流里面的智能信息进行解码并显示，并触发报警弹窗、联动报警输出。</w:t>
            </w:r>
          </w:p>
          <w:p w14:paraId="5EC24369">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智能抓拍场景：持接入具有智能抓拍功能的前端摄像机，支持同时对行人、非机动车、机动车进行检测、跟踪，可对前端码流里面的智能信息进行解码并显示，并触发报警弹窗、联动报警输出。</w:t>
            </w:r>
          </w:p>
          <w:p w14:paraId="7FDA6E64">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热成像检测场景：支持热成像侦测，接入带有火点检测、船只检测、吸烟检测、温度报警功能的IPC，可对前端码流里面的智能信息进行解码并显示，并触发报警弹窗、联动报警输出。</w:t>
            </w:r>
          </w:p>
          <w:p w14:paraId="4DE8F7F1">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智慧消防场景：支持接入带有温度报警、烟雾报警、障碍物报警的智慧消防相机，可对前端码流里面的智能信息进行解码并显示，并触发报警弹窗、联动报警输出。</w:t>
            </w:r>
          </w:p>
          <w:p w14:paraId="25E0F5D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支持通过键盘控制画面上墙、点位切换、画面分割、场景切换的功能。（需搭配键盘使用）</w:t>
            </w:r>
          </w:p>
          <w:p w14:paraId="05AA9292">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可通过控制面板进行监控场景切换，最大可支持切换场景数为4个，场景切换时间≤2s，过程中无黑屏、闪屏现象。（需搭配LCD拼接屏使用）</w:t>
            </w:r>
          </w:p>
          <w:p w14:paraId="7663449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配套控制键盘1套</w:t>
            </w:r>
          </w:p>
        </w:tc>
        <w:tc>
          <w:tcPr>
            <w:tcW w:w="0" w:type="auto"/>
            <w:vMerge w:val="continue"/>
            <w:tcBorders>
              <w:left w:val="single" w:color="000000" w:sz="4" w:space="0"/>
              <w:right w:val="single" w:color="000000" w:sz="4" w:space="0"/>
            </w:tcBorders>
            <w:shd w:val="clear" w:color="auto" w:fill="auto"/>
            <w:vAlign w:val="center"/>
          </w:tcPr>
          <w:p w14:paraId="3D8F07D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1016A30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25901993">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19F83A4A">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r>
      <w:tr w14:paraId="67191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0C138">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D5076">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95EF3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附属配件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CC01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根据实际情况配置液压支架或柜体，配套线材辅材</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6AD0F5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31B79A1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706D0E7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67100B6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r>
      <w:tr w14:paraId="6AA3A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FFB4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A0F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9块拼接屏套装</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C0442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55寸拼接屏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56A53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LCD显示单元为：55“超窄边液晶屏；单元物理拼缝≤3.5mm，物理分辨率达到1920×1080，对比度达到1000：1。</w:t>
            </w:r>
          </w:p>
          <w:p w14:paraId="345812C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LCD显示单元响应时间≤8ms，显示色彩达到16.7M，亮度达到500cd/㎡，图像显示清晰度达到1000TVL。（提供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w:t>
            </w:r>
          </w:p>
          <w:p w14:paraId="2C1D2D49">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LCD产品具备CCC</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认证证书。</w:t>
            </w:r>
          </w:p>
          <w:p w14:paraId="2E74382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内置MPEG、JPEG和 Real media解码器，支持点播U盘、移动硬盘中的视频、图片、音频或文本资源。</w:t>
            </w:r>
          </w:p>
          <w:p w14:paraId="0B0526F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屏幕支持防灼烧功能，能够有效改善液晶长时间显示静态画面时造成的残影现象。</w:t>
            </w:r>
          </w:p>
          <w:p w14:paraId="6084008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拼接屏具备智能温控功能，当屏幕温度在55-60℃之间时，会提醒用户温度过高，请及时通风；当温度超过60℃，屏幕会立即进入休眠状态；等温度降至50℃以下会被唤醒或者通过遥控器主动唤醒。</w:t>
            </w:r>
          </w:p>
          <w:p w14:paraId="428C6CD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支持4比3、16比9、点对点等比例显示。</w:t>
            </w:r>
          </w:p>
          <w:p w14:paraId="42D726F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内置智能系统，可快速读取显示屏信息，包括屏幕背光源、亮度、对比度、分辨率等基本信息。</w:t>
            </w:r>
          </w:p>
          <w:p w14:paraId="472F067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支持通过客户端和软件控制屏幕，不需要遥控器的接入，实现遥控器的所有功能。</w:t>
            </w:r>
          </w:p>
          <w:p w14:paraId="7398E51D">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可通过客户端或菜单设置屏幕ID，ID属性包含行、列，实现自动分配ID。</w:t>
            </w:r>
          </w:p>
          <w:p w14:paraId="3BD9E96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设备支持不断电待机功能，当无任何信号输入时，设备在规定时间内自动待机节能，当有信号接入时，设备能快速开机，正常显示。待机功耗低于0.5W</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p>
        </w:tc>
        <w:tc>
          <w:tcPr>
            <w:tcW w:w="0" w:type="auto"/>
            <w:vMerge w:val="restart"/>
            <w:tcBorders>
              <w:top w:val="single" w:color="000000" w:sz="4" w:space="0"/>
              <w:left w:val="single" w:color="000000" w:sz="4" w:space="0"/>
              <w:right w:val="single" w:color="000000" w:sz="4" w:space="0"/>
            </w:tcBorders>
            <w:shd w:val="clear" w:color="auto" w:fill="auto"/>
            <w:vAlign w:val="center"/>
          </w:tcPr>
          <w:p w14:paraId="023A225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套</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14:paraId="3FA64C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2</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14:paraId="5DF97B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94260.00 </w:t>
            </w:r>
          </w:p>
        </w:tc>
        <w:tc>
          <w:tcPr>
            <w:tcW w:w="1176" w:type="dxa"/>
            <w:vMerge w:val="restart"/>
            <w:tcBorders>
              <w:top w:val="single" w:color="000000" w:sz="4" w:space="0"/>
              <w:left w:val="single" w:color="000000" w:sz="4" w:space="0"/>
              <w:right w:val="single" w:color="000000" w:sz="4" w:space="0"/>
            </w:tcBorders>
            <w:shd w:val="clear" w:color="auto" w:fill="auto"/>
            <w:vAlign w:val="center"/>
          </w:tcPr>
          <w:p w14:paraId="641343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188520.00 </w:t>
            </w:r>
          </w:p>
        </w:tc>
      </w:tr>
      <w:tr w14:paraId="794A3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369BA">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7CF45">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632F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条形屏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7BB3E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单红3.693米，与拼接屏同品牌</w:t>
            </w:r>
          </w:p>
        </w:tc>
        <w:tc>
          <w:tcPr>
            <w:tcW w:w="0" w:type="auto"/>
            <w:vMerge w:val="continue"/>
            <w:tcBorders>
              <w:left w:val="single" w:color="000000" w:sz="4" w:space="0"/>
              <w:right w:val="single" w:color="000000" w:sz="4" w:space="0"/>
            </w:tcBorders>
            <w:shd w:val="clear" w:color="auto" w:fill="auto"/>
            <w:vAlign w:val="center"/>
          </w:tcPr>
          <w:p w14:paraId="25780BD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2E953DB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06D5AB7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13E51CB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r>
      <w:tr w14:paraId="4E745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542F1">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B7C1F">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361C3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10路超高清解码器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79DDA2">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采用嵌入式架构，专用Linux系统，使用DSP解码。为了设备稳定可靠运行，不得采用工控机或者PC机的X86架构。</w:t>
            </w:r>
          </w:p>
          <w:p w14:paraId="2629EC2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支持5路3200W、或5路2400W、或10路1200W、或20路800W、或25路分辨率为600W、或40路400W、或80路200W、或160路100W像素的视频图像同时解码上墙，支持对主/子码流区分取流和解码显示。</w:t>
            </w:r>
          </w:p>
          <w:p w14:paraId="04CD802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支持接入MPEG4、MPEG2、H.264、MJPEG、H.265、SVAC等编码格式视频，并解码输出。</w:t>
            </w:r>
          </w:p>
          <w:p w14:paraId="28A7D79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支持客户端软件将电脑投屏后，通过设备对电脑进行远程操作。</w:t>
            </w:r>
          </w:p>
          <w:p w14:paraId="5667EE97">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为保证产品兼容性，需提供设备支持GB/T 28181-2022的证明。</w:t>
            </w:r>
          </w:p>
          <w:p w14:paraId="6528943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支持全部输出口同时输出3840×2160分辨率的图像。</w:t>
            </w:r>
          </w:p>
          <w:p w14:paraId="00B5B1A8">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每个输出口支持任意开窗、漫游；任意1路信号显示画面可进行任意漫游、缩放；可在单屏或多屏的任意位置上叠加显示，图层最大不少于64层。</w:t>
            </w:r>
          </w:p>
          <w:p w14:paraId="652C989E">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支持1、2、4、6、8、9、10、12、16、25、36、64画面分割显示，支持M×N≤64的任意分割。</w:t>
            </w:r>
          </w:p>
          <w:p w14:paraId="1BA11C4D">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支持不通过IP网络，通过红外遥控器实现解码图像切换、场景切换、屏幕亮度调节。</w:t>
            </w:r>
          </w:p>
          <w:p w14:paraId="6DDA110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显控系统设备间支持信息交互功能，通过平台/客户端界面能够查看屏幕运维信息，包括使用时长、序列号、温度、亮度、显示模式，支持下发配置屏幕参数。</w:t>
            </w:r>
          </w:p>
          <w:p w14:paraId="1725D139">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显控系统支持通过自动识别屏幕的行列号信息，并能根据行列号信息，自动生成对应的电视墙规模和绑定输出口关系，避免手动一对一设置输出口和LCD屏幕的对应关系。</w:t>
            </w:r>
          </w:p>
          <w:p w14:paraId="601893B4">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显控系统支持自动检测输入源的信号类型，根据信号源类型和显示位置，自动配置信号源所在屏幕的显示场景模式。</w:t>
            </w:r>
          </w:p>
          <w:p w14:paraId="0DAB1567">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显控系统支持远程开关机控制，实现拼接墙整墙的开关机，定时开关机操作。</w:t>
            </w:r>
          </w:p>
          <w:p w14:paraId="729B292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支持跨屏同步显示功能，所有跨屏信号源可同时发送至各个屏幕显示，时差小于1ms。</w:t>
            </w:r>
          </w:p>
          <w:p w14:paraId="66DC4DA1">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单个HDMI输出接口可实现40个画面分割显示，每个视频流的分辨率为1920×1080、帧率为30fps。</w:t>
            </w:r>
          </w:p>
          <w:p w14:paraId="52C82371">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支持文件投屏，支持word、excel、ppt、pdf文件投屏上墙。。</w:t>
            </w:r>
          </w:p>
          <w:p w14:paraId="6321D249">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支持预布局和发送布局，用户可在软件上，预布局电视墙的显示内容，完成后一键发送，在电视墙上同步显示。</w:t>
            </w:r>
          </w:p>
          <w:p w14:paraId="18B5AC4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支持通过客户端，实现设备与摄像机之间的双向语音对讲。</w:t>
            </w:r>
          </w:p>
          <w:p w14:paraId="3F548758">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支持通过客户端软件将电脑整屏、单窗口、自定义区域的图像投屏上墙，画面帧率可达30fps，分辨率为1920×1080，延迟低于90ms，可发送至多个输出接口拼接显示。</w:t>
            </w:r>
          </w:p>
          <w:p w14:paraId="45AA32D3">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支持PC软件客户端、WEB浏览器客户端、平台客户端、移动APP客户端、可视化平台方式访问和管理样机。</w:t>
            </w:r>
          </w:p>
          <w:p w14:paraId="3BA5473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支持黑白名单功能，</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最多可设置256个黑白名单</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；当设置黑白名单时，只允许白名单IP访问样机；当设置黑名单时，黑名单内IP无法访问样机。</w:t>
            </w:r>
          </w:p>
          <w:p w14:paraId="522366C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支持通过客户端软件设置底色或底图，当无画面上墙显示时，输出显示该底色或底图；底色支持任意颜色设置；底图支持设置7680×4320及以下分辨率，最多保存8张底图。</w:t>
            </w:r>
          </w:p>
          <w:p w14:paraId="34D3B555">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支持对输入的视频画面进行90°、180°、270°旋转显示。</w:t>
            </w:r>
          </w:p>
          <w:p w14:paraId="1B14B72A">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支持通过web页面进行网络模式设置，包括设置为流畅性优先、实时性优先。</w:t>
            </w:r>
          </w:p>
          <w:p w14:paraId="1E104E6C">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支持通过客户端软件导入和导出样机配置参数。</w:t>
            </w:r>
          </w:p>
          <w:p w14:paraId="36632D86">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支持将视频图像进行轮巡输出显示，并可在客户端软件设置轮巡计划。</w:t>
            </w:r>
          </w:p>
          <w:p w14:paraId="64555A1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支持解码音频格式为G711A、G711U、 G722.1、G726-16/U/A、MPEG2-L2、MP3、 AAC-LC、PCM的文件。</w:t>
            </w:r>
          </w:p>
          <w:p w14:paraId="6E805FD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烟雾检测场景：支持接入具有烟雾检测功能的前端摄像机，检测指定区域内是否有烟雾；当检测到烟雾时，可在显示画面中实时指示烟雾位置，可对前端码流里面的智能信息进行解码并显示，并触发报警弹窗、联动报警输出。</w:t>
            </w:r>
          </w:p>
          <w:p w14:paraId="3164DCF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值岗检测：支持接入具有值岗检测功能的前端摄像机，支持人员是否在岗、是否玩手机、是否睡觉的检测，可对前端码流里面的智能信息进行解码并显示，并触发报警弹窗、联动报警输出。</w:t>
            </w:r>
          </w:p>
          <w:p w14:paraId="210A38AF">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高空抛物场景：支持接入具有高空抛物检测功能的前端摄像机，支持高空抛物检测信息叠加，可对前端码流里面的智能信息进行解码并显示，并触发报警弹窗、联动报警输出。</w:t>
            </w:r>
          </w:p>
          <w:p w14:paraId="40F38964">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区域入侵场景：支持接入具有区域入侵功能的前端摄像机，支持区域入侵侦测、越界侦测、进入区域侦测、离开区域侦测，可对前端码流里面的智能信息进行解码并显示，并触发报警弹窗、联动报警输出。</w:t>
            </w:r>
          </w:p>
          <w:p w14:paraId="517DA83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周界防范场景：支持接入具有周界防范功能的前端摄像机，支持区域入侵、越界入侵、徘徊、物品移除、物品遗留、人员聚集、停车的检测，可对前端码流里面的智能信息进行解码并显示，并触发报警弹窗、联动报警输出。</w:t>
            </w:r>
          </w:p>
          <w:p w14:paraId="64426DC1">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智能抓拍场景：持接入具有智能抓拍功能的前端摄像机，支持同时对行人、非机动车、机动车进行检测、跟踪，可对前端码流里面的智能信息进行解码并显示，并触发报警弹窗、联动报警输出。</w:t>
            </w:r>
          </w:p>
          <w:p w14:paraId="7744CCFB">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热成像检测场景：支持热成像侦测，接入带有火点检测、船只检测、吸烟检测、温度报警功能的IPC，可对前端码流里面的智能信息进行解码并显示，并触发报警弹窗、联动报警输出。</w:t>
            </w:r>
          </w:p>
          <w:p w14:paraId="2601B5E1">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智慧消防场景：支持接入带有温度报警、烟雾报警、障碍物报警的智慧消防相机，可对前端码流里面的智能信息进行解码并显示，并触发报警弹窗、联动报警输出。</w:t>
            </w:r>
          </w:p>
          <w:p w14:paraId="701EB1C0">
            <w:pPr>
              <w:spacing w:line="360" w:lineRule="auto"/>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支持通过键盘控制画面上墙、点位切换、画面分割、场景切换的功能。（需搭配键盘使用）</w:t>
            </w:r>
          </w:p>
          <w:p w14:paraId="20E8483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可通过控制面板进行监控场景切换，最大可支持切换场景数为4个，场景切换时间≤2s，过程中无黑屏、闪屏现象。（需搭配LCD拼接屏使用）</w:t>
            </w:r>
          </w:p>
          <w:p w14:paraId="3C049140">
            <w:pPr>
              <w:spacing w:line="360" w:lineRule="auto"/>
              <w:jc w:val="left"/>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配套控制键盘1套</w:t>
            </w:r>
          </w:p>
        </w:tc>
        <w:tc>
          <w:tcPr>
            <w:tcW w:w="0" w:type="auto"/>
            <w:vMerge w:val="continue"/>
            <w:tcBorders>
              <w:left w:val="single" w:color="000000" w:sz="4" w:space="0"/>
              <w:right w:val="single" w:color="000000" w:sz="4" w:space="0"/>
            </w:tcBorders>
            <w:shd w:val="clear" w:color="auto" w:fill="auto"/>
            <w:vAlign w:val="center"/>
          </w:tcPr>
          <w:p w14:paraId="6E67F6B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3A8FA6B3">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26A19EA7">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right w:val="single" w:color="000000" w:sz="4" w:space="0"/>
            </w:tcBorders>
            <w:shd w:val="clear" w:color="auto" w:fill="auto"/>
            <w:vAlign w:val="center"/>
          </w:tcPr>
          <w:p w14:paraId="6ACA369A">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r>
      <w:tr w14:paraId="51C3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CD8DA">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6A0B1">
            <w:pPr>
              <w:spacing w:line="360" w:lineRule="auto"/>
              <w:jc w:val="center"/>
              <w:rPr>
                <w:rFonts w:hint="eastAsia" w:asciiTheme="minorEastAsia" w:hAnsiTheme="minorEastAsia" w:eastAsiaTheme="minorEastAsia" w:cstheme="minorEastAsia"/>
                <w:i w:val="0"/>
                <w:iCs w:val="0"/>
                <w:color w:val="auto"/>
                <w:sz w:val="24"/>
                <w:szCs w:val="24"/>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951D3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附属配件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B38AE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根据实际情况配置液压支架或柜体，配套线材辅材</w:t>
            </w: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53EE97A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12CE8296">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374C7ABB">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c>
          <w:tcPr>
            <w:tcW w:w="0" w:type="auto"/>
            <w:vMerge w:val="continue"/>
            <w:tcBorders>
              <w:left w:val="single" w:color="000000" w:sz="4" w:space="0"/>
              <w:bottom w:val="single" w:color="000000" w:sz="4" w:space="0"/>
              <w:right w:val="single" w:color="000000" w:sz="4" w:space="0"/>
            </w:tcBorders>
            <w:shd w:val="clear" w:color="auto" w:fill="auto"/>
            <w:vAlign w:val="center"/>
          </w:tcPr>
          <w:p w14:paraId="2D46C7D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p>
        </w:tc>
      </w:tr>
      <w:tr w14:paraId="559F9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6D9DD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74489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16路高清解码器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7F2EE">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视频解码格式：H.264，H.265，Smart264，Smart265，MJPEG</w:t>
            </w:r>
          </w:p>
          <w:p w14:paraId="70AD0E6D">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解码分辨率：最高3200W像素</w:t>
            </w:r>
          </w:p>
          <w:p w14:paraId="7BCE15A8">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视频解码通道：256</w:t>
            </w:r>
          </w:p>
          <w:p w14:paraId="3D1980F5">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视频解码能力：H.264/H.265：支持8路3200 W，或8路2400 W，或16路1200 W，或32路800 W，或40路600W，或64路400 W，或128路1080P，或256路720P及以下分辨率实时解码（每4个输出口一组，共享解码能力）</w:t>
            </w:r>
          </w:p>
          <w:p w14:paraId="793DE310">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 xml:space="preserve">MJPEG：16路1080P及以下分辨率实时解码 </w:t>
            </w:r>
          </w:p>
          <w:p w14:paraId="6726715B">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单口画面分割数：1,2,4,6,8,9,12,16,25,36</w:t>
            </w:r>
          </w:p>
          <w:p w14:paraId="412A8318">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 xml:space="preserve">场景数量：64 </w:t>
            </w:r>
          </w:p>
          <w:p w14:paraId="373E68B6">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视频输出分辨率：3840 × 2160@30 Hz、2560 × 1440@30 Hz、1920 × 1200@60 Hz、1920 × 1080@60 Hz、1920 × 1080@50 Hz、1680 × 1050@60 Hz、1600 × 1200@60 Hz、1280 × 1024@60 Hz、1280 × 720@60 Hz、1280 × 720@50 Hz、1024 × 768@60 Hz</w:t>
            </w:r>
          </w:p>
          <w:p w14:paraId="587949DF">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视频输出LED带载能力：单口带载260W，宽度144～4096，高度144～2160，宽度2对齐，高度2对齐</w:t>
            </w:r>
          </w:p>
          <w:p w14:paraId="08EF39F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 xml:space="preserve">视频输出接口类型：16路HDMI 1.4，支持4K </w:t>
            </w:r>
          </w:p>
          <w:p w14:paraId="45094953">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视频输入分辨率：3840×2160@30Hz、1920×1200@60Hz、1920×1080@60Hz、1920×1080@50Hz、1280×720@60Hz、1280×720@50Hz、1600×1200@60Hz、1280×960@60Hz、1680×1050@60Hz、1440×900@60Hz、1366×768@60Hz、1280×1024@60Hz、1024×768@60Hz</w:t>
            </w:r>
          </w:p>
          <w:p w14:paraId="5C9CE416">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【自定义分辨率】</w:t>
            </w:r>
          </w:p>
          <w:p w14:paraId="2C39D2D5">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1.60Hz，宽度800~1920，高度600~1200</w:t>
            </w:r>
          </w:p>
          <w:p w14:paraId="305EB933">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2.30Hz，宽度800~3840，高度600~2160</w:t>
            </w:r>
          </w:p>
          <w:p w14:paraId="5EF9726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3.宽度4对齐，高度2对齐</w:t>
            </w:r>
          </w:p>
          <w:p w14:paraId="615E37A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 xml:space="preserve">视频输入接口：2路HDMI 1.4，最大支持4K（仅奇数口） </w:t>
            </w:r>
          </w:p>
          <w:p w14:paraId="36EEE3ED">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 xml:space="preserve">音频输入接口：2路HDMI内嵌 </w:t>
            </w:r>
          </w:p>
          <w:p w14:paraId="383572EB">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音频输出接口：16路HDMI内嵌或DB15转BNC独立音频输出</w:t>
            </w:r>
          </w:p>
          <w:p w14:paraId="1112A3BF">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 xml:space="preserve">音频解码格式：G711-A，G711-U，G722.1，G726-16/U/A，MPEG，AAC-LC </w:t>
            </w:r>
          </w:p>
          <w:p w14:paraId="52F16C6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产品尺寸（宽x高x深）：440 mm × 88 mm × 321 mm</w:t>
            </w:r>
          </w:p>
          <w:p w14:paraId="14821508">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净重：≤ 6.40 Kg</w:t>
            </w:r>
          </w:p>
          <w:p w14:paraId="4F195EA4">
            <w:pPr>
              <w:spacing w:line="360" w:lineRule="auto"/>
              <w:jc w:val="left"/>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功耗：＜150 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94725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F52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D6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29120.00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D8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29120.00 </w:t>
            </w:r>
          </w:p>
        </w:tc>
      </w:tr>
      <w:tr w14:paraId="29332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2B7A6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3507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安防管理终端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FB0CB">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处理器：主频≥2.5Ghz，6核12线程，18M三级缓存</w:t>
            </w:r>
          </w:p>
          <w:p w14:paraId="50D8FD6B">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主板：≥Intel H610芯片组</w:t>
            </w:r>
          </w:p>
          <w:p w14:paraId="659A07C4">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内存：≥16GB DDR4，3200MHz频率以上，2个内存插槽，最大可扩展支持64GB DDR4内存</w:t>
            </w:r>
          </w:p>
          <w:p w14:paraId="07B7EDC1">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不小于256G SATA SSD，硬盘需与主机同一品牌；不小于1 T机械硬盘；支持SSD与HDD同时接入，支持不低于4个SATA 3.0接口，1个M.2接口</w:t>
            </w:r>
          </w:p>
          <w:p w14:paraId="725FBB83">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USB接口≥10个，其中USB3.0接口≥4个，机箱后置USB接口≥6个；1个VGA+1个HDMI+1个DP接口，主板原生接口不可使用转接口；预留DVD刻录机位置，可内嵌DVD刻录机</w:t>
            </w:r>
          </w:p>
          <w:p w14:paraId="5CB5410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配置4G显卡，支持2G、4G、6G、8G、12G独立显卡可选</w:t>
            </w:r>
          </w:p>
          <w:p w14:paraId="0929DC3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配置23.8显示器，支持选配21.5、23.8、27英寸显示器，支持1920*1080分辨率</w:t>
            </w:r>
          </w:p>
          <w:p w14:paraId="3D088FF2">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硬件可扩展性：支持扩展接2.5寸SSD硬盘，SSD硬盘容量可选配128GB、256GB、512GB、1TB；音频接口：后置1个IN接口、1个OUT接口、1个MIC接口。前置1个MIC接口、1个耳机接口。</w:t>
            </w:r>
          </w:p>
          <w:p w14:paraId="692C87C0">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操作系统兼容性：支持windows系统、UOS系统、麒麟系统、CentOS系统、Windows 7系统、LINUX系统安装；支持双系统、三系统、四系统安装</w:t>
            </w:r>
          </w:p>
          <w:p w14:paraId="6F8F3746">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硬盘断电保护：可支持硬盘数据及时还原，还原到指定还原点;支持硬盘断电保护;支持双网口绑定、双网口使用。</w:t>
            </w:r>
          </w:p>
          <w:p w14:paraId="53371587">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可支持远程开关机，支持远程唤醒。</w:t>
            </w:r>
          </w:p>
          <w:p w14:paraId="31038D7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整机品牌：支持硬盘拆卸安装;支持存储硬盘与主机同一品牌。</w:t>
            </w:r>
          </w:p>
          <w:p w14:paraId="5D6B349B">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视频功能：支持超高清4K解码实景播放;支持多显卡调度，可在相同应用里使用双显卡，双显卡同时工作。</w:t>
            </w:r>
          </w:p>
          <w:p w14:paraId="6615B409">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安防配套：支持应用软件向导式启动，支持更新升级;支持windows应用虚拟化;支持双系统同时开机同时使用;支持对操作系统进行镜像备份和恢复。</w:t>
            </w:r>
          </w:p>
          <w:p w14:paraId="5D610C17">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倍速播放：支持多窗口播放：可进行16个窗口同时1或2倍速播放，9个窗口同时4倍速播放，4个窗口同时8倍速或16倍速播放。</w:t>
            </w:r>
          </w:p>
          <w:p w14:paraId="01B3DE01">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分屏播放：系统需支持GA/T1154.2-2014中4.4.2.1规定的70种视频格式文件等多种安防视频格式文件功能，支持全屏、单屏、2分屏、4分屏、9分屏、16分屏播放。</w:t>
            </w:r>
          </w:p>
          <w:p w14:paraId="51462A2C">
            <w:pPr>
              <w:spacing w:line="360" w:lineRule="auto"/>
              <w:jc w:val="left"/>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转码能力：系统支持对GA/T1154.2-2014中4.4.2.1规定的70种视频格式文件转码成MP4，AVI，WMV，GIF。</w:t>
            </w:r>
          </w:p>
          <w:p w14:paraId="56C7C447">
            <w:pPr>
              <w:spacing w:line="360" w:lineRule="auto"/>
              <w:jc w:val="left"/>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MTBF≥35W小时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1D697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71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91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6751.00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54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27004.00 </w:t>
            </w:r>
          </w:p>
        </w:tc>
      </w:tr>
      <w:tr w14:paraId="336F4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CC516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18</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EB1F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网络防火墙</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7FF5A">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1.要求固化千兆电口数量≥8个；固化千兆光口数量≥2个；固化万兆光口数量≥2个；带机量≥1200人。</w:t>
            </w:r>
          </w:p>
          <w:p w14:paraId="565BA3F1">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2.支持并实配可插拔1TB HDD。</w:t>
            </w:r>
          </w:p>
          <w:p w14:paraId="38CFEA4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3.三层网络吞吐≥1Gbps ，最大可支持三层网络吞吐≥3Gbps ；IPS吞吐量≥2.5Gbps，最大并发连接≥50万；最大新建连接≥8.5万；</w:t>
            </w:r>
          </w:p>
          <w:p w14:paraId="5FFEDE37">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4.★支持策略模拟功能，可提供一个虚拟的策略空间来对运行创建的模拟策略，模拟策略不会对真实业务流量产生影响 ，但可以把模拟策略的执行结果与现有的真实策略的不同的处置动作进行对比展现，方便用户判断模拟策略是否会对重要业务产生不良影响，如模拟策略符合用户需求，可一键转化为真实策略</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p>
          <w:p w14:paraId="7C6AD0B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5.支持基于流量学习的方式对网内资产的互访关系进行梳理，可视化展示目标资产的端口的访问关系，包括：访问源IP、命中策略、阻断次数、最近一次阻断时间等信息；</w:t>
            </w:r>
          </w:p>
          <w:p w14:paraId="180BA41C">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6.支持自动扫描用户网内资产，自动识别资产端口和协议启用情况，结合用户资产信息生成推荐的安全防护策略；</w:t>
            </w:r>
          </w:p>
          <w:p w14:paraId="205C743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7.支持创建IP地址对象、IP地址对象组，同时支持查看IP地址对象或IP地址对象组被策略引用的情况；</w:t>
            </w:r>
          </w:p>
          <w:p w14:paraId="23F61D4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8.要求支持显示策略来源、首次创建时间、源安全区域、源地址、目的安全区域、目的地址、服务、应用、首次匹配时间、命中次数统计；</w:t>
            </w:r>
          </w:p>
          <w:p w14:paraId="08EFEAD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9.配置入侵防御、防病毒、应用识别、腾讯（安恒）联合威胁情报、URL分类特征库授权三年；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0AFD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lang w:eastAsia="zh-CN"/>
              </w:rPr>
            </w:pPr>
            <w:r>
              <w:rPr>
                <w:rFonts w:hint="eastAsia" w:asciiTheme="minorEastAsia" w:hAnsiTheme="minorEastAsia" w:eastAsiaTheme="minorEastAsia" w:cstheme="minorEastAsia"/>
                <w:i w:val="0"/>
                <w:iCs w:val="0"/>
                <w:color w:val="auto"/>
                <w:sz w:val="24"/>
                <w:szCs w:val="24"/>
                <w:highlight w:val="none"/>
                <w:u w:val="none"/>
                <w:lang w:eastAsia="zh-CN"/>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9F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F8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 xml:space="preserve">29066.00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70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 xml:space="preserve">29066.00 </w:t>
            </w:r>
          </w:p>
        </w:tc>
      </w:tr>
      <w:tr w14:paraId="0DE1D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6E6B48">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lang w:val="en-US"/>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19</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982A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核心交换机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F269C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1、交换容量≥672Gbps，转发性能≥171Mpps</w:t>
            </w:r>
          </w:p>
          <w:p w14:paraId="2CDF1615">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2、固化10/100/1000M以太网端口≥24个，10G/1G SFP+光接口≥4个；</w:t>
            </w:r>
          </w:p>
          <w:p w14:paraId="0ABCD5EF">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3、产品端口浪涌抗扰度≥10KV，即具备10KV的防雷能力；</w:t>
            </w:r>
          </w:p>
          <w:p w14:paraId="6C63E2B8">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4、支持RIP/RIPng、OSPFv2/OSPFv3等三层路由协议；</w:t>
            </w:r>
          </w:p>
          <w:p w14:paraId="78E6DAB0">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5、支持SAVI功能，可防止地址解析欺骗；</w:t>
            </w:r>
          </w:p>
          <w:p w14:paraId="1BB27183">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6、支持专门基础网络保护机制，能够限制用户向网络中发送数据包的速率，对有攻击行为的用户进行隔离，保证设备和整网的安全稳定运行。</w:t>
            </w:r>
          </w:p>
          <w:p w14:paraId="46F20084">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★7、支持虚拟化功能，可将多台物理设备虚拟化为一台逻辑设备统一管理，并且链路故障的收敛时间≤50ms；</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提供</w:t>
            </w: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国内具有检测资质的第三方检测机构检测报告）；</w:t>
            </w:r>
          </w:p>
          <w:p w14:paraId="3D9AE0F2">
            <w:pPr>
              <w:keepNext w:val="0"/>
              <w:keepLines w:val="0"/>
              <w:widowControl/>
              <w:suppressLineNumbers w:val="0"/>
              <w:spacing w:line="360" w:lineRule="auto"/>
              <w:jc w:val="left"/>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8、支持快速以太网链路检测协议，可快速检测链路的通断和光纤链路的单向性，并支持端口下的环路检测功能；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D994F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台</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7D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8</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D6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4770.00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F2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 xml:space="preserve">38160.00 </w:t>
            </w:r>
          </w:p>
        </w:tc>
      </w:tr>
      <w:tr w14:paraId="53739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727D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20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D205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rPr>
            </w:pPr>
            <w:r>
              <w:rPr>
                <w:rFonts w:hint="eastAsia" w:asciiTheme="minorEastAsia" w:hAnsiTheme="minorEastAsia" w:eastAsiaTheme="minorEastAsia" w:cstheme="minorEastAsia"/>
                <w:i w:val="0"/>
                <w:iCs w:val="0"/>
                <w:color w:val="auto"/>
                <w:kern w:val="0"/>
                <w:sz w:val="24"/>
                <w:szCs w:val="24"/>
                <w:highlight w:val="none"/>
                <w:u w:val="none"/>
                <w:lang w:val="en-US" w:eastAsia="zh-CN" w:bidi="ar"/>
              </w:rPr>
              <w:t>系统集成费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F8FE27">
            <w:pPr>
              <w:spacing w:line="360" w:lineRule="auto"/>
              <w:jc w:val="left"/>
              <w:rPr>
                <w:rFonts w:hint="eastAsia" w:asciiTheme="minorEastAsia" w:hAnsiTheme="minorEastAsia" w:eastAsiaTheme="minorEastAsia" w:cstheme="minorEastAsia"/>
                <w:i w:val="0"/>
                <w:iCs w:val="0"/>
                <w:color w:val="auto"/>
                <w:sz w:val="24"/>
                <w:szCs w:val="24"/>
                <w:highlight w:val="none"/>
                <w:u w:val="none"/>
                <w:lang w:val="en-US" w:eastAsia="zh-CN"/>
              </w:rPr>
            </w:pPr>
            <w:r>
              <w:rPr>
                <w:rFonts w:hint="eastAsia" w:asciiTheme="minorEastAsia" w:hAnsiTheme="minorEastAsia" w:eastAsiaTheme="minorEastAsia" w:cstheme="minorEastAsia"/>
                <w:i w:val="0"/>
                <w:iCs w:val="0"/>
                <w:color w:val="auto"/>
                <w:sz w:val="24"/>
                <w:szCs w:val="24"/>
                <w:highlight w:val="none"/>
                <w:u w:val="none"/>
                <w:lang w:val="en-US" w:eastAsia="zh-CN"/>
              </w:rPr>
              <w:t>1、设备安装调试；2含施工辅材；3、要求标准化施工，所有线缆必须全程穿管或走线槽保护，禁止线缆裸露敷设。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37C00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4"/>
                <w:szCs w:val="24"/>
                <w:highlight w:val="none"/>
                <w:u w:val="none"/>
                <w:lang w:val="en-US" w:eastAsia="zh-CN"/>
              </w:rPr>
            </w:pPr>
            <w:r>
              <w:rPr>
                <w:rFonts w:hint="eastAsia" w:asciiTheme="minorEastAsia" w:hAnsiTheme="minorEastAsia" w:eastAsiaTheme="minorEastAsia" w:cstheme="minorEastAsia"/>
                <w:i w:val="0"/>
                <w:iCs w:val="0"/>
                <w:color w:val="auto"/>
                <w:sz w:val="24"/>
                <w:szCs w:val="24"/>
                <w:highlight w:val="none"/>
                <w:u w:val="none"/>
                <w:lang w:val="en-US" w:eastAsia="zh-CN"/>
              </w:rPr>
              <w:t>校</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AA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15</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6C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 xml:space="preserve">9200.00 </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72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0"/>
                <w:szCs w:val="20"/>
                <w:highlight w:val="none"/>
                <w:u w:val="none"/>
                <w:lang w:val="en-US" w:eastAsia="zh-CN" w:bidi="ar"/>
              </w:rPr>
              <w:t xml:space="preserve">138000.00 </w:t>
            </w:r>
          </w:p>
        </w:tc>
      </w:tr>
    </w:tbl>
    <w:p w14:paraId="64B37927">
      <w:pPr>
        <w:pStyle w:val="27"/>
        <w:ind w:left="0" w:leftChars="0" w:firstLine="0" w:firstLineChars="0"/>
        <w:rPr>
          <w:rFonts w:hint="eastAsia" w:asciiTheme="minorEastAsia" w:hAnsiTheme="minorEastAsia" w:eastAsiaTheme="minorEastAsia" w:cstheme="minorEastAsia"/>
          <w:color w:val="auto"/>
          <w:highlight w:val="none"/>
        </w:rPr>
      </w:pPr>
    </w:p>
    <w:p w14:paraId="4B9C9BFE">
      <w:pPr>
        <w:spacing w:line="360" w:lineRule="auto"/>
        <w:outlineLvl w:val="0"/>
        <w:rPr>
          <w:rFonts w:hint="eastAsia" w:asciiTheme="minorEastAsia" w:hAnsiTheme="minorEastAsia" w:eastAsiaTheme="minorEastAsia" w:cstheme="minorEastAsia"/>
          <w:b/>
          <w:bCs/>
          <w:color w:val="auto"/>
          <w:sz w:val="24"/>
          <w:szCs w:val="24"/>
          <w:highlight w:val="none"/>
        </w:rPr>
        <w:sectPr>
          <w:pgSz w:w="16838" w:h="11906" w:orient="landscape"/>
          <w:pgMar w:top="1560" w:right="1440" w:bottom="1946" w:left="1440" w:header="851" w:footer="737" w:gutter="0"/>
          <w:cols w:space="720" w:num="1"/>
          <w:titlePg/>
          <w:docGrid w:type="lines" w:linePitch="381" w:charSpace="0"/>
        </w:sectPr>
      </w:pPr>
    </w:p>
    <w:p w14:paraId="2D6A86E9">
      <w:pPr>
        <w:spacing w:line="360" w:lineRule="auto"/>
        <w:jc w:val="center"/>
        <w:outlineLvl w:val="0"/>
        <w:rPr>
          <w:rFonts w:hint="eastAsia" w:asciiTheme="minorEastAsia" w:hAnsiTheme="minorEastAsia" w:eastAsiaTheme="minorEastAsia" w:cstheme="minorEastAsia"/>
          <w:b/>
          <w:bCs/>
          <w:color w:val="auto"/>
          <w:sz w:val="30"/>
          <w:szCs w:val="32"/>
          <w:highlight w:val="none"/>
          <w:shd w:val="clear" w:color="auto" w:fill="FFFFFF"/>
        </w:rPr>
      </w:pPr>
      <w:bookmarkStart w:id="452" w:name="_Toc176358367"/>
      <w:r>
        <w:rPr>
          <w:rFonts w:hint="eastAsia" w:asciiTheme="minorEastAsia" w:hAnsiTheme="minorEastAsia" w:eastAsiaTheme="minorEastAsia" w:cstheme="minorEastAsia"/>
          <w:b/>
          <w:bCs/>
          <w:color w:val="auto"/>
          <w:sz w:val="30"/>
          <w:szCs w:val="32"/>
          <w:highlight w:val="none"/>
          <w:shd w:val="clear" w:color="auto" w:fill="FFFFFF"/>
        </w:rPr>
        <w:t>第四章  评标办法</w:t>
      </w:r>
      <w:bookmarkEnd w:id="449"/>
      <w:bookmarkEnd w:id="450"/>
      <w:bookmarkEnd w:id="451"/>
      <w:bookmarkEnd w:id="452"/>
    </w:p>
    <w:p w14:paraId="7DEFCB8E">
      <w:pPr>
        <w:spacing w:line="360" w:lineRule="auto"/>
        <w:jc w:val="left"/>
        <w:rPr>
          <w:rFonts w:hint="eastAsia" w:asciiTheme="minorEastAsia" w:hAnsiTheme="minorEastAsia" w:eastAsiaTheme="minorEastAsia" w:cstheme="minorEastAsia"/>
          <w:b/>
          <w:color w:val="auto"/>
          <w:sz w:val="24"/>
          <w:szCs w:val="24"/>
          <w:highlight w:val="none"/>
        </w:rPr>
      </w:pPr>
      <w:bookmarkStart w:id="453" w:name="_Toc170287665"/>
      <w:bookmarkStart w:id="454" w:name="_Toc170287317"/>
      <w:bookmarkStart w:id="455" w:name="_Toc176358368"/>
      <w:r>
        <w:rPr>
          <w:rFonts w:hint="eastAsia" w:asciiTheme="minorEastAsia" w:hAnsiTheme="minorEastAsia" w:eastAsiaTheme="minorEastAsia" w:cstheme="minorEastAsia"/>
          <w:b/>
          <w:bCs/>
          <w:color w:val="auto"/>
          <w:sz w:val="24"/>
          <w:szCs w:val="32"/>
          <w:highlight w:val="none"/>
          <w:lang w:val="zh-CN" w:bidi="zh-CN"/>
        </w:rPr>
        <w:t>附件一：</w:t>
      </w:r>
      <w:bookmarkEnd w:id="453"/>
      <w:bookmarkEnd w:id="454"/>
      <w:bookmarkEnd w:id="455"/>
      <w:r>
        <w:rPr>
          <w:rFonts w:hint="eastAsia" w:asciiTheme="minorEastAsia" w:hAnsiTheme="minorEastAsia" w:eastAsiaTheme="minorEastAsia" w:cstheme="minorEastAsia"/>
          <w:b/>
          <w:bCs/>
          <w:color w:val="auto"/>
          <w:sz w:val="24"/>
          <w:szCs w:val="32"/>
          <w:highlight w:val="none"/>
          <w:lang w:bidi="zh-CN"/>
        </w:rPr>
        <w:t>初步评审</w:t>
      </w:r>
    </w:p>
    <w:p w14:paraId="5995B152">
      <w:pPr>
        <w:spacing w:line="440" w:lineRule="exact"/>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b/>
          <w:color w:val="auto"/>
          <w:kern w:val="0"/>
          <w:sz w:val="24"/>
          <w:highlight w:val="none"/>
          <w:u w:color="000000"/>
        </w:rPr>
        <w:t>评标办法前附表</w:t>
      </w:r>
    </w:p>
    <w:tbl>
      <w:tblPr>
        <w:tblStyle w:val="1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70"/>
        <w:gridCol w:w="3985"/>
        <w:gridCol w:w="3613"/>
      </w:tblGrid>
      <w:tr w14:paraId="4570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680" w:type="dxa"/>
            <w:gridSpan w:val="2"/>
            <w:vAlign w:val="center"/>
          </w:tcPr>
          <w:p w14:paraId="36D12E28">
            <w:pPr>
              <w:spacing w:line="360" w:lineRule="auto"/>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条款号</w:t>
            </w:r>
          </w:p>
        </w:tc>
        <w:tc>
          <w:tcPr>
            <w:tcW w:w="3985" w:type="dxa"/>
            <w:vAlign w:val="center"/>
          </w:tcPr>
          <w:p w14:paraId="0377DEB7">
            <w:pPr>
              <w:spacing w:line="360" w:lineRule="auto"/>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评审因素</w:t>
            </w:r>
          </w:p>
        </w:tc>
        <w:tc>
          <w:tcPr>
            <w:tcW w:w="3613" w:type="dxa"/>
            <w:vAlign w:val="center"/>
          </w:tcPr>
          <w:p w14:paraId="2F00673D">
            <w:pPr>
              <w:spacing w:line="360" w:lineRule="auto"/>
              <w:jc w:val="cente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评审标准</w:t>
            </w:r>
          </w:p>
        </w:tc>
      </w:tr>
      <w:tr w14:paraId="7155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10" w:type="dxa"/>
            <w:vMerge w:val="restart"/>
            <w:vAlign w:val="center"/>
          </w:tcPr>
          <w:p w14:paraId="15A8946E">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3.1</w:t>
            </w:r>
          </w:p>
        </w:tc>
        <w:tc>
          <w:tcPr>
            <w:tcW w:w="970" w:type="dxa"/>
            <w:vMerge w:val="restart"/>
            <w:vAlign w:val="center"/>
          </w:tcPr>
          <w:p w14:paraId="01219620">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形式评审标准</w:t>
            </w:r>
          </w:p>
        </w:tc>
        <w:tc>
          <w:tcPr>
            <w:tcW w:w="3985" w:type="dxa"/>
            <w:vAlign w:val="center"/>
          </w:tcPr>
          <w:p w14:paraId="5C88E169">
            <w:pPr>
              <w:spacing w:line="360" w:lineRule="auto"/>
              <w:jc w:val="center"/>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供应商名称</w:t>
            </w:r>
          </w:p>
        </w:tc>
        <w:tc>
          <w:tcPr>
            <w:tcW w:w="3613" w:type="dxa"/>
            <w:vAlign w:val="center"/>
          </w:tcPr>
          <w:p w14:paraId="5D2FAEC3">
            <w:pPr>
              <w:spacing w:line="360" w:lineRule="auto"/>
              <w:jc w:val="left"/>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与营业执照一致</w:t>
            </w:r>
          </w:p>
        </w:tc>
      </w:tr>
      <w:tr w14:paraId="67388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710" w:type="dxa"/>
            <w:vMerge w:val="continue"/>
            <w:vAlign w:val="center"/>
          </w:tcPr>
          <w:p w14:paraId="7F4B788C">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29C2D670">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074DC2BC">
            <w:pPr>
              <w:spacing w:line="360" w:lineRule="auto"/>
              <w:jc w:val="center"/>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签字、盖章</w:t>
            </w:r>
          </w:p>
        </w:tc>
        <w:tc>
          <w:tcPr>
            <w:tcW w:w="3613" w:type="dxa"/>
            <w:vAlign w:val="center"/>
          </w:tcPr>
          <w:p w14:paraId="0EB21729">
            <w:pPr>
              <w:spacing w:line="360" w:lineRule="auto"/>
              <w:jc w:val="left"/>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有法定代表人或其委托代理人签字或盖章并加盖单位公章</w:t>
            </w:r>
          </w:p>
        </w:tc>
      </w:tr>
      <w:tr w14:paraId="0B78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10" w:type="dxa"/>
            <w:vMerge w:val="continue"/>
            <w:vAlign w:val="center"/>
          </w:tcPr>
          <w:p w14:paraId="04670D5E">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5A973403">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56BC37FB">
            <w:pPr>
              <w:snapToGrid w:val="0"/>
              <w:spacing w:line="360" w:lineRule="auto"/>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报价唯一</w:t>
            </w:r>
          </w:p>
        </w:tc>
        <w:tc>
          <w:tcPr>
            <w:tcW w:w="3613" w:type="dxa"/>
            <w:vAlign w:val="center"/>
          </w:tcPr>
          <w:p w14:paraId="440E9919">
            <w:pPr>
              <w:snapToGrid w:val="0"/>
              <w:spacing w:line="360" w:lineRule="auto"/>
              <w:jc w:val="left"/>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只能有一个有效报价，且不超过控制价</w:t>
            </w:r>
          </w:p>
        </w:tc>
      </w:tr>
      <w:tr w14:paraId="373B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710" w:type="dxa"/>
            <w:vMerge w:val="restart"/>
            <w:vAlign w:val="center"/>
          </w:tcPr>
          <w:p w14:paraId="3A63ED39">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3.2</w:t>
            </w:r>
          </w:p>
        </w:tc>
        <w:tc>
          <w:tcPr>
            <w:tcW w:w="970" w:type="dxa"/>
            <w:vMerge w:val="restart"/>
            <w:vAlign w:val="center"/>
          </w:tcPr>
          <w:p w14:paraId="41254B2D">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资格评审标准</w:t>
            </w:r>
          </w:p>
        </w:tc>
        <w:tc>
          <w:tcPr>
            <w:tcW w:w="3985" w:type="dxa"/>
            <w:vAlign w:val="center"/>
          </w:tcPr>
          <w:p w14:paraId="3F311587">
            <w:pPr>
              <w:spacing w:line="360" w:lineRule="auto"/>
              <w:jc w:val="center"/>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sz w:val="24"/>
                <w:szCs w:val="24"/>
                <w:highlight w:val="none"/>
                <w:shd w:val="clear" w:color="auto" w:fill="FFFFFF"/>
                <w:lang w:bidi="ar"/>
              </w:rPr>
              <w:t>满足《中华人民共和国政府采购法》第二十二条规定</w:t>
            </w:r>
          </w:p>
        </w:tc>
        <w:tc>
          <w:tcPr>
            <w:tcW w:w="3613" w:type="dxa"/>
            <w:vAlign w:val="center"/>
          </w:tcPr>
          <w:p w14:paraId="448AB911">
            <w:pPr>
              <w:widowControl/>
              <w:autoSpaceDE w:val="0"/>
              <w:autoSpaceDN w:val="0"/>
              <w:adjustRightInd w:val="0"/>
              <w:spacing w:line="360" w:lineRule="auto"/>
              <w:jc w:val="left"/>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sz w:val="24"/>
                <w:highlight w:val="none"/>
              </w:rPr>
              <w:t>自行作出承诺，格式自拟</w:t>
            </w:r>
          </w:p>
        </w:tc>
      </w:tr>
      <w:tr w14:paraId="73499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710" w:type="dxa"/>
            <w:vMerge w:val="continue"/>
            <w:vAlign w:val="center"/>
          </w:tcPr>
          <w:p w14:paraId="169DE85A">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394EFC77">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358A559E">
            <w:pPr>
              <w:spacing w:line="360" w:lineRule="auto"/>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具有有效的营业执照、税务登记证、组织机构代码证（或三证合一的营业执照）</w:t>
            </w:r>
          </w:p>
        </w:tc>
        <w:tc>
          <w:tcPr>
            <w:tcW w:w="3613" w:type="dxa"/>
            <w:vAlign w:val="center"/>
          </w:tcPr>
          <w:p w14:paraId="5E54C9A2">
            <w:pPr>
              <w:widowControl/>
              <w:autoSpaceDE w:val="0"/>
              <w:autoSpaceDN w:val="0"/>
              <w:adjustRightIn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供应商应具有合法有效的营业执照（可使用电子营业执照）</w:t>
            </w:r>
          </w:p>
        </w:tc>
      </w:tr>
      <w:tr w14:paraId="3E30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10" w:type="dxa"/>
            <w:vMerge w:val="continue"/>
            <w:vAlign w:val="center"/>
          </w:tcPr>
          <w:p w14:paraId="4EF64DB9">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7C35850F">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717D17AA">
            <w:pPr>
              <w:spacing w:line="360" w:lineRule="auto"/>
              <w:jc w:val="center"/>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在人员、资金、设备及专业技术等方面具有与本项目相匹配的合同履约能力</w:t>
            </w:r>
          </w:p>
        </w:tc>
        <w:tc>
          <w:tcPr>
            <w:tcW w:w="3613" w:type="dxa"/>
            <w:vAlign w:val="center"/>
          </w:tcPr>
          <w:p w14:paraId="1C7A98BD">
            <w:pPr>
              <w:widowControl/>
              <w:autoSpaceDE w:val="0"/>
              <w:autoSpaceDN w:val="0"/>
              <w:adjustRightInd w:val="0"/>
              <w:spacing w:line="360" w:lineRule="auto"/>
              <w:jc w:val="left"/>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sz w:val="24"/>
                <w:szCs w:val="28"/>
                <w:highlight w:val="none"/>
              </w:rPr>
              <w:t>自行作出承诺，格式自拟</w:t>
            </w:r>
          </w:p>
        </w:tc>
      </w:tr>
      <w:tr w14:paraId="0D6D6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10" w:type="dxa"/>
            <w:vMerge w:val="continue"/>
            <w:vAlign w:val="center"/>
          </w:tcPr>
          <w:p w14:paraId="784CCBB2">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7719C826">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5DC558AF">
            <w:pPr>
              <w:spacing w:line="360" w:lineRule="auto"/>
              <w:jc w:val="center"/>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sz w:val="24"/>
                <w:szCs w:val="24"/>
                <w:highlight w:val="none"/>
              </w:rPr>
              <w:t>供应商须承诺本企业无商业贿赂及不正当竞争行为的承诺书</w:t>
            </w:r>
          </w:p>
        </w:tc>
        <w:tc>
          <w:tcPr>
            <w:tcW w:w="3613" w:type="dxa"/>
            <w:vAlign w:val="center"/>
          </w:tcPr>
          <w:p w14:paraId="3F282BFD">
            <w:pPr>
              <w:pStyle w:val="17"/>
              <w:spacing w:after="0" w:line="360" w:lineRule="auto"/>
              <w:ind w:firstLine="0"/>
              <w:jc w:val="left"/>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sz w:val="24"/>
                <w:highlight w:val="none"/>
              </w:rPr>
              <w:t>自行作出承诺，格式自拟</w:t>
            </w:r>
          </w:p>
        </w:tc>
      </w:tr>
      <w:tr w14:paraId="2009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0" w:type="dxa"/>
            <w:vMerge w:val="continue"/>
            <w:vAlign w:val="center"/>
          </w:tcPr>
          <w:p w14:paraId="6EDAC8D0">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444A9A36">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7814E2D7">
            <w:pPr>
              <w:spacing w:line="360" w:lineRule="auto"/>
              <w:jc w:val="center"/>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sz w:val="24"/>
                <w:szCs w:val="24"/>
                <w:highlight w:val="none"/>
              </w:rPr>
              <w:t>参加政府采购活动近三年内，在经营活动中没有重大违法记录</w:t>
            </w:r>
          </w:p>
        </w:tc>
        <w:tc>
          <w:tcPr>
            <w:tcW w:w="3613" w:type="dxa"/>
            <w:vAlign w:val="center"/>
          </w:tcPr>
          <w:p w14:paraId="75E8B4B8">
            <w:pPr>
              <w:pStyle w:val="17"/>
              <w:spacing w:after="0" w:line="360" w:lineRule="auto"/>
              <w:ind w:firstLine="0"/>
              <w:jc w:val="left"/>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sz w:val="24"/>
                <w:highlight w:val="none"/>
              </w:rPr>
              <w:t>自行作出承诺，格式自拟</w:t>
            </w:r>
          </w:p>
        </w:tc>
      </w:tr>
      <w:tr w14:paraId="07F7F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0" w:type="dxa"/>
            <w:vMerge w:val="continue"/>
            <w:vAlign w:val="center"/>
          </w:tcPr>
          <w:p w14:paraId="7CD4C1FB">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7C189C19">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1538447C">
            <w:pPr>
              <w:spacing w:line="360" w:lineRule="auto"/>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信用查询</w:t>
            </w:r>
          </w:p>
        </w:tc>
        <w:tc>
          <w:tcPr>
            <w:tcW w:w="3613" w:type="dxa"/>
            <w:vAlign w:val="center"/>
          </w:tcPr>
          <w:p w14:paraId="4490251E">
            <w:pPr>
              <w:pStyle w:val="17"/>
              <w:spacing w:after="0" w:line="360" w:lineRule="auto"/>
              <w:ind w:firstLine="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提供“中国执行信息公开网”、“信用中国”和“中国政府采购网”网站的查询信息截图，查询日期自公告发布之日起至响应文件递交截止时间前</w:t>
            </w:r>
          </w:p>
        </w:tc>
      </w:tr>
      <w:tr w14:paraId="1712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10" w:type="dxa"/>
            <w:vMerge w:val="continue"/>
            <w:vAlign w:val="center"/>
          </w:tcPr>
          <w:p w14:paraId="734E38FB">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31D107DC">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3DF80DAA">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单位负责人为同一人或者存在直接控股、管理关系的不同供应商，不得参加同一合同项下的政府采购活动</w:t>
            </w:r>
          </w:p>
        </w:tc>
        <w:tc>
          <w:tcPr>
            <w:tcW w:w="3613" w:type="dxa"/>
            <w:vAlign w:val="center"/>
          </w:tcPr>
          <w:p w14:paraId="74EE976F">
            <w:pPr>
              <w:spacing w:line="360" w:lineRule="auto"/>
              <w:jc w:val="left"/>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4"/>
                <w:highlight w:val="none"/>
              </w:rPr>
              <w:t>详见第一章“招标公告”要求</w:t>
            </w:r>
          </w:p>
        </w:tc>
      </w:tr>
      <w:tr w14:paraId="03B7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10" w:type="dxa"/>
            <w:vMerge w:val="continue"/>
            <w:vAlign w:val="center"/>
          </w:tcPr>
          <w:p w14:paraId="699F3C4C">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11B13660">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29814415">
            <w:pPr>
              <w:spacing w:line="360" w:lineRule="auto"/>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8"/>
                <w:highlight w:val="none"/>
              </w:rPr>
              <w:t>本项目不允许联合体投标</w:t>
            </w:r>
          </w:p>
        </w:tc>
        <w:tc>
          <w:tcPr>
            <w:tcW w:w="3613" w:type="dxa"/>
            <w:vAlign w:val="center"/>
          </w:tcPr>
          <w:p w14:paraId="070A6DE7">
            <w:pPr>
              <w:pStyle w:val="17"/>
              <w:spacing w:after="0" w:line="360" w:lineRule="auto"/>
              <w:ind w:firstLine="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不存在联合体投标，提供非联合体投标声明书</w:t>
            </w:r>
          </w:p>
        </w:tc>
      </w:tr>
      <w:tr w14:paraId="317A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10" w:type="dxa"/>
            <w:vMerge w:val="restart"/>
            <w:vAlign w:val="center"/>
          </w:tcPr>
          <w:p w14:paraId="54E6B117">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4"/>
                <w:highlight w:val="none"/>
                <w:u w:color="000000"/>
              </w:rPr>
              <w:t>3.3</w:t>
            </w:r>
          </w:p>
        </w:tc>
        <w:tc>
          <w:tcPr>
            <w:tcW w:w="970" w:type="dxa"/>
            <w:vMerge w:val="restart"/>
            <w:vAlign w:val="center"/>
          </w:tcPr>
          <w:p w14:paraId="77A34141">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kern w:val="0"/>
                <w:sz w:val="24"/>
                <w:szCs w:val="28"/>
                <w:highlight w:val="none"/>
              </w:rPr>
              <w:t>响应性评审标准</w:t>
            </w:r>
          </w:p>
        </w:tc>
        <w:tc>
          <w:tcPr>
            <w:tcW w:w="3985" w:type="dxa"/>
            <w:vAlign w:val="center"/>
          </w:tcPr>
          <w:p w14:paraId="393713D2">
            <w:pPr>
              <w:widowControl/>
              <w:autoSpaceDE w:val="0"/>
              <w:autoSpaceDN w:val="0"/>
              <w:adjustRightIn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投标有效期</w:t>
            </w:r>
          </w:p>
        </w:tc>
        <w:tc>
          <w:tcPr>
            <w:tcW w:w="3613" w:type="dxa"/>
            <w:vAlign w:val="center"/>
          </w:tcPr>
          <w:p w14:paraId="52916E4F">
            <w:pPr>
              <w:widowControl/>
              <w:snapToGrid w:val="0"/>
              <w:spacing w:line="360" w:lineRule="auto"/>
              <w:jc w:val="center"/>
              <w:textAlignment w:val="baseline"/>
              <w:rPr>
                <w:rFonts w:hint="eastAsia" w:asciiTheme="minorEastAsia" w:hAnsiTheme="minorEastAsia" w:eastAsiaTheme="minorEastAsia" w:cstheme="minorEastAsia"/>
                <w:color w:val="auto"/>
                <w:sz w:val="24"/>
                <w:szCs w:val="24"/>
                <w:highlight w:val="none"/>
                <w:u w:color="000000"/>
              </w:rPr>
            </w:pPr>
            <w:r>
              <w:rPr>
                <w:rFonts w:hint="eastAsia" w:asciiTheme="minorEastAsia" w:hAnsiTheme="minorEastAsia" w:eastAsiaTheme="minorEastAsia" w:cstheme="minorEastAsia"/>
                <w:color w:val="auto"/>
                <w:sz w:val="24"/>
                <w:szCs w:val="24"/>
                <w:highlight w:val="none"/>
                <w:u w:color="000000"/>
              </w:rPr>
              <w:t>投标文件递交截止之日起90</w:t>
            </w:r>
            <w:r>
              <w:rPr>
                <w:rFonts w:hint="eastAsia" w:asciiTheme="minorEastAsia" w:hAnsiTheme="minorEastAsia" w:eastAsiaTheme="minorEastAsia" w:cstheme="minorEastAsia"/>
                <w:color w:val="auto"/>
                <w:sz w:val="24"/>
                <w:szCs w:val="24"/>
                <w:highlight w:val="none"/>
                <w:u w:color="000000"/>
                <w:lang w:val="en-US" w:eastAsia="zh-CN"/>
              </w:rPr>
              <w:t>日历</w:t>
            </w:r>
            <w:r>
              <w:rPr>
                <w:rFonts w:hint="eastAsia" w:asciiTheme="minorEastAsia" w:hAnsiTheme="minorEastAsia" w:eastAsiaTheme="minorEastAsia" w:cstheme="minorEastAsia"/>
                <w:color w:val="auto"/>
                <w:sz w:val="24"/>
                <w:szCs w:val="24"/>
                <w:highlight w:val="none"/>
                <w:u w:color="000000"/>
              </w:rPr>
              <w:t>天</w:t>
            </w:r>
          </w:p>
        </w:tc>
      </w:tr>
      <w:tr w14:paraId="14B5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10" w:type="dxa"/>
            <w:vMerge w:val="continue"/>
            <w:vAlign w:val="center"/>
          </w:tcPr>
          <w:p w14:paraId="4F3A2F9A">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1052ADBB">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31F5A17F">
            <w:pPr>
              <w:widowControl/>
              <w:autoSpaceDE w:val="0"/>
              <w:autoSpaceDN w:val="0"/>
              <w:adjustRightInd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交货期</w:t>
            </w:r>
          </w:p>
        </w:tc>
        <w:tc>
          <w:tcPr>
            <w:tcW w:w="3613" w:type="dxa"/>
            <w:vAlign w:val="center"/>
          </w:tcPr>
          <w:p w14:paraId="2CC0E36A">
            <w:pPr>
              <w:autoSpaceDE w:val="0"/>
              <w:autoSpaceDN w:val="0"/>
              <w:adjustRightInd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详见第一章“招标公告”要求</w:t>
            </w:r>
          </w:p>
        </w:tc>
      </w:tr>
      <w:tr w14:paraId="1338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710" w:type="dxa"/>
            <w:vMerge w:val="continue"/>
            <w:vAlign w:val="center"/>
          </w:tcPr>
          <w:p w14:paraId="07A3E9D4">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4DF7C470">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020C38AF">
            <w:pPr>
              <w:widowControl/>
              <w:autoSpaceDE w:val="0"/>
              <w:autoSpaceDN w:val="0"/>
              <w:adjustRightInd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质保期</w:t>
            </w:r>
          </w:p>
        </w:tc>
        <w:tc>
          <w:tcPr>
            <w:tcW w:w="3613" w:type="dxa"/>
            <w:vAlign w:val="center"/>
          </w:tcPr>
          <w:p w14:paraId="05265129">
            <w:pPr>
              <w:autoSpaceDE w:val="0"/>
              <w:autoSpaceDN w:val="0"/>
              <w:adjustRightIn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详见第一章“招标公告”要求</w:t>
            </w:r>
          </w:p>
        </w:tc>
      </w:tr>
      <w:tr w14:paraId="19E07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10" w:type="dxa"/>
            <w:vMerge w:val="continue"/>
            <w:vAlign w:val="center"/>
          </w:tcPr>
          <w:p w14:paraId="3CE3C801">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970" w:type="dxa"/>
            <w:vMerge w:val="continue"/>
            <w:vAlign w:val="center"/>
          </w:tcPr>
          <w:p w14:paraId="706A6075">
            <w:pPr>
              <w:snapToGrid w:val="0"/>
              <w:spacing w:before="102" w:after="102" w:line="360" w:lineRule="auto"/>
              <w:jc w:val="center"/>
              <w:rPr>
                <w:rFonts w:hint="eastAsia" w:asciiTheme="minorEastAsia" w:hAnsiTheme="minorEastAsia" w:eastAsiaTheme="minorEastAsia" w:cstheme="minorEastAsia"/>
                <w:color w:val="auto"/>
                <w:kern w:val="0"/>
                <w:sz w:val="24"/>
                <w:szCs w:val="24"/>
                <w:highlight w:val="none"/>
                <w:u w:color="000000"/>
              </w:rPr>
            </w:pPr>
          </w:p>
        </w:tc>
        <w:tc>
          <w:tcPr>
            <w:tcW w:w="3985" w:type="dxa"/>
            <w:vAlign w:val="center"/>
          </w:tcPr>
          <w:p w14:paraId="57E15934">
            <w:pPr>
              <w:widowControl/>
              <w:autoSpaceDE w:val="0"/>
              <w:autoSpaceDN w:val="0"/>
              <w:adjustRightInd w:val="0"/>
              <w:spacing w:line="360" w:lineRule="auto"/>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质量要求</w:t>
            </w:r>
          </w:p>
        </w:tc>
        <w:tc>
          <w:tcPr>
            <w:tcW w:w="3613" w:type="dxa"/>
            <w:vAlign w:val="center"/>
          </w:tcPr>
          <w:p w14:paraId="7C6DED0D">
            <w:pPr>
              <w:widowControl/>
              <w:snapToGrid w:val="0"/>
              <w:spacing w:line="360" w:lineRule="auto"/>
              <w:jc w:val="center"/>
              <w:textAlignment w:val="baseline"/>
              <w:rPr>
                <w:rFonts w:hint="eastAsia" w:asciiTheme="minorEastAsia" w:hAnsiTheme="minorEastAsia" w:eastAsiaTheme="minorEastAsia" w:cstheme="minorEastAsia"/>
                <w:color w:val="auto"/>
                <w:kern w:val="0"/>
                <w:sz w:val="24"/>
                <w:szCs w:val="24"/>
                <w:highlight w:val="none"/>
                <w:u w:color="000000"/>
              </w:rPr>
            </w:pPr>
            <w:r>
              <w:rPr>
                <w:rFonts w:hint="eastAsia" w:asciiTheme="minorEastAsia" w:hAnsiTheme="minorEastAsia" w:eastAsiaTheme="minorEastAsia" w:cstheme="minorEastAsia"/>
                <w:color w:val="auto"/>
                <w:sz w:val="24"/>
                <w:szCs w:val="24"/>
                <w:highlight w:val="none"/>
              </w:rPr>
              <w:t>详见第一章“招标公告”要求</w:t>
            </w:r>
          </w:p>
        </w:tc>
      </w:tr>
    </w:tbl>
    <w:p w14:paraId="0D4C0483">
      <w:pPr>
        <w:spacing w:line="360" w:lineRule="auto"/>
        <w:rPr>
          <w:rFonts w:hint="eastAsia" w:asciiTheme="minorEastAsia" w:hAnsiTheme="minorEastAsia" w:eastAsiaTheme="minorEastAsia" w:cstheme="minorEastAsia"/>
          <w:b/>
          <w:color w:val="auto"/>
          <w:sz w:val="24"/>
          <w:szCs w:val="21"/>
          <w:highlight w:val="none"/>
        </w:rPr>
      </w:pPr>
      <w:r>
        <w:rPr>
          <w:rFonts w:hint="eastAsia" w:asciiTheme="minorEastAsia" w:hAnsiTheme="minorEastAsia" w:eastAsiaTheme="minorEastAsia" w:cstheme="minorEastAsia"/>
          <w:b/>
          <w:color w:val="auto"/>
          <w:sz w:val="24"/>
          <w:szCs w:val="21"/>
          <w:highlight w:val="none"/>
        </w:rPr>
        <w:t>注：以上各项初步评审因素有任意一项不符合要求的，将作无效投标处理。</w:t>
      </w:r>
    </w:p>
    <w:p w14:paraId="135E54DA">
      <w:pPr>
        <w:spacing w:line="517" w:lineRule="exact"/>
        <w:ind w:left="323" w:hanging="323" w:hangingChars="134"/>
        <w:outlineLvl w:val="1"/>
        <w:rPr>
          <w:rFonts w:hint="eastAsia" w:asciiTheme="minorEastAsia" w:hAnsiTheme="minorEastAsia" w:eastAsiaTheme="minorEastAsia" w:cstheme="minorEastAsia"/>
          <w:b/>
          <w:bCs/>
          <w:color w:val="auto"/>
          <w:sz w:val="24"/>
          <w:szCs w:val="32"/>
          <w:highlight w:val="none"/>
          <w:lang w:bidi="zh-CN"/>
        </w:rPr>
      </w:pPr>
      <w:r>
        <w:rPr>
          <w:rFonts w:hint="eastAsia" w:asciiTheme="minorEastAsia" w:hAnsiTheme="minorEastAsia" w:eastAsiaTheme="minorEastAsia" w:cstheme="minorEastAsia"/>
          <w:b/>
          <w:bCs/>
          <w:color w:val="auto"/>
          <w:sz w:val="24"/>
          <w:szCs w:val="32"/>
          <w:highlight w:val="none"/>
          <w:lang w:val="zh-CN" w:bidi="zh-CN"/>
        </w:rPr>
        <w:br w:type="page"/>
      </w:r>
      <w:bookmarkStart w:id="456" w:name="_Toc170287319"/>
      <w:bookmarkStart w:id="457" w:name="_Toc170287667"/>
      <w:bookmarkStart w:id="458" w:name="_Toc176358370"/>
      <w:r>
        <w:rPr>
          <w:rFonts w:hint="eastAsia" w:asciiTheme="minorEastAsia" w:hAnsiTheme="minorEastAsia" w:eastAsiaTheme="minorEastAsia" w:cstheme="minorEastAsia"/>
          <w:b/>
          <w:bCs/>
          <w:color w:val="auto"/>
          <w:sz w:val="24"/>
          <w:szCs w:val="32"/>
          <w:highlight w:val="none"/>
          <w:lang w:val="zh-CN" w:bidi="zh-CN"/>
        </w:rPr>
        <w:t>附件</w:t>
      </w:r>
      <w:r>
        <w:rPr>
          <w:rFonts w:hint="eastAsia" w:asciiTheme="minorEastAsia" w:hAnsiTheme="minorEastAsia" w:eastAsiaTheme="minorEastAsia" w:cstheme="minorEastAsia"/>
          <w:b/>
          <w:bCs/>
          <w:color w:val="auto"/>
          <w:sz w:val="24"/>
          <w:szCs w:val="32"/>
          <w:highlight w:val="none"/>
          <w:lang w:bidi="zh-CN"/>
        </w:rPr>
        <w:t>二</w:t>
      </w:r>
      <w:r>
        <w:rPr>
          <w:rFonts w:hint="eastAsia" w:asciiTheme="minorEastAsia" w:hAnsiTheme="minorEastAsia" w:eastAsiaTheme="minorEastAsia" w:cstheme="minorEastAsia"/>
          <w:b/>
          <w:bCs/>
          <w:color w:val="auto"/>
          <w:sz w:val="24"/>
          <w:szCs w:val="32"/>
          <w:highlight w:val="none"/>
          <w:lang w:val="zh-CN" w:bidi="zh-CN"/>
        </w:rPr>
        <w:t>：</w:t>
      </w:r>
      <w:bookmarkEnd w:id="456"/>
      <w:bookmarkEnd w:id="457"/>
      <w:bookmarkEnd w:id="458"/>
      <w:r>
        <w:rPr>
          <w:rFonts w:hint="eastAsia" w:asciiTheme="minorEastAsia" w:hAnsiTheme="minorEastAsia" w:eastAsiaTheme="minorEastAsia" w:cstheme="minorEastAsia"/>
          <w:b/>
          <w:bCs/>
          <w:color w:val="auto"/>
          <w:sz w:val="24"/>
          <w:szCs w:val="32"/>
          <w:highlight w:val="none"/>
          <w:lang w:bidi="zh-CN"/>
        </w:rPr>
        <w:t>详细评审</w:t>
      </w:r>
    </w:p>
    <w:tbl>
      <w:tblPr>
        <w:tblStyle w:val="19"/>
        <w:tblpPr w:leftFromText="180" w:rightFromText="180" w:vertAnchor="text" w:horzAnchor="page" w:tblpX="735" w:tblpY="423"/>
        <w:tblOverlap w:val="never"/>
        <w:tblW w:w="10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1330"/>
        <w:gridCol w:w="1785"/>
        <w:gridCol w:w="6553"/>
      </w:tblGrid>
      <w:tr w14:paraId="0CCD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574" w:type="dxa"/>
            <w:vAlign w:val="center"/>
          </w:tcPr>
          <w:p w14:paraId="1C4CFE71">
            <w:pPr>
              <w:spacing w:line="360" w:lineRule="auto"/>
              <w:ind w:right="-250" w:rightChars="-119"/>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序号</w:t>
            </w:r>
          </w:p>
        </w:tc>
        <w:tc>
          <w:tcPr>
            <w:tcW w:w="1330" w:type="dxa"/>
            <w:vAlign w:val="center"/>
          </w:tcPr>
          <w:p w14:paraId="60482818">
            <w:pPr>
              <w:spacing w:line="360" w:lineRule="auto"/>
              <w:ind w:right="-88" w:rightChars="-42"/>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条款号</w:t>
            </w:r>
          </w:p>
        </w:tc>
        <w:tc>
          <w:tcPr>
            <w:tcW w:w="8338" w:type="dxa"/>
            <w:gridSpan w:val="2"/>
            <w:vAlign w:val="center"/>
          </w:tcPr>
          <w:p w14:paraId="606E54C3">
            <w:pPr>
              <w:spacing w:line="360" w:lineRule="auto"/>
              <w:ind w:right="-340" w:rightChars="-162"/>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w w:val="99"/>
                <w:sz w:val="24"/>
                <w:szCs w:val="24"/>
                <w:highlight w:val="none"/>
              </w:rPr>
              <w:t>评分因素</w:t>
            </w:r>
          </w:p>
        </w:tc>
      </w:tr>
      <w:tr w14:paraId="65974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574" w:type="dxa"/>
            <w:vMerge w:val="restart"/>
            <w:vAlign w:val="center"/>
          </w:tcPr>
          <w:p w14:paraId="2307FB5C">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w:t>
            </w:r>
          </w:p>
        </w:tc>
        <w:tc>
          <w:tcPr>
            <w:tcW w:w="1330" w:type="dxa"/>
            <w:vAlign w:val="center"/>
          </w:tcPr>
          <w:p w14:paraId="5249AB56">
            <w:pPr>
              <w:spacing w:line="360" w:lineRule="auto"/>
              <w:ind w:firstLine="120" w:firstLineChars="5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分值构成</w:t>
            </w:r>
          </w:p>
          <w:p w14:paraId="62905358">
            <w:pPr>
              <w:spacing w:line="360" w:lineRule="auto"/>
              <w:jc w:val="center"/>
              <w:rPr>
                <w:rFonts w:hint="eastAsia" w:asciiTheme="minorEastAsia" w:hAnsiTheme="minorEastAsia" w:eastAsiaTheme="minorEastAsia" w:cstheme="minorEastAsia"/>
                <w:snapToGrid w:val="0"/>
                <w:color w:val="auto"/>
                <w:sz w:val="24"/>
                <w:szCs w:val="24"/>
                <w:highlight w:val="none"/>
              </w:rPr>
            </w:pPr>
            <w:r>
              <w:rPr>
                <w:rFonts w:hint="eastAsia" w:asciiTheme="minorEastAsia" w:hAnsiTheme="minorEastAsia" w:eastAsiaTheme="minorEastAsia" w:cstheme="minorEastAsia"/>
                <w:color w:val="auto"/>
                <w:sz w:val="24"/>
                <w:szCs w:val="24"/>
                <w:highlight w:val="none"/>
              </w:rPr>
              <w:t>(100分)</w:t>
            </w:r>
          </w:p>
        </w:tc>
        <w:tc>
          <w:tcPr>
            <w:tcW w:w="8338" w:type="dxa"/>
            <w:gridSpan w:val="2"/>
            <w:vAlign w:val="center"/>
          </w:tcPr>
          <w:p w14:paraId="19BCED21">
            <w:p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投标报价：30分；技术标：5</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分；商务标：</w:t>
            </w:r>
            <w:r>
              <w:rPr>
                <w:rFonts w:hint="eastAsia" w:asciiTheme="minorEastAsia" w:hAnsiTheme="minorEastAsia" w:eastAsiaTheme="minorEastAsia" w:cstheme="minorEastAsia"/>
                <w:color w:val="auto"/>
                <w:sz w:val="24"/>
                <w:szCs w:val="24"/>
                <w:highlight w:val="none"/>
                <w:lang w:val="en-US" w:eastAsia="zh-CN"/>
              </w:rPr>
              <w:t>20</w:t>
            </w:r>
            <w:r>
              <w:rPr>
                <w:rFonts w:hint="eastAsia" w:asciiTheme="minorEastAsia" w:hAnsiTheme="minorEastAsia" w:eastAsiaTheme="minorEastAsia" w:cstheme="minorEastAsia"/>
                <w:color w:val="auto"/>
                <w:sz w:val="24"/>
                <w:szCs w:val="24"/>
                <w:highlight w:val="none"/>
              </w:rPr>
              <w:t>分；</w:t>
            </w:r>
          </w:p>
        </w:tc>
      </w:tr>
      <w:tr w14:paraId="4FB0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74" w:type="dxa"/>
            <w:vMerge w:val="continue"/>
            <w:vAlign w:val="center"/>
          </w:tcPr>
          <w:p w14:paraId="462B0B11">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p>
        </w:tc>
        <w:tc>
          <w:tcPr>
            <w:tcW w:w="1330" w:type="dxa"/>
            <w:vAlign w:val="center"/>
          </w:tcPr>
          <w:p w14:paraId="4BDA5182">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综合得分</w:t>
            </w:r>
          </w:p>
          <w:p w14:paraId="4399BB0B">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按公式计算</w:t>
            </w:r>
          </w:p>
        </w:tc>
        <w:tc>
          <w:tcPr>
            <w:tcW w:w="8338" w:type="dxa"/>
            <w:gridSpan w:val="2"/>
            <w:vAlign w:val="center"/>
          </w:tcPr>
          <w:p w14:paraId="6308DCC2">
            <w:p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综合得分=报价得分＋技术标得分＋商务标得分；</w:t>
            </w:r>
          </w:p>
          <w:p w14:paraId="4EAC5DCD">
            <w:p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投标人综合得分按下列公式计算（计算分值均保留两位小数）；</w:t>
            </w:r>
          </w:p>
        </w:tc>
      </w:tr>
      <w:tr w14:paraId="0B263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574" w:type="dxa"/>
            <w:vAlign w:val="center"/>
          </w:tcPr>
          <w:p w14:paraId="7FB1C914">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w:t>
            </w:r>
          </w:p>
        </w:tc>
        <w:tc>
          <w:tcPr>
            <w:tcW w:w="1330" w:type="dxa"/>
            <w:vAlign w:val="center"/>
          </w:tcPr>
          <w:p w14:paraId="08B645B4">
            <w:pPr>
              <w:spacing w:line="360" w:lineRule="auto"/>
              <w:ind w:left="-107" w:leftChars="-51" w:right="-107" w:rightChars="-51" w:firstLine="1"/>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投标报价</w:t>
            </w:r>
          </w:p>
          <w:p w14:paraId="2590CC7A">
            <w:pPr>
              <w:spacing w:line="360" w:lineRule="auto"/>
              <w:ind w:left="-107" w:leftChars="-51" w:right="-107" w:rightChars="-51" w:firstLine="1"/>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（30分）</w:t>
            </w:r>
          </w:p>
        </w:tc>
        <w:tc>
          <w:tcPr>
            <w:tcW w:w="8338" w:type="dxa"/>
            <w:gridSpan w:val="2"/>
            <w:vAlign w:val="center"/>
          </w:tcPr>
          <w:p w14:paraId="4FEFB8FB">
            <w:p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1、投标报价价格分统一采用低价优先法计算，即满足招标文件要求且投标价格最低的投标报价为评标基准价，其价格分为30满分。其他投标人的价格分统一按照下列公式计算：</w:t>
            </w:r>
          </w:p>
          <w:p w14:paraId="352FF4C1">
            <w:p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投标报价得分=（评标基准价/投标报价）×30。</w:t>
            </w:r>
          </w:p>
          <w:p w14:paraId="53D863E3">
            <w:p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委员会认为投标人的报价明显低于其他通过符合性审查投标人的报价，有可能影响工程质量或者不能诚信履约的，应当要求其在合理的时间内提供说明，必要时提交相关证明材料；投标人不能证明其报价合理性的，评标委员会应当将其作为无效标处理。</w:t>
            </w:r>
          </w:p>
          <w:p w14:paraId="0497E0F5">
            <w:pPr>
              <w:numPr>
                <w:ilvl w:val="0"/>
                <w:numId w:val="2"/>
              </w:num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落实政府采购政策满足的要求：对于非专门面向中小企业的项目，本项目对小微企业生产的产品的价格给予20%的扣除，用扣除后的价格参与报价计算。参加投标的中小微企业，应当按照《政府采购促进中小企业发展管理办法》（财库﹝2020﹞46号）的规定提供《中小企业声明函》，（中小企业划型标准详见《关于印发中小企业划型标准规定的通知》工信部联企业〔2011〕300号）。</w:t>
            </w:r>
          </w:p>
          <w:p w14:paraId="155E8EB3">
            <w:pPr>
              <w:numPr>
                <w:ilvl w:val="0"/>
                <w:numId w:val="0"/>
              </w:numPr>
              <w:spacing w:line="360" w:lineRule="auto"/>
              <w:ind w:leftChars="-52" w:right="-107" w:rightChars="-5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所投小微企业产品报价=所投小微企业产品报价×（1-20%）</w:t>
            </w:r>
          </w:p>
          <w:p w14:paraId="7E7A2640">
            <w:pPr>
              <w:numPr>
                <w:ilvl w:val="0"/>
                <w:numId w:val="2"/>
              </w:numPr>
              <w:spacing w:line="360" w:lineRule="auto"/>
              <w:ind w:left="-107" w:leftChars="-52" w:right="-107" w:rightChars="-51" w:hanging="2"/>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本国产品给予价格评审优惠扣除标准</w:t>
            </w:r>
          </w:p>
          <w:p w14:paraId="39DA5518">
            <w:pPr>
              <w:numPr>
                <w:ilvl w:val="0"/>
                <w:numId w:val="0"/>
              </w:numPr>
              <w:spacing w:line="360" w:lineRule="auto"/>
              <w:ind w:leftChars="-52" w:right="-107" w:rightChars="-51"/>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对本国产品的支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B07253D">
            <w:pPr>
              <w:numPr>
                <w:ilvl w:val="0"/>
                <w:numId w:val="0"/>
              </w:numPr>
              <w:spacing w:line="360" w:lineRule="auto"/>
              <w:ind w:leftChars="-52" w:right="-107" w:rightChars="-5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同一供应商中小微企业产品、本国产品的价格扣除优惠可叠加享受。</w:t>
            </w:r>
          </w:p>
        </w:tc>
      </w:tr>
      <w:tr w14:paraId="49DC8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574" w:type="dxa"/>
            <w:vMerge w:val="restart"/>
            <w:vAlign w:val="center"/>
          </w:tcPr>
          <w:p w14:paraId="597A5C86">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3</w:t>
            </w:r>
          </w:p>
        </w:tc>
        <w:tc>
          <w:tcPr>
            <w:tcW w:w="1330" w:type="dxa"/>
            <w:vMerge w:val="restart"/>
            <w:vAlign w:val="center"/>
          </w:tcPr>
          <w:p w14:paraId="17A4AEF1">
            <w:pPr>
              <w:tabs>
                <w:tab w:val="center" w:pos="4153"/>
                <w:tab w:val="right" w:pos="8306"/>
              </w:tabs>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技术标评分标准（</w:t>
            </w:r>
            <w:r>
              <w:rPr>
                <w:rFonts w:hint="eastAsia" w:asciiTheme="minorEastAsia" w:hAnsiTheme="minorEastAsia" w:eastAsiaTheme="minorEastAsia" w:cstheme="minorEastAsia"/>
                <w:color w:val="auto"/>
                <w:sz w:val="24"/>
                <w:szCs w:val="24"/>
                <w:highlight w:val="none"/>
                <w:lang w:val="en-US" w:eastAsia="zh-CN"/>
              </w:rPr>
              <w:t>50</w:t>
            </w:r>
            <w:r>
              <w:rPr>
                <w:rFonts w:hint="eastAsia" w:asciiTheme="minorEastAsia" w:hAnsiTheme="minorEastAsia" w:eastAsiaTheme="minorEastAsia" w:cstheme="minorEastAsia"/>
                <w:color w:val="auto"/>
                <w:sz w:val="24"/>
                <w:szCs w:val="24"/>
                <w:highlight w:val="none"/>
              </w:rPr>
              <w:t>分）</w:t>
            </w:r>
          </w:p>
        </w:tc>
        <w:tc>
          <w:tcPr>
            <w:tcW w:w="1785" w:type="dxa"/>
            <w:vAlign w:val="center"/>
          </w:tcPr>
          <w:p w14:paraId="6AF9E39A">
            <w:pPr>
              <w:spacing w:line="360" w:lineRule="auto"/>
              <w:ind w:left="-109" w:leftChars="-52" w:right="-107" w:rightChars="-51"/>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1、投标产品技术性能（20分）</w:t>
            </w:r>
          </w:p>
        </w:tc>
        <w:tc>
          <w:tcPr>
            <w:tcW w:w="6553" w:type="dxa"/>
            <w:vAlign w:val="center"/>
          </w:tcPr>
          <w:p w14:paraId="0DCA7DD9">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供应商所投产品技术参数全部满足招标文件要求得20分。带 “★”项参数，需要提供证明材料，没有证明材料视为负偏离，每有一条负偏离扣1.5分；其余参数每出现一条负偏离扣0.5分，扣完为止。</w:t>
            </w:r>
          </w:p>
        </w:tc>
      </w:tr>
      <w:tr w14:paraId="4173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574" w:type="dxa"/>
            <w:vMerge w:val="continue"/>
            <w:vAlign w:val="center"/>
          </w:tcPr>
          <w:p w14:paraId="5D2C34B4">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p>
        </w:tc>
        <w:tc>
          <w:tcPr>
            <w:tcW w:w="1330" w:type="dxa"/>
            <w:vMerge w:val="continue"/>
            <w:vAlign w:val="center"/>
          </w:tcPr>
          <w:p w14:paraId="46EAACAE">
            <w:pPr>
              <w:tabs>
                <w:tab w:val="center" w:pos="4153"/>
                <w:tab w:val="right" w:pos="8306"/>
              </w:tabs>
              <w:snapToGrid w:val="0"/>
              <w:spacing w:line="360" w:lineRule="auto"/>
              <w:ind w:firstLine="240" w:firstLineChars="100"/>
              <w:jc w:val="center"/>
              <w:rPr>
                <w:rFonts w:hint="eastAsia" w:asciiTheme="minorEastAsia" w:hAnsiTheme="minorEastAsia" w:eastAsiaTheme="minorEastAsia" w:cstheme="minorEastAsia"/>
                <w:color w:val="auto"/>
                <w:sz w:val="24"/>
                <w:szCs w:val="24"/>
                <w:highlight w:val="none"/>
              </w:rPr>
            </w:pPr>
          </w:p>
        </w:tc>
        <w:tc>
          <w:tcPr>
            <w:tcW w:w="1785" w:type="dxa"/>
            <w:vAlign w:val="center"/>
          </w:tcPr>
          <w:p w14:paraId="383DD537">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2实施方案</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tc>
        <w:tc>
          <w:tcPr>
            <w:tcW w:w="6553" w:type="dxa"/>
            <w:vAlign w:val="center"/>
          </w:tcPr>
          <w:p w14:paraId="754A1EAE">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根据本项目提供详细合理的实施方案，包括对本次采购项目整体要求的理解、项目质量保证、供货进度的详细程度等内容的合理性和完善程度。</w:t>
            </w:r>
          </w:p>
          <w:p w14:paraId="77BA6989">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①实施方案描述完整详细，对本项目有详细的理解，能提前完成供货安装的得6分；</w:t>
            </w:r>
          </w:p>
          <w:p w14:paraId="41525A54">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②实施方案描述简单，对项目理解不透彻，能按时供货的得4分；</w:t>
            </w:r>
          </w:p>
          <w:p w14:paraId="4B3B7DB5">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③实施方案描述简单，内容有缺项的得2分；</w:t>
            </w:r>
          </w:p>
        </w:tc>
      </w:tr>
      <w:tr w14:paraId="09814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574" w:type="dxa"/>
            <w:vMerge w:val="continue"/>
            <w:vAlign w:val="center"/>
          </w:tcPr>
          <w:p w14:paraId="6520210D">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p>
        </w:tc>
        <w:tc>
          <w:tcPr>
            <w:tcW w:w="1330" w:type="dxa"/>
            <w:vMerge w:val="continue"/>
            <w:vAlign w:val="center"/>
          </w:tcPr>
          <w:p w14:paraId="6D2E4CAD">
            <w:pPr>
              <w:tabs>
                <w:tab w:val="center" w:pos="4153"/>
                <w:tab w:val="right" w:pos="8306"/>
              </w:tabs>
              <w:snapToGrid w:val="0"/>
              <w:spacing w:line="360" w:lineRule="auto"/>
              <w:ind w:firstLine="240" w:firstLineChars="100"/>
              <w:jc w:val="center"/>
              <w:rPr>
                <w:rFonts w:hint="eastAsia" w:asciiTheme="minorEastAsia" w:hAnsiTheme="minorEastAsia" w:eastAsiaTheme="minorEastAsia" w:cstheme="minorEastAsia"/>
                <w:color w:val="auto"/>
                <w:sz w:val="24"/>
                <w:szCs w:val="24"/>
                <w:highlight w:val="none"/>
              </w:rPr>
            </w:pPr>
          </w:p>
        </w:tc>
        <w:tc>
          <w:tcPr>
            <w:tcW w:w="1785" w:type="dxa"/>
            <w:vAlign w:val="center"/>
          </w:tcPr>
          <w:p w14:paraId="0BA68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3安装、调试方案</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tc>
        <w:tc>
          <w:tcPr>
            <w:tcW w:w="6553" w:type="dxa"/>
            <w:vAlign w:val="center"/>
          </w:tcPr>
          <w:p w14:paraId="7073EBC9">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根据本项目提供详细合理的安装调试方案与保障措施，包括但不限于安装调试计划、安装调试人员配备、安装调试时间安排、保障顺利运行。</w:t>
            </w:r>
          </w:p>
          <w:p w14:paraId="4A67E27A">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fldChar w:fldCharType="begin"/>
            </w:r>
            <w:r>
              <w:rPr>
                <w:rFonts w:hint="eastAsia" w:asciiTheme="minorEastAsia" w:hAnsiTheme="minorEastAsia" w:eastAsiaTheme="minorEastAsia" w:cstheme="minorEastAsia"/>
                <w:color w:val="auto"/>
                <w:kern w:val="2"/>
                <w:sz w:val="24"/>
                <w:szCs w:val="24"/>
                <w:highlight w:val="none"/>
                <w:lang w:val="en-US" w:eastAsia="zh-CN" w:bidi="ar-SA"/>
              </w:rPr>
              <w:instrText xml:space="preserve"> = 1 \* GB3 </w:instrText>
            </w:r>
            <w:r>
              <w:rPr>
                <w:rFonts w:hint="eastAsia" w:asciiTheme="minorEastAsia" w:hAnsiTheme="minorEastAsia" w:eastAsiaTheme="minorEastAsia" w:cstheme="minorEastAsia"/>
                <w:color w:val="auto"/>
                <w:kern w:val="2"/>
                <w:sz w:val="24"/>
                <w:szCs w:val="24"/>
                <w:highlight w:val="none"/>
                <w:lang w:val="en-US" w:eastAsia="zh-CN" w:bidi="ar-SA"/>
              </w:rPr>
              <w:fldChar w:fldCharType="separate"/>
            </w:r>
            <w:r>
              <w:rPr>
                <w:rFonts w:hint="eastAsia" w:asciiTheme="minorEastAsia" w:hAnsiTheme="minorEastAsia" w:eastAsiaTheme="minorEastAsia" w:cstheme="minorEastAsia"/>
                <w:color w:val="auto"/>
                <w:kern w:val="2"/>
                <w:sz w:val="24"/>
                <w:szCs w:val="24"/>
                <w:highlight w:val="none"/>
                <w:lang w:val="en-US" w:eastAsia="zh-CN" w:bidi="ar-SA"/>
              </w:rPr>
              <w:t>①</w:t>
            </w:r>
            <w:r>
              <w:rPr>
                <w:rFonts w:hint="eastAsia" w:asciiTheme="minorEastAsia" w:hAnsiTheme="minorEastAsia" w:eastAsiaTheme="minorEastAsia" w:cstheme="minorEastAsia"/>
                <w:color w:val="auto"/>
                <w:kern w:val="2"/>
                <w:sz w:val="24"/>
                <w:szCs w:val="24"/>
                <w:highlight w:val="none"/>
                <w:lang w:val="en-US" w:eastAsia="zh-CN" w:bidi="ar-SA"/>
              </w:rPr>
              <w:fldChar w:fldCharType="end"/>
            </w:r>
            <w:r>
              <w:rPr>
                <w:rFonts w:hint="eastAsia" w:asciiTheme="minorEastAsia" w:hAnsiTheme="minorEastAsia" w:eastAsiaTheme="minorEastAsia" w:cstheme="minorEastAsia"/>
                <w:color w:val="auto"/>
                <w:kern w:val="2"/>
                <w:sz w:val="24"/>
                <w:szCs w:val="24"/>
                <w:highlight w:val="none"/>
                <w:lang w:val="en-US" w:eastAsia="zh-CN" w:bidi="ar-SA"/>
              </w:rPr>
              <w:t>措施内容全面合理、配备3个及以上安装调试人员、能完全满足项目需求的得6分；</w:t>
            </w:r>
          </w:p>
          <w:p w14:paraId="2E66EA94">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fldChar w:fldCharType="begin"/>
            </w:r>
            <w:r>
              <w:rPr>
                <w:rFonts w:hint="eastAsia" w:asciiTheme="minorEastAsia" w:hAnsiTheme="minorEastAsia" w:eastAsiaTheme="minorEastAsia" w:cstheme="minorEastAsia"/>
                <w:color w:val="auto"/>
                <w:kern w:val="2"/>
                <w:sz w:val="24"/>
                <w:szCs w:val="24"/>
                <w:highlight w:val="none"/>
                <w:lang w:val="en-US" w:eastAsia="zh-CN" w:bidi="ar-SA"/>
              </w:rPr>
              <w:instrText xml:space="preserve"> = 2 \* GB3 </w:instrText>
            </w:r>
            <w:r>
              <w:rPr>
                <w:rFonts w:hint="eastAsia" w:asciiTheme="minorEastAsia" w:hAnsiTheme="minorEastAsia" w:eastAsiaTheme="minorEastAsia" w:cstheme="minorEastAsia"/>
                <w:color w:val="auto"/>
                <w:kern w:val="2"/>
                <w:sz w:val="24"/>
                <w:szCs w:val="24"/>
                <w:highlight w:val="none"/>
                <w:lang w:val="en-US" w:eastAsia="zh-CN" w:bidi="ar-SA"/>
              </w:rPr>
              <w:fldChar w:fldCharType="separate"/>
            </w:r>
            <w:r>
              <w:rPr>
                <w:rFonts w:hint="eastAsia" w:asciiTheme="minorEastAsia" w:hAnsiTheme="minorEastAsia" w:eastAsiaTheme="minorEastAsia" w:cstheme="minorEastAsia"/>
                <w:color w:val="auto"/>
                <w:kern w:val="2"/>
                <w:sz w:val="24"/>
                <w:szCs w:val="24"/>
                <w:highlight w:val="none"/>
                <w:lang w:val="en-US" w:eastAsia="zh-CN" w:bidi="ar-SA"/>
              </w:rPr>
              <w:t>②</w:t>
            </w:r>
            <w:r>
              <w:rPr>
                <w:rFonts w:hint="eastAsia" w:asciiTheme="minorEastAsia" w:hAnsiTheme="minorEastAsia" w:eastAsiaTheme="minorEastAsia" w:cstheme="minorEastAsia"/>
                <w:color w:val="auto"/>
                <w:kern w:val="2"/>
                <w:sz w:val="24"/>
                <w:szCs w:val="24"/>
                <w:highlight w:val="none"/>
                <w:lang w:val="en-US" w:eastAsia="zh-CN" w:bidi="ar-SA"/>
              </w:rPr>
              <w:fldChar w:fldCharType="end"/>
            </w:r>
            <w:r>
              <w:rPr>
                <w:rFonts w:hint="eastAsia" w:asciiTheme="minorEastAsia" w:hAnsiTheme="minorEastAsia" w:eastAsiaTheme="minorEastAsia" w:cstheme="minorEastAsia"/>
                <w:color w:val="auto"/>
                <w:kern w:val="2"/>
                <w:sz w:val="24"/>
                <w:szCs w:val="24"/>
                <w:highlight w:val="none"/>
                <w:lang w:val="en-US" w:eastAsia="zh-CN" w:bidi="ar-SA"/>
              </w:rPr>
              <w:t>措施内容简单，配备2个安装调试人员，能完成项目需求的得4分；</w:t>
            </w:r>
          </w:p>
          <w:p w14:paraId="3A8C45A4">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③措施编写内容简单，配备1个安装调试人员，且有缺项的得2分；</w:t>
            </w:r>
          </w:p>
          <w:p w14:paraId="6A386CF8">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不提供不得分。</w:t>
            </w:r>
          </w:p>
        </w:tc>
      </w:tr>
      <w:tr w14:paraId="16CE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574" w:type="dxa"/>
            <w:vMerge w:val="continue"/>
            <w:vAlign w:val="center"/>
          </w:tcPr>
          <w:p w14:paraId="59BBBAF7">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p>
        </w:tc>
        <w:tc>
          <w:tcPr>
            <w:tcW w:w="1330" w:type="dxa"/>
            <w:vMerge w:val="continue"/>
            <w:vAlign w:val="center"/>
          </w:tcPr>
          <w:p w14:paraId="5BB5EC1A">
            <w:pPr>
              <w:tabs>
                <w:tab w:val="center" w:pos="4153"/>
                <w:tab w:val="right" w:pos="8306"/>
              </w:tabs>
              <w:snapToGrid w:val="0"/>
              <w:spacing w:line="360" w:lineRule="auto"/>
              <w:ind w:firstLine="240" w:firstLineChars="100"/>
              <w:jc w:val="center"/>
              <w:rPr>
                <w:rFonts w:hint="eastAsia" w:asciiTheme="minorEastAsia" w:hAnsiTheme="minorEastAsia" w:eastAsiaTheme="minorEastAsia" w:cstheme="minorEastAsia"/>
                <w:color w:val="auto"/>
                <w:sz w:val="24"/>
                <w:szCs w:val="24"/>
                <w:highlight w:val="none"/>
              </w:rPr>
            </w:pPr>
          </w:p>
        </w:tc>
        <w:tc>
          <w:tcPr>
            <w:tcW w:w="1785" w:type="dxa"/>
            <w:vAlign w:val="center"/>
          </w:tcPr>
          <w:p w14:paraId="232B15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4运维服务保障措施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tc>
        <w:tc>
          <w:tcPr>
            <w:tcW w:w="6553" w:type="dxa"/>
            <w:vAlign w:val="center"/>
          </w:tcPr>
          <w:p w14:paraId="4AAB2B72">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根据供应商提供的运行维护方案，包含但不限于人员配置、岗位职责、技术能力、日常巡检与排故等）</w:t>
            </w:r>
          </w:p>
          <w:p w14:paraId="278434A4">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fldChar w:fldCharType="begin"/>
            </w:r>
            <w:r>
              <w:rPr>
                <w:rFonts w:hint="eastAsia" w:asciiTheme="minorEastAsia" w:hAnsiTheme="minorEastAsia" w:eastAsiaTheme="minorEastAsia" w:cstheme="minorEastAsia"/>
                <w:color w:val="auto"/>
                <w:kern w:val="2"/>
                <w:sz w:val="24"/>
                <w:szCs w:val="24"/>
                <w:highlight w:val="none"/>
                <w:lang w:val="en-US" w:eastAsia="zh-CN" w:bidi="ar-SA"/>
              </w:rPr>
              <w:instrText xml:space="preserve"> = 1 \* GB3 </w:instrText>
            </w:r>
            <w:r>
              <w:rPr>
                <w:rFonts w:hint="eastAsia" w:asciiTheme="minorEastAsia" w:hAnsiTheme="minorEastAsia" w:eastAsiaTheme="minorEastAsia" w:cstheme="minorEastAsia"/>
                <w:color w:val="auto"/>
                <w:kern w:val="2"/>
                <w:sz w:val="24"/>
                <w:szCs w:val="24"/>
                <w:highlight w:val="none"/>
                <w:lang w:val="en-US" w:eastAsia="zh-CN" w:bidi="ar-SA"/>
              </w:rPr>
              <w:fldChar w:fldCharType="separate"/>
            </w:r>
            <w:r>
              <w:rPr>
                <w:rFonts w:hint="eastAsia" w:asciiTheme="minorEastAsia" w:hAnsiTheme="minorEastAsia" w:eastAsiaTheme="minorEastAsia" w:cstheme="minorEastAsia"/>
                <w:color w:val="auto"/>
                <w:kern w:val="2"/>
                <w:sz w:val="24"/>
                <w:szCs w:val="24"/>
                <w:highlight w:val="none"/>
                <w:lang w:val="en-US" w:eastAsia="zh-CN" w:bidi="ar-SA"/>
              </w:rPr>
              <w:t>①</w:t>
            </w:r>
            <w:r>
              <w:rPr>
                <w:rFonts w:hint="eastAsia" w:asciiTheme="minorEastAsia" w:hAnsiTheme="minorEastAsia" w:eastAsiaTheme="minorEastAsia" w:cstheme="minorEastAsia"/>
                <w:color w:val="auto"/>
                <w:kern w:val="2"/>
                <w:sz w:val="24"/>
                <w:szCs w:val="24"/>
                <w:highlight w:val="none"/>
                <w:lang w:val="en-US" w:eastAsia="zh-CN" w:bidi="ar-SA"/>
              </w:rPr>
              <w:fldChar w:fldCharType="end"/>
            </w:r>
            <w:r>
              <w:rPr>
                <w:rFonts w:hint="eastAsia" w:asciiTheme="minorEastAsia" w:hAnsiTheme="minorEastAsia" w:eastAsiaTheme="minorEastAsia" w:cstheme="minorEastAsia"/>
                <w:color w:val="auto"/>
                <w:kern w:val="2"/>
                <w:sz w:val="24"/>
                <w:szCs w:val="24"/>
                <w:highlight w:val="none"/>
                <w:lang w:val="en-US" w:eastAsia="zh-CN" w:bidi="ar-SA"/>
              </w:rPr>
              <w:t>有明确的组织结构，人员配备充足，岗位设置合理，具备相应的服务能力，具备完善的应急处理能力得6分；</w:t>
            </w:r>
          </w:p>
          <w:p w14:paraId="217C725A">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fldChar w:fldCharType="begin"/>
            </w:r>
            <w:r>
              <w:rPr>
                <w:rFonts w:hint="eastAsia" w:asciiTheme="minorEastAsia" w:hAnsiTheme="minorEastAsia" w:eastAsiaTheme="minorEastAsia" w:cstheme="minorEastAsia"/>
                <w:color w:val="auto"/>
                <w:kern w:val="2"/>
                <w:sz w:val="24"/>
                <w:szCs w:val="24"/>
                <w:highlight w:val="none"/>
                <w:lang w:val="en-US" w:eastAsia="zh-CN" w:bidi="ar-SA"/>
              </w:rPr>
              <w:instrText xml:space="preserve"> = 2 \* GB3 </w:instrText>
            </w:r>
            <w:r>
              <w:rPr>
                <w:rFonts w:hint="eastAsia" w:asciiTheme="minorEastAsia" w:hAnsiTheme="minorEastAsia" w:eastAsiaTheme="minorEastAsia" w:cstheme="minorEastAsia"/>
                <w:color w:val="auto"/>
                <w:kern w:val="2"/>
                <w:sz w:val="24"/>
                <w:szCs w:val="24"/>
                <w:highlight w:val="none"/>
                <w:lang w:val="en-US" w:eastAsia="zh-CN" w:bidi="ar-SA"/>
              </w:rPr>
              <w:fldChar w:fldCharType="separate"/>
            </w:r>
            <w:r>
              <w:rPr>
                <w:rFonts w:hint="eastAsia" w:asciiTheme="minorEastAsia" w:hAnsiTheme="minorEastAsia" w:eastAsiaTheme="minorEastAsia" w:cstheme="minorEastAsia"/>
                <w:color w:val="auto"/>
                <w:kern w:val="2"/>
                <w:sz w:val="24"/>
                <w:szCs w:val="24"/>
                <w:highlight w:val="none"/>
                <w:lang w:val="en-US" w:eastAsia="zh-CN" w:bidi="ar-SA"/>
              </w:rPr>
              <w:t>②</w:t>
            </w:r>
            <w:r>
              <w:rPr>
                <w:rFonts w:hint="eastAsia" w:asciiTheme="minorEastAsia" w:hAnsiTheme="minorEastAsia" w:eastAsiaTheme="minorEastAsia" w:cstheme="minorEastAsia"/>
                <w:color w:val="auto"/>
                <w:kern w:val="2"/>
                <w:sz w:val="24"/>
                <w:szCs w:val="24"/>
                <w:highlight w:val="none"/>
                <w:lang w:val="en-US" w:eastAsia="zh-CN" w:bidi="ar-SA"/>
              </w:rPr>
              <w:fldChar w:fldCharType="end"/>
            </w:r>
            <w:r>
              <w:rPr>
                <w:rFonts w:hint="eastAsia" w:asciiTheme="minorEastAsia" w:hAnsiTheme="minorEastAsia" w:eastAsiaTheme="minorEastAsia" w:cstheme="minorEastAsia"/>
                <w:color w:val="auto"/>
                <w:kern w:val="2"/>
                <w:sz w:val="24"/>
                <w:szCs w:val="24"/>
                <w:highlight w:val="none"/>
                <w:lang w:val="en-US" w:eastAsia="zh-CN" w:bidi="ar-SA"/>
              </w:rPr>
              <w:t>有相应的组织结构，人员配备和岗位设置基本能满足项目需求，有应急处理方案的得4分；</w:t>
            </w:r>
          </w:p>
          <w:p w14:paraId="7F62037F">
            <w:pPr>
              <w:spacing w:line="360" w:lineRule="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③内容简单，有缺项且不能满足日常运行维护需求的得2分；</w:t>
            </w:r>
          </w:p>
          <w:p w14:paraId="330D727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bidi="ar-SA"/>
              </w:rPr>
              <w:t>不提供不得分。</w:t>
            </w:r>
          </w:p>
        </w:tc>
      </w:tr>
      <w:tr w14:paraId="04FC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574" w:type="dxa"/>
            <w:vMerge w:val="continue"/>
            <w:vAlign w:val="center"/>
          </w:tcPr>
          <w:p w14:paraId="05573EE7">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p>
        </w:tc>
        <w:tc>
          <w:tcPr>
            <w:tcW w:w="1330" w:type="dxa"/>
            <w:vMerge w:val="continue"/>
            <w:vAlign w:val="center"/>
          </w:tcPr>
          <w:p w14:paraId="1300CE45">
            <w:pPr>
              <w:tabs>
                <w:tab w:val="center" w:pos="4153"/>
                <w:tab w:val="right" w:pos="8306"/>
              </w:tabs>
              <w:snapToGrid w:val="0"/>
              <w:spacing w:line="360" w:lineRule="auto"/>
              <w:ind w:firstLine="240" w:firstLineChars="100"/>
              <w:jc w:val="center"/>
              <w:rPr>
                <w:rFonts w:hint="eastAsia" w:asciiTheme="minorEastAsia" w:hAnsiTheme="minorEastAsia" w:eastAsiaTheme="minorEastAsia" w:cstheme="minorEastAsia"/>
                <w:color w:val="auto"/>
                <w:sz w:val="24"/>
                <w:szCs w:val="24"/>
                <w:highlight w:val="none"/>
              </w:rPr>
            </w:pPr>
          </w:p>
        </w:tc>
        <w:tc>
          <w:tcPr>
            <w:tcW w:w="1785" w:type="dxa"/>
            <w:vAlign w:val="center"/>
          </w:tcPr>
          <w:p w14:paraId="4D2DA1C3">
            <w:pPr>
              <w:spacing w:line="360" w:lineRule="auto"/>
              <w:ind w:left="-109" w:leftChars="-52" w:right="-107" w:rightChars="-51"/>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质量保证措施方案（</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tc>
        <w:tc>
          <w:tcPr>
            <w:tcW w:w="6553" w:type="dxa"/>
            <w:vAlign w:val="center"/>
          </w:tcPr>
          <w:p w14:paraId="412B5417">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根据供应商的质量保证措施方案进行综合评分：</w:t>
            </w:r>
          </w:p>
          <w:p w14:paraId="6F03EE9F">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1.内容全面、详尽，针对性很强、措施合理有效、完全满足项目需求的，得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1CB4F283">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2.内容全面较详尽，针对性强、措施合理有效、基本满足项目需求的，得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w:t>
            </w:r>
          </w:p>
          <w:p w14:paraId="0AFA712F">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3.内容完善但详尽程度欠佳，针对性一般、措施基本合理有效、满足项目需求程度较弱的，得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w:t>
            </w:r>
          </w:p>
          <w:p w14:paraId="456843FE">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4.不提供方案或明显不符合本项目要求的，得0分。</w:t>
            </w:r>
          </w:p>
        </w:tc>
      </w:tr>
      <w:tr w14:paraId="7B44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574" w:type="dxa"/>
            <w:vMerge w:val="continue"/>
            <w:vAlign w:val="center"/>
          </w:tcPr>
          <w:p w14:paraId="3CF8461E">
            <w:pPr>
              <w:spacing w:line="360" w:lineRule="auto"/>
              <w:ind w:left="-141" w:leftChars="-76" w:right="-250" w:rightChars="-119" w:hanging="19" w:hangingChars="8"/>
              <w:jc w:val="center"/>
              <w:rPr>
                <w:rFonts w:hint="eastAsia" w:asciiTheme="minorEastAsia" w:hAnsiTheme="minorEastAsia" w:eastAsiaTheme="minorEastAsia" w:cstheme="minorEastAsia"/>
                <w:b/>
                <w:color w:val="auto"/>
                <w:sz w:val="24"/>
                <w:szCs w:val="24"/>
                <w:highlight w:val="none"/>
              </w:rPr>
            </w:pPr>
          </w:p>
        </w:tc>
        <w:tc>
          <w:tcPr>
            <w:tcW w:w="1330" w:type="dxa"/>
            <w:vMerge w:val="continue"/>
            <w:vAlign w:val="center"/>
          </w:tcPr>
          <w:p w14:paraId="64524BBF">
            <w:pPr>
              <w:tabs>
                <w:tab w:val="center" w:pos="4153"/>
                <w:tab w:val="right" w:pos="8306"/>
              </w:tabs>
              <w:snapToGrid w:val="0"/>
              <w:spacing w:line="360" w:lineRule="auto"/>
              <w:jc w:val="center"/>
              <w:rPr>
                <w:rFonts w:hint="eastAsia" w:asciiTheme="minorEastAsia" w:hAnsiTheme="minorEastAsia" w:eastAsiaTheme="minorEastAsia" w:cstheme="minorEastAsia"/>
                <w:color w:val="auto"/>
                <w:sz w:val="24"/>
                <w:szCs w:val="24"/>
                <w:highlight w:val="none"/>
              </w:rPr>
            </w:pPr>
          </w:p>
        </w:tc>
        <w:tc>
          <w:tcPr>
            <w:tcW w:w="1785" w:type="dxa"/>
            <w:vAlign w:val="center"/>
          </w:tcPr>
          <w:p w14:paraId="05BB5ECC">
            <w:pPr>
              <w:spacing w:line="360" w:lineRule="auto"/>
              <w:ind w:right="-107" w:rightChars="-51"/>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进度保证措施（</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tc>
        <w:tc>
          <w:tcPr>
            <w:tcW w:w="6553" w:type="dxa"/>
            <w:vAlign w:val="center"/>
          </w:tcPr>
          <w:p w14:paraId="729016C6">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投标人针对本项目提出科学合理，针对性强的进度保证措施方案（包含但不限于人员组织及分工、工序、时间节点、检测验收等）：</w:t>
            </w:r>
          </w:p>
          <w:p w14:paraId="55EFB371">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1.内容合理，分工科学、总进度满足需求、工序安排切实可行、完成时间明确、检验验收工作能满足要求，得</w:t>
            </w: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eastAsiaTheme="minorEastAsia" w:cstheme="minorEastAsia"/>
                <w:color w:val="auto"/>
                <w:sz w:val="24"/>
                <w:szCs w:val="24"/>
                <w:highlight w:val="none"/>
              </w:rPr>
              <w:t>分；</w:t>
            </w:r>
          </w:p>
          <w:p w14:paraId="605517EE">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2.内容较合理，分工较科学、总进度能满足需求、工序安排较为切实可行、完成时间较为明确、检验验收工作较能满足要求，得</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分；</w:t>
            </w:r>
          </w:p>
          <w:p w14:paraId="3FAEA6BA">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3.内容基本合理，分工科学性一般、总进度基本能满足需求、工序安排基本切实可行、完成时间一般、检验验收工作基本能满足要求，得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w:t>
            </w:r>
          </w:p>
          <w:p w14:paraId="4F86FDDB">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4.不提供方案或明显不符合本项目特征的，得0分。</w:t>
            </w:r>
          </w:p>
        </w:tc>
      </w:tr>
      <w:tr w14:paraId="5CAF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0242" w:type="dxa"/>
            <w:gridSpan w:val="4"/>
            <w:vAlign w:val="center"/>
          </w:tcPr>
          <w:p w14:paraId="2386D6C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各评委可结合本项目实际，每项根据其科学、合理、可行性程度（要有针对性、不能简单地照抄照搬规范），每项可在给定分值间合理给分。若有缺项，缺项的项目为0分。</w:t>
            </w:r>
          </w:p>
        </w:tc>
      </w:tr>
      <w:tr w14:paraId="66E5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574" w:type="dxa"/>
            <w:vMerge w:val="restart"/>
            <w:vAlign w:val="center"/>
          </w:tcPr>
          <w:p w14:paraId="5C059F4E">
            <w:pPr>
              <w:spacing w:line="360" w:lineRule="auto"/>
              <w:ind w:right="-107" w:rightChars="-51"/>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4</w:t>
            </w:r>
          </w:p>
        </w:tc>
        <w:tc>
          <w:tcPr>
            <w:tcW w:w="1330" w:type="dxa"/>
            <w:vMerge w:val="restart"/>
            <w:vAlign w:val="center"/>
          </w:tcPr>
          <w:p w14:paraId="03B00123">
            <w:pPr>
              <w:tabs>
                <w:tab w:val="center" w:pos="4153"/>
                <w:tab w:val="right" w:pos="8306"/>
              </w:tabs>
              <w:snapToGrid w:val="0"/>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商务标（</w:t>
            </w:r>
            <w:r>
              <w:rPr>
                <w:rFonts w:hint="eastAsia" w:asciiTheme="minorEastAsia" w:hAnsiTheme="minorEastAsia" w:eastAsiaTheme="minorEastAsia" w:cstheme="minorEastAsia"/>
                <w:color w:val="auto"/>
                <w:sz w:val="24"/>
                <w:szCs w:val="24"/>
                <w:highlight w:val="none"/>
                <w:lang w:val="en-US" w:eastAsia="zh-CN"/>
              </w:rPr>
              <w:t>20</w:t>
            </w:r>
            <w:r>
              <w:rPr>
                <w:rFonts w:hint="eastAsia" w:asciiTheme="minorEastAsia" w:hAnsiTheme="minorEastAsia" w:eastAsiaTheme="minorEastAsia" w:cstheme="minorEastAsia"/>
                <w:color w:val="auto"/>
                <w:sz w:val="24"/>
                <w:szCs w:val="24"/>
                <w:highlight w:val="none"/>
              </w:rPr>
              <w:t>分）</w:t>
            </w:r>
          </w:p>
        </w:tc>
        <w:tc>
          <w:tcPr>
            <w:tcW w:w="1785" w:type="dxa"/>
            <w:vAlign w:val="center"/>
          </w:tcPr>
          <w:p w14:paraId="063C84E7">
            <w:pP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企业业绩</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3分</w:t>
            </w:r>
            <w:r>
              <w:rPr>
                <w:rFonts w:hint="eastAsia" w:asciiTheme="minorEastAsia" w:hAnsiTheme="minorEastAsia" w:eastAsiaTheme="minorEastAsia" w:cstheme="minorEastAsia"/>
                <w:color w:val="auto"/>
                <w:sz w:val="24"/>
                <w:szCs w:val="24"/>
                <w:highlight w:val="none"/>
                <w:lang w:eastAsia="zh-CN"/>
              </w:rPr>
              <w:t>）</w:t>
            </w:r>
          </w:p>
        </w:tc>
        <w:tc>
          <w:tcPr>
            <w:tcW w:w="6553" w:type="dxa"/>
            <w:vAlign w:val="center"/>
          </w:tcPr>
          <w:p w14:paraId="12887D95">
            <w:pPr>
              <w:pStyle w:val="28"/>
              <w:spacing w:line="360" w:lineRule="auto"/>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lang w:val="zh-CN" w:eastAsia="zh-CN"/>
              </w:rPr>
              <w:t>提供20</w:t>
            </w:r>
            <w:r>
              <w:rPr>
                <w:rFonts w:hint="eastAsia" w:asciiTheme="minorEastAsia" w:hAnsiTheme="minorEastAsia" w:eastAsiaTheme="minorEastAsia" w:cstheme="minorEastAsia"/>
                <w:color w:val="auto"/>
                <w:sz w:val="24"/>
                <w:szCs w:val="24"/>
                <w:highlight w:val="none"/>
                <w:lang w:val="en-US" w:eastAsia="zh-CN"/>
              </w:rPr>
              <w:t>23</w:t>
            </w:r>
            <w:r>
              <w:rPr>
                <w:rFonts w:hint="eastAsia" w:asciiTheme="minorEastAsia" w:hAnsiTheme="minorEastAsia" w:eastAsiaTheme="minorEastAsia" w:cstheme="minorEastAsia"/>
                <w:color w:val="auto"/>
                <w:sz w:val="24"/>
                <w:szCs w:val="24"/>
                <w:highlight w:val="none"/>
                <w:lang w:val="zh-CN" w:eastAsia="zh-CN"/>
              </w:rPr>
              <w:t>年以来类似项目</w:t>
            </w:r>
            <w:r>
              <w:rPr>
                <w:rFonts w:hint="eastAsia" w:asciiTheme="minorEastAsia" w:hAnsiTheme="minorEastAsia" w:eastAsiaTheme="minorEastAsia" w:cstheme="minorEastAsia"/>
                <w:color w:val="auto"/>
                <w:sz w:val="24"/>
                <w:szCs w:val="24"/>
                <w:highlight w:val="none"/>
                <w:lang w:val="en-US" w:eastAsia="zh-CN"/>
              </w:rPr>
              <w:t>业绩，每提供一份得1分，最多得3分。（提供中标通知书、完整的合同复印件(或扫描件)和发票复印件(或扫描件），不提供不得分。</w:t>
            </w:r>
          </w:p>
        </w:tc>
      </w:tr>
      <w:tr w14:paraId="0D35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74" w:type="dxa"/>
            <w:vMerge w:val="continue"/>
            <w:vAlign w:val="center"/>
          </w:tcPr>
          <w:p w14:paraId="07766D7E">
            <w:pPr>
              <w:spacing w:line="360" w:lineRule="auto"/>
              <w:rPr>
                <w:rFonts w:hint="eastAsia" w:asciiTheme="minorEastAsia" w:hAnsiTheme="minorEastAsia" w:eastAsiaTheme="minorEastAsia" w:cstheme="minorEastAsia"/>
                <w:color w:val="auto"/>
                <w:sz w:val="24"/>
                <w:szCs w:val="24"/>
                <w:highlight w:val="none"/>
              </w:rPr>
            </w:pPr>
          </w:p>
        </w:tc>
        <w:tc>
          <w:tcPr>
            <w:tcW w:w="1330" w:type="dxa"/>
            <w:vMerge w:val="continue"/>
            <w:vAlign w:val="center"/>
          </w:tcPr>
          <w:p w14:paraId="1E769E38">
            <w:pPr>
              <w:tabs>
                <w:tab w:val="center" w:pos="4153"/>
                <w:tab w:val="right" w:pos="8306"/>
              </w:tabs>
              <w:snapToGrid w:val="0"/>
              <w:spacing w:line="360" w:lineRule="auto"/>
              <w:jc w:val="center"/>
              <w:rPr>
                <w:rFonts w:hint="eastAsia" w:asciiTheme="minorEastAsia" w:hAnsiTheme="minorEastAsia" w:eastAsiaTheme="minorEastAsia" w:cstheme="minorEastAsia"/>
                <w:color w:val="auto"/>
                <w:sz w:val="24"/>
                <w:szCs w:val="24"/>
                <w:highlight w:val="none"/>
              </w:rPr>
            </w:pPr>
          </w:p>
        </w:tc>
        <w:tc>
          <w:tcPr>
            <w:tcW w:w="1785" w:type="dxa"/>
            <w:vAlign w:val="center"/>
          </w:tcPr>
          <w:p w14:paraId="668769F2">
            <w:pPr>
              <w:spacing w:line="360" w:lineRule="auto"/>
              <w:ind w:left="-109" w:leftChars="-52" w:right="-107" w:rightChars="-5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售后服务方案（</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分）</w:t>
            </w:r>
          </w:p>
        </w:tc>
        <w:tc>
          <w:tcPr>
            <w:tcW w:w="6553" w:type="dxa"/>
            <w:vAlign w:val="center"/>
          </w:tcPr>
          <w:p w14:paraId="7E60853F">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委根据各投标人所提供的售后服务方案（（至少包含：1.服务内容、2.服务期限、3.服务保障、4.服务人员配备、5.响应时间、6.保障措施、7.定期巡检、8.故障响应时间、9.到达现场响应时间、10.应急维修措施、11.备品备件配备等）进行比较后打分，不提供不得分。</w:t>
            </w:r>
          </w:p>
          <w:p w14:paraId="296FCF80">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1.售后服务方案能按照招标文件要求进行响应，详细具体，针对性强，与项目实际情况相契合，方案完善周全且完全满足招标文件的要求，能充分为采购人考虑，得</w:t>
            </w:r>
            <w:r>
              <w:rPr>
                <w:rFonts w:hint="eastAsia" w:asciiTheme="minorEastAsia" w:hAnsiTheme="minorEastAsia" w:eastAsiaTheme="minorEastAsia" w:cstheme="minorEastAsia"/>
                <w:color w:val="auto"/>
                <w:sz w:val="24"/>
                <w:szCs w:val="24"/>
                <w:highlight w:val="none"/>
                <w:lang w:val="en-US" w:eastAsia="zh-CN"/>
              </w:rPr>
              <w:t>10</w:t>
            </w:r>
            <w:r>
              <w:rPr>
                <w:rFonts w:hint="eastAsia" w:asciiTheme="minorEastAsia" w:hAnsiTheme="minorEastAsia" w:eastAsiaTheme="minorEastAsia" w:cstheme="minorEastAsia"/>
                <w:color w:val="auto"/>
                <w:sz w:val="24"/>
                <w:szCs w:val="24"/>
                <w:highlight w:val="none"/>
              </w:rPr>
              <w:t>分。</w:t>
            </w:r>
          </w:p>
          <w:p w14:paraId="307B1FAD">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2.售后服务方案较为具体，方案满足采购文件要求，对售后工作有简单的分析，具有可行性，得</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分。</w:t>
            </w:r>
          </w:p>
          <w:p w14:paraId="44276B2A">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3.售后服务方案简单，服务响应时间等基本</w:t>
            </w:r>
            <w:bookmarkStart w:id="523" w:name="_GoBack"/>
            <w:bookmarkEnd w:id="523"/>
            <w:r>
              <w:rPr>
                <w:rFonts w:hint="eastAsia" w:asciiTheme="minorEastAsia" w:hAnsiTheme="minorEastAsia" w:eastAsiaTheme="minorEastAsia" w:cstheme="minorEastAsia"/>
                <w:color w:val="auto"/>
                <w:sz w:val="24"/>
                <w:szCs w:val="24"/>
                <w:highlight w:val="none"/>
              </w:rPr>
              <w:t>满足采购文件要求，得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5BE6CD93">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4.不提供方案或方案内容缺项或明显不符合本项目要求的，得0分。</w:t>
            </w:r>
          </w:p>
        </w:tc>
      </w:tr>
      <w:tr w14:paraId="349D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74" w:type="dxa"/>
            <w:vMerge w:val="continue"/>
            <w:vAlign w:val="center"/>
          </w:tcPr>
          <w:p w14:paraId="4B9193E7">
            <w:pPr>
              <w:spacing w:line="360" w:lineRule="auto"/>
              <w:rPr>
                <w:rFonts w:hint="eastAsia" w:asciiTheme="minorEastAsia" w:hAnsiTheme="minorEastAsia" w:eastAsiaTheme="minorEastAsia" w:cstheme="minorEastAsia"/>
                <w:color w:val="auto"/>
                <w:sz w:val="24"/>
                <w:szCs w:val="24"/>
                <w:highlight w:val="none"/>
              </w:rPr>
            </w:pPr>
          </w:p>
        </w:tc>
        <w:tc>
          <w:tcPr>
            <w:tcW w:w="1330" w:type="dxa"/>
            <w:vMerge w:val="continue"/>
            <w:vAlign w:val="center"/>
          </w:tcPr>
          <w:p w14:paraId="6C64C68D">
            <w:pPr>
              <w:tabs>
                <w:tab w:val="center" w:pos="4153"/>
                <w:tab w:val="right" w:pos="8306"/>
              </w:tabs>
              <w:snapToGrid w:val="0"/>
              <w:spacing w:line="360" w:lineRule="auto"/>
              <w:jc w:val="center"/>
              <w:rPr>
                <w:rFonts w:hint="eastAsia" w:asciiTheme="minorEastAsia" w:hAnsiTheme="minorEastAsia" w:eastAsiaTheme="minorEastAsia" w:cstheme="minorEastAsia"/>
                <w:color w:val="auto"/>
                <w:sz w:val="24"/>
                <w:szCs w:val="24"/>
                <w:highlight w:val="none"/>
              </w:rPr>
            </w:pPr>
          </w:p>
        </w:tc>
        <w:tc>
          <w:tcPr>
            <w:tcW w:w="1785" w:type="dxa"/>
            <w:vAlign w:val="center"/>
          </w:tcPr>
          <w:p w14:paraId="0DE5BC1B">
            <w:pPr>
              <w:spacing w:line="360" w:lineRule="auto"/>
              <w:ind w:right="-107" w:rightChars="-5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培训方案（</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分）</w:t>
            </w:r>
          </w:p>
        </w:tc>
        <w:tc>
          <w:tcPr>
            <w:tcW w:w="6553" w:type="dxa"/>
            <w:vAlign w:val="center"/>
          </w:tcPr>
          <w:p w14:paraId="68351096">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供应商根据本项目制定详细的人员培训方案，包含但不限于完整的培训大纲，培训资料，课表、授课人员简介等内容，评标委员会根据供应商提供的人员培训方案进行评价：</w:t>
            </w:r>
          </w:p>
          <w:p w14:paraId="5AA7E96C">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1.培训方案清晰，针对性强，完整明晰、可操作性强，培训人员职能清晰，培训内容切合实际，得</w:t>
            </w: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eastAsiaTheme="minorEastAsia" w:cstheme="minorEastAsia"/>
                <w:color w:val="auto"/>
                <w:sz w:val="24"/>
                <w:szCs w:val="24"/>
                <w:highlight w:val="none"/>
              </w:rPr>
              <w:t>分；</w:t>
            </w:r>
          </w:p>
          <w:p w14:paraId="35FEBE04">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2.培训方案完整，时间计划完整可行，培训人员职能满足要求，得</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p>
          <w:p w14:paraId="05AA01C2">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3.培训方案内容简单空洞，针对性较差，不能满足需求的，得</w:t>
            </w:r>
            <w:r>
              <w:rPr>
                <w:rFonts w:hint="eastAsia" w:asciiTheme="minorEastAsia" w:hAnsiTheme="minorEastAsia" w:eastAsia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分。</w:t>
            </w:r>
          </w:p>
          <w:p w14:paraId="472ACB91">
            <w:pPr>
              <w:spacing w:line="360" w:lineRule="auto"/>
              <w:ind w:left="-109" w:leftChars="-52" w:right="-107" w:rightChars="-51"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4.不提供方案或方案内容缺项或明显不符合本项目要求的，得0分。</w:t>
            </w:r>
          </w:p>
        </w:tc>
      </w:tr>
    </w:tbl>
    <w:p w14:paraId="7FD205F2">
      <w:pPr>
        <w:spacing w:line="440" w:lineRule="exact"/>
        <w:jc w:val="center"/>
        <w:rPr>
          <w:rFonts w:hint="eastAsia" w:asciiTheme="minorEastAsia" w:hAnsiTheme="minorEastAsia" w:eastAsiaTheme="minorEastAsia" w:cstheme="minorEastAsia"/>
          <w:b/>
          <w:color w:val="auto"/>
          <w:kern w:val="0"/>
          <w:sz w:val="24"/>
          <w:highlight w:val="none"/>
          <w:u w:color="000000"/>
        </w:rPr>
      </w:pPr>
      <w:r>
        <w:rPr>
          <w:rFonts w:hint="eastAsia" w:asciiTheme="minorEastAsia" w:hAnsiTheme="minorEastAsia" w:eastAsiaTheme="minorEastAsia" w:cstheme="minorEastAsia"/>
          <w:b/>
          <w:color w:val="auto"/>
          <w:kern w:val="0"/>
          <w:sz w:val="24"/>
          <w:highlight w:val="none"/>
          <w:u w:color="000000"/>
        </w:rPr>
        <w:t>评审办法</w:t>
      </w:r>
    </w:p>
    <w:p w14:paraId="23036864">
      <w:pPr>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bookmarkStart w:id="459" w:name="_Toc108777258"/>
      <w:bookmarkStart w:id="460" w:name="_Toc108777133"/>
      <w:bookmarkStart w:id="461" w:name="_Toc108777070"/>
      <w:r>
        <w:rPr>
          <w:rFonts w:hint="eastAsia" w:asciiTheme="minorEastAsia" w:hAnsiTheme="minorEastAsia" w:eastAsiaTheme="minorEastAsia" w:cstheme="minorEastAsia"/>
          <w:bCs/>
          <w:color w:val="auto"/>
          <w:sz w:val="24"/>
          <w:szCs w:val="24"/>
          <w:highlight w:val="none"/>
        </w:rPr>
        <w:t>本项目采用综合评分法。综合评分法，是指投标文件满足招标文件全部实质性要求，且按照评审因素的量化指标评审得分最高的投标供应商为中标候选人的评标方法。</w:t>
      </w:r>
      <w:r>
        <w:rPr>
          <w:rFonts w:hint="eastAsia" w:asciiTheme="minorEastAsia" w:hAnsiTheme="minorEastAsia" w:eastAsiaTheme="minorEastAsia" w:cstheme="minorEastAsia"/>
          <w:b/>
          <w:bCs/>
          <w:color w:val="auto"/>
          <w:sz w:val="24"/>
          <w:szCs w:val="24"/>
          <w:highlight w:val="none"/>
        </w:rPr>
        <w:t>总</w:t>
      </w:r>
      <w:r>
        <w:rPr>
          <w:rFonts w:hint="eastAsia" w:asciiTheme="minorEastAsia" w:hAnsiTheme="minorEastAsia" w:eastAsiaTheme="minorEastAsia" w:cstheme="minorEastAsia"/>
          <w:b/>
          <w:color w:val="auto"/>
          <w:sz w:val="24"/>
          <w:szCs w:val="24"/>
          <w:highlight w:val="none"/>
        </w:rPr>
        <w:t>得分相同的，按投标报价由低到高顺序排列；总得分且投标报价相同的并列，按照技术部分的得分由高到低排列；总得分、投标报价与技术部分得分均相同的，按照商务标的得分由高到低排列；总得分、投标报价、技术部分得分及商务标得分均相同的，通过随机抽取产生</w:t>
      </w:r>
      <w:r>
        <w:rPr>
          <w:rFonts w:hint="eastAsia" w:asciiTheme="minorEastAsia" w:hAnsiTheme="minorEastAsia" w:eastAsiaTheme="minorEastAsia" w:cstheme="minorEastAsia"/>
          <w:b/>
          <w:bCs/>
          <w:color w:val="auto"/>
          <w:sz w:val="24"/>
          <w:szCs w:val="24"/>
          <w:highlight w:val="none"/>
          <w:lang w:bidi="en-US"/>
        </w:rPr>
        <w:t>。</w:t>
      </w:r>
    </w:p>
    <w:p w14:paraId="3A208DB5">
      <w:pPr>
        <w:spacing w:line="360" w:lineRule="auto"/>
        <w:ind w:firstLine="48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一、评标原则：</w:t>
      </w:r>
    </w:p>
    <w:p w14:paraId="353AC3F1">
      <w:pPr>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1.评标活动遵循公平、公正、科学和择优的原则。</w:t>
      </w:r>
    </w:p>
    <w:p w14:paraId="3D57AA04">
      <w:pPr>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2.对所有供应商的投标评定都采用相同的程序和标准。</w:t>
      </w:r>
    </w:p>
    <w:p w14:paraId="13FF7428">
      <w:pPr>
        <w:spacing w:line="360" w:lineRule="auto"/>
        <w:ind w:firstLine="48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二、评标程序</w:t>
      </w:r>
    </w:p>
    <w:p w14:paraId="5B699082">
      <w:pPr>
        <w:spacing w:line="520" w:lineRule="exact"/>
        <w:ind w:firstLine="562"/>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2.评审标准</w:t>
      </w:r>
    </w:p>
    <w:p w14:paraId="09DFD909">
      <w:pPr>
        <w:spacing w:line="360" w:lineRule="auto"/>
        <w:ind w:firstLine="241" w:firstLineChars="1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2.1资格性审查（开标结束后由采购人审查）</w:t>
      </w:r>
    </w:p>
    <w:p w14:paraId="71E94356">
      <w:pPr>
        <w:spacing w:line="52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审查内容详见附件一：资格审查表</w:t>
      </w:r>
    </w:p>
    <w:p w14:paraId="5074710E">
      <w:pPr>
        <w:spacing w:line="360" w:lineRule="auto"/>
        <w:ind w:firstLine="241" w:firstLineChars="1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2.2</w:t>
      </w:r>
      <w:r>
        <w:rPr>
          <w:rFonts w:hint="eastAsia" w:asciiTheme="minorEastAsia" w:hAnsiTheme="minorEastAsia" w:eastAsiaTheme="minorEastAsia" w:cstheme="minorEastAsia"/>
          <w:b/>
          <w:color w:val="auto"/>
          <w:sz w:val="24"/>
          <w:szCs w:val="24"/>
          <w:highlight w:val="none"/>
        </w:rPr>
        <w:t>符合性性审查</w:t>
      </w:r>
    </w:p>
    <w:p w14:paraId="3C413FAA">
      <w:pPr>
        <w:spacing w:line="520" w:lineRule="exact"/>
        <w:ind w:firstLine="241" w:firstLineChars="1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评标委员会依据本章第2.1项的评审标准对投标文件进行符合性评审，未通过符合性评审的，不再进行详细评审。</w:t>
      </w:r>
    </w:p>
    <w:p w14:paraId="31678FCA">
      <w:pPr>
        <w:spacing w:line="360" w:lineRule="auto"/>
        <w:ind w:firstLine="241" w:firstLineChars="1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2.3评分标准 </w:t>
      </w:r>
    </w:p>
    <w:p w14:paraId="2EF50F92">
      <w:pPr>
        <w:spacing w:line="52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2.3.1分值构成：见评标办法前附表。</w:t>
      </w:r>
    </w:p>
    <w:p w14:paraId="1E5CB788">
      <w:pPr>
        <w:spacing w:line="52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2.3.2评标基准价与偏差率计算方法：见评标办法。</w:t>
      </w:r>
    </w:p>
    <w:p w14:paraId="4D3A3360">
      <w:pPr>
        <w:spacing w:line="52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2.3.3评标标准：见评标办法前附表。</w:t>
      </w:r>
    </w:p>
    <w:p w14:paraId="5777A29B">
      <w:pPr>
        <w:spacing w:line="52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2.3.4评分分值计算保留小数点后两位，小数点后第三位“四舍五入”。</w:t>
      </w:r>
    </w:p>
    <w:p w14:paraId="1B83DD0E">
      <w:pPr>
        <w:spacing w:line="520" w:lineRule="exact"/>
        <w:ind w:firstLine="240"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2.3.5供应商得分=商务标得分+技术标得分。</w:t>
      </w:r>
    </w:p>
    <w:p w14:paraId="78812BE3">
      <w:pPr>
        <w:spacing w:line="520" w:lineRule="exact"/>
        <w:ind w:firstLine="241"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2.3.6评标委员</w:t>
      </w:r>
      <w:r>
        <w:rPr>
          <w:rFonts w:hint="eastAsia" w:asciiTheme="minorEastAsia" w:hAnsiTheme="minorEastAsia" w:eastAsiaTheme="minorEastAsia" w:cstheme="minorEastAsia"/>
          <w:b/>
          <w:bCs/>
          <w:color w:val="auto"/>
          <w:szCs w:val="21"/>
          <w:highlight w:val="none"/>
        </w:rPr>
        <w:t>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9174CCE">
      <w:pPr>
        <w:spacing w:line="360" w:lineRule="auto"/>
        <w:ind w:firstLine="241" w:firstLineChars="1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3.投标文件的澄清</w:t>
      </w:r>
    </w:p>
    <w:p w14:paraId="288D5C17">
      <w:pPr>
        <w:autoSpaceDE w:val="0"/>
        <w:spacing w:line="360" w:lineRule="auto"/>
        <w:ind w:firstLine="240" w:firstLineChars="1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3.1在评标过程中，对于投标文件中含义不明确、同类问题表述不一致或者有明显文字和计算错误的内容，评标委员会可以通过电子化交易平台要求供应商对所提交投标文件中不明确的内容进行澄清或说明，或者对细微偏差进行补正。评标委员会不接受供应商主动提出的澄清、说明或补正。</w:t>
      </w:r>
      <w:r>
        <w:rPr>
          <w:rFonts w:hint="eastAsia" w:asciiTheme="minorEastAsia" w:hAnsiTheme="minorEastAsia" w:eastAsiaTheme="minorEastAsia" w:cstheme="minorEastAsia"/>
          <w:b/>
          <w:color w:val="auto"/>
          <w:sz w:val="24"/>
          <w:szCs w:val="24"/>
          <w:highlight w:val="none"/>
        </w:rPr>
        <w:t>（具体操作详见电子化注意事项）</w:t>
      </w:r>
    </w:p>
    <w:p w14:paraId="628AFF7E">
      <w:pPr>
        <w:tabs>
          <w:tab w:val="left" w:pos="720"/>
        </w:tabs>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3.2供应商的澄清、说明或者补正应当通过三门峡市公共资源交易平台操作进行。供应商的澄清、说明或者补正不得超出投标文件的范围或者改变投标文件的实质性内容。</w:t>
      </w:r>
    </w:p>
    <w:p w14:paraId="449250FF">
      <w:pPr>
        <w:spacing w:line="360" w:lineRule="auto"/>
        <w:ind w:firstLine="424" w:firstLineChars="176"/>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4.投标文件计算错误的修正</w:t>
      </w:r>
    </w:p>
    <w:p w14:paraId="09BD188E">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4.1评标委员会将对确定为实质上响应招标文件要求的投标文件进行校核，看其是否有计算或表达上的错误，修正错误的原则如下：</w:t>
      </w:r>
    </w:p>
    <w:p w14:paraId="5AE635CC">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4.1.1投标文件中的大写金额和小写金额不一致的，以大写金额为准；</w:t>
      </w:r>
    </w:p>
    <w:p w14:paraId="145BD0EC">
      <w:pPr>
        <w:spacing w:line="360" w:lineRule="auto"/>
        <w:ind w:firstLine="48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4.1.2投标文件中投标函、投标函附录、投标报价明细表等所有报价均一致。若出现不一致时以投标报价明细表报价为准；</w:t>
      </w:r>
    </w:p>
    <w:p w14:paraId="11F40DEF">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4.1.3单价金额小数点或者百分比有明显错位的，以总价为准，并修改单价；</w:t>
      </w:r>
    </w:p>
    <w:p w14:paraId="33222FAC">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4.1.4总价金额与按单价汇总金额不一致的，以单价金额计算结果为准。</w:t>
      </w:r>
    </w:p>
    <w:p w14:paraId="03DE0E8B">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4.2按上述修正错误的原则及方法调整或修正投标文件的投标报价，投标供应商同意后，调整后的投标报价对投标供应商起约束作用。如果投标供应商不接受修正后的报价，则其投标将被拒绝，并不影响评标工作。</w:t>
      </w:r>
    </w:p>
    <w:p w14:paraId="419B95BE">
      <w:pPr>
        <w:spacing w:line="360" w:lineRule="auto"/>
        <w:ind w:firstLine="472" w:firstLineChars="196"/>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5.投标文件有下列情形之一的，为未能对招标文件作出实质性响应，由评标委员会初审后按无效标处理：</w:t>
      </w:r>
    </w:p>
    <w:p w14:paraId="43208F8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5.1投标供应商在生成电子化投标文件后，应对电子化投标文件进行签章，未进行签章的视为无效投标。</w:t>
      </w:r>
    </w:p>
    <w:p w14:paraId="25656A8C">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5.2投标供应商资格条件不符合国家有关规定和招标文件要求的；</w:t>
      </w:r>
    </w:p>
    <w:p w14:paraId="15E1A71C">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5.3投标文件载明的招标项目完成期限超过招标文件规定期限的；</w:t>
      </w:r>
    </w:p>
    <w:p w14:paraId="388B9834">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5.4投标供应商的报价明显低于其他投标供应商报价，使得其投标报价可能低于其成本的，当评委会要求该投标供应商做出书面说明并提供相关证明材料，而投标供应商不能合理说明或者不能提供相关证明材料的，由评标委员会认定该投标供应商以低于成本报价竞标，其投标应做无效标处理；</w:t>
      </w:r>
    </w:p>
    <w:p w14:paraId="4EAE128A">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5.5投标文件附有采购人不能接受的条件的；</w:t>
      </w:r>
    </w:p>
    <w:p w14:paraId="623F72AC">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5.6以他人的名义投标、串通投标、以行贿手段谋取中标或者以其他弄虚作假方式投标的；</w:t>
      </w:r>
    </w:p>
    <w:p w14:paraId="66C93D25">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5.7采取不正当手段谋取中标的；</w:t>
      </w:r>
    </w:p>
    <w:p w14:paraId="16F9D1CA">
      <w:pPr>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注：“5.4项 相关证明资料”主要指价格构成相关材料。</w:t>
      </w:r>
    </w:p>
    <w:p w14:paraId="5E066946">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①货物的原材料或进货成本；②加工、仓储和运输成本；③材料损耗和设备折旧成本；④安装、调试和维护成本；⑤投入项目人员的薪资、福利、社保等人工成本；⑥企业税收和财务成本；⑦风险准备；⑧合理利润等。</w:t>
      </w:r>
    </w:p>
    <w:p w14:paraId="37F67C09">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15270A62">
      <w:pPr>
        <w:spacing w:line="360" w:lineRule="auto"/>
        <w:ind w:firstLine="424" w:firstLineChars="176"/>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 6、综合比较与评价</w:t>
      </w:r>
    </w:p>
    <w:p w14:paraId="3409C701">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6.1评标委员会按照招标文件中规定的评标方法和标准</w:t>
      </w:r>
      <w:r>
        <w:rPr>
          <w:rFonts w:hint="eastAsia" w:asciiTheme="minorEastAsia" w:hAnsiTheme="minorEastAsia" w:eastAsiaTheme="minorEastAsia" w:cstheme="minorEastAsia"/>
          <w:b/>
          <w:color w:val="auto"/>
          <w:sz w:val="24"/>
          <w:szCs w:val="24"/>
          <w:highlight w:val="none"/>
        </w:rPr>
        <w:t>（详见附件三：评分标准）</w:t>
      </w:r>
      <w:r>
        <w:rPr>
          <w:rFonts w:hint="eastAsia" w:asciiTheme="minorEastAsia" w:hAnsiTheme="minorEastAsia" w:eastAsiaTheme="minorEastAsia" w:cstheme="minorEastAsia"/>
          <w:color w:val="auto"/>
          <w:sz w:val="24"/>
          <w:szCs w:val="24"/>
          <w:highlight w:val="none"/>
        </w:rPr>
        <w:t>，对符合性审查合格的投标文件进行商务和技术评估，综合比较与评价。</w:t>
      </w:r>
    </w:p>
    <w:p w14:paraId="2B5B3AEE">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6.2</w:t>
      </w:r>
      <w:bookmarkStart w:id="462" w:name="OLE_LINK81"/>
      <w:r>
        <w:rPr>
          <w:rFonts w:hint="eastAsia" w:asciiTheme="minorEastAsia" w:hAnsiTheme="minorEastAsia" w:eastAsiaTheme="minorEastAsia" w:cstheme="minorEastAsia"/>
          <w:color w:val="auto"/>
          <w:sz w:val="24"/>
          <w:szCs w:val="24"/>
          <w:highlight w:val="none"/>
          <w:shd w:val="clear" w:color="auto" w:fill="FFFFFF"/>
          <w:lang w:bidi="ar"/>
        </w:rPr>
        <w:t>相同品牌产品投标的处理</w:t>
      </w:r>
      <w:bookmarkEnd w:id="462"/>
    </w:p>
    <w:p w14:paraId="1778F59E">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提供相同品牌产品且通过资格审查、符合性审查的不同投标人参加同一合同项下投标的，按一家投标人计算，评审后得分最高的同品牌投标人获得中标人推荐资格；评审得分相同的，投标报价最低的投标人获得中标人推荐资格，其他同品牌投标人不作为中标候选人。若报价相同的，以技术标得分最高的投标供应商获得中标供应商推荐资格。</w:t>
      </w:r>
    </w:p>
    <w:p w14:paraId="46B32977">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shd w:val="clear" w:color="auto" w:fill="FFFFFF"/>
          <w:lang w:bidi="ar"/>
        </w:rPr>
        <w:t>非单一产品采购项目，采购人应当根据采购项目技术构成、产品价格比重等合理确定核心产品，并在招标文件中载明。多家投标人提供的核心产品品牌相同的，视为提供相同品牌产品。</w:t>
      </w:r>
    </w:p>
    <w:p w14:paraId="29C48470">
      <w:pPr>
        <w:tabs>
          <w:tab w:val="left" w:pos="720"/>
        </w:tabs>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6.3评标时，评标委员会各成员应当独立对每个供应商的投标文件进行评价，并汇总每个供应商的得分。</w:t>
      </w:r>
    </w:p>
    <w:p w14:paraId="67051692">
      <w:pPr>
        <w:tabs>
          <w:tab w:val="left" w:pos="720"/>
        </w:tabs>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6.4在评审过程中，评标委员会可以以书面形式要求投标供应商就电子化投标文件中含义不明确的内容进行书面说明并提供相关材料；凡遇到招标文件中无界定或界定不清、前后不一致使评委会成员意见有分歧且又难于协商一致的问题，均由评委会予以表决，获半数以上同意的即为通过，未获半数同意的即为否决。</w:t>
      </w:r>
    </w:p>
    <w:p w14:paraId="2606AE20">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b/>
          <w:bCs/>
          <w:color w:val="auto"/>
          <w:sz w:val="24"/>
          <w:szCs w:val="24"/>
          <w:highlight w:val="none"/>
        </w:rPr>
        <w:t>7、评标结果</w:t>
      </w:r>
    </w:p>
    <w:p w14:paraId="0E46801C">
      <w:pPr>
        <w:spacing w:line="360" w:lineRule="auto"/>
        <w:ind w:firstLine="480" w:firstLineChars="200"/>
        <w:jc w:val="left"/>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sz w:val="24"/>
          <w:szCs w:val="24"/>
          <w:highlight w:val="none"/>
        </w:rPr>
        <w:t>7.1</w:t>
      </w:r>
      <w:r>
        <w:rPr>
          <w:rFonts w:hint="eastAsia" w:asciiTheme="minorEastAsia" w:hAnsiTheme="minorEastAsia" w:eastAsiaTheme="minorEastAsia" w:cstheme="minorEastAsia"/>
          <w:bCs/>
          <w:color w:val="auto"/>
          <w:sz w:val="24"/>
          <w:szCs w:val="24"/>
          <w:highlight w:val="none"/>
        </w:rPr>
        <w:t>评标结果按评审后得分由高到底顺序排列。</w:t>
      </w:r>
      <w:r>
        <w:rPr>
          <w:rFonts w:hint="eastAsia" w:asciiTheme="minorEastAsia" w:hAnsiTheme="minorEastAsia" w:eastAsiaTheme="minorEastAsia" w:cstheme="minorEastAsia"/>
          <w:color w:val="auto"/>
          <w:sz w:val="24"/>
          <w:szCs w:val="24"/>
          <w:highlight w:val="none"/>
        </w:rPr>
        <w:t>得分相同的，按投标报价由低到高顺序排列。得分且投标报价相同的并列。投标文件满足招标文件全部实质性要求，且按照评审因素的量化指标评审得分最高的投标供应商为排名第一的中标候选人。</w:t>
      </w:r>
    </w:p>
    <w:p w14:paraId="6C6A175C">
      <w:pPr>
        <w:spacing w:line="360" w:lineRule="auto"/>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7.2评标委员会完成评标后，应当向采购人提交书面评标报告。</w:t>
      </w:r>
    </w:p>
    <w:p w14:paraId="7B1FD2E9">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7.3评标委员会成员对需要共同认定的事项存在争议的，应当按照少数服从多数的原则作出结论。持不同意见的评标委员会成员应当在评标报告上签署不同意见及理由，否则视为同意评标报告。评标委员会应当对此作出书面说明并记录在案。</w:t>
      </w:r>
    </w:p>
    <w:p w14:paraId="330B5D82">
      <w:pPr>
        <w:spacing w:line="360" w:lineRule="auto"/>
        <w:ind w:firstLine="480" w:firstLineChars="200"/>
        <w:rPr>
          <w:rFonts w:hint="eastAsia" w:asciiTheme="minorEastAsia" w:hAnsiTheme="minorEastAsia" w:eastAsiaTheme="minorEastAsia" w:cstheme="minorEastAsia"/>
          <w:color w:val="auto"/>
          <w:sz w:val="24"/>
          <w:szCs w:val="24"/>
          <w:highlight w:val="none"/>
        </w:rPr>
      </w:pPr>
    </w:p>
    <w:p w14:paraId="2024F72E">
      <w:pP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br w:type="page"/>
      </w:r>
    </w:p>
    <w:p w14:paraId="0FAE4181">
      <w:pPr>
        <w:spacing w:line="360" w:lineRule="auto"/>
        <w:jc w:val="center"/>
        <w:outlineLvl w:val="0"/>
        <w:rPr>
          <w:rFonts w:hint="eastAsia" w:asciiTheme="minorEastAsia" w:hAnsiTheme="minorEastAsia" w:eastAsiaTheme="minorEastAsia" w:cstheme="minorEastAsia"/>
          <w:b/>
          <w:bCs/>
          <w:color w:val="auto"/>
          <w:sz w:val="30"/>
          <w:szCs w:val="32"/>
          <w:highlight w:val="none"/>
          <w:shd w:val="clear" w:color="auto" w:fill="FFFFFF"/>
        </w:rPr>
      </w:pPr>
      <w:bookmarkStart w:id="463" w:name="_Toc176358371"/>
      <w:bookmarkStart w:id="464" w:name="OLE_LINK4"/>
      <w:bookmarkStart w:id="465" w:name="OLE_LINK3"/>
      <w:r>
        <w:rPr>
          <w:rFonts w:hint="eastAsia" w:asciiTheme="minorEastAsia" w:hAnsiTheme="minorEastAsia" w:eastAsiaTheme="minorEastAsia" w:cstheme="minorEastAsia"/>
          <w:b/>
          <w:bCs/>
          <w:color w:val="auto"/>
          <w:sz w:val="30"/>
          <w:szCs w:val="32"/>
          <w:highlight w:val="none"/>
          <w:shd w:val="clear" w:color="auto" w:fill="FFFFFF"/>
        </w:rPr>
        <w:t>第五章 合同条款及格式</w:t>
      </w:r>
      <w:bookmarkEnd w:id="459"/>
      <w:bookmarkEnd w:id="460"/>
      <w:bookmarkEnd w:id="461"/>
      <w:bookmarkEnd w:id="463"/>
    </w:p>
    <w:bookmarkEnd w:id="464"/>
    <w:bookmarkEnd w:id="465"/>
    <w:p w14:paraId="1001F92B">
      <w:pPr>
        <w:tabs>
          <w:tab w:val="left" w:pos="8280"/>
        </w:tabs>
        <w:snapToGrid w:val="0"/>
        <w:spacing w:line="500" w:lineRule="exact"/>
        <w:jc w:val="center"/>
        <w:outlineLvl w:val="0"/>
        <w:rPr>
          <w:rFonts w:hint="eastAsia" w:asciiTheme="minorEastAsia" w:hAnsiTheme="minorEastAsia" w:eastAsiaTheme="minorEastAsia" w:cstheme="minorEastAsia"/>
          <w:b/>
          <w:color w:val="auto"/>
          <w:sz w:val="36"/>
          <w:szCs w:val="36"/>
          <w:highlight w:val="none"/>
        </w:rPr>
      </w:pPr>
      <w:bookmarkStart w:id="466" w:name="_Toc108777259"/>
      <w:bookmarkStart w:id="467" w:name="_Toc108777071"/>
      <w:bookmarkStart w:id="468" w:name="_Toc108777134"/>
    </w:p>
    <w:p w14:paraId="1D464F3E">
      <w:pPr>
        <w:pStyle w:val="7"/>
        <w:spacing w:after="0"/>
        <w:jc w:val="center"/>
        <w:rPr>
          <w:rFonts w:hint="eastAsia" w:asciiTheme="minorEastAsia" w:hAnsiTheme="minorEastAsia" w:eastAsiaTheme="minorEastAsia" w:cstheme="minorEastAsia"/>
          <w:b/>
          <w:bCs/>
          <w:color w:val="auto"/>
          <w:spacing w:val="-20"/>
          <w:kern w:val="44"/>
          <w:sz w:val="48"/>
          <w:szCs w:val="48"/>
          <w:highlight w:val="none"/>
        </w:rPr>
      </w:pPr>
      <w:bookmarkStart w:id="469" w:name="_Toc3995"/>
    </w:p>
    <w:p w14:paraId="54918202">
      <w:pPr>
        <w:pStyle w:val="7"/>
        <w:spacing w:after="0"/>
        <w:jc w:val="center"/>
        <w:rPr>
          <w:rFonts w:hint="eastAsia" w:asciiTheme="minorEastAsia" w:hAnsiTheme="minorEastAsia" w:eastAsiaTheme="minorEastAsia" w:cstheme="minorEastAsia"/>
          <w:b/>
          <w:bCs/>
          <w:color w:val="auto"/>
          <w:spacing w:val="-20"/>
          <w:kern w:val="44"/>
          <w:sz w:val="48"/>
          <w:szCs w:val="48"/>
          <w:highlight w:val="none"/>
        </w:rPr>
      </w:pPr>
    </w:p>
    <w:p w14:paraId="6D97D9B7">
      <w:pPr>
        <w:pStyle w:val="7"/>
        <w:spacing w:after="0"/>
        <w:jc w:val="center"/>
        <w:rPr>
          <w:rFonts w:hint="eastAsia" w:asciiTheme="minorEastAsia" w:hAnsiTheme="minorEastAsia" w:eastAsiaTheme="minorEastAsia" w:cstheme="minorEastAsia"/>
          <w:b/>
          <w:bCs/>
          <w:color w:val="auto"/>
          <w:spacing w:val="-20"/>
          <w:kern w:val="44"/>
          <w:sz w:val="48"/>
          <w:szCs w:val="48"/>
          <w:highlight w:val="none"/>
        </w:rPr>
      </w:pPr>
    </w:p>
    <w:p w14:paraId="279F485E">
      <w:pPr>
        <w:pStyle w:val="7"/>
        <w:spacing w:after="0"/>
        <w:jc w:val="center"/>
        <w:rPr>
          <w:rFonts w:hint="eastAsia" w:asciiTheme="minorEastAsia" w:hAnsiTheme="minorEastAsia" w:eastAsiaTheme="minorEastAsia" w:cstheme="minorEastAsia"/>
          <w:b/>
          <w:bCs/>
          <w:color w:val="auto"/>
          <w:spacing w:val="-20"/>
          <w:kern w:val="44"/>
          <w:sz w:val="48"/>
          <w:szCs w:val="48"/>
          <w:highlight w:val="none"/>
        </w:rPr>
      </w:pPr>
    </w:p>
    <w:p w14:paraId="6B98771D">
      <w:pPr>
        <w:pStyle w:val="7"/>
        <w:spacing w:after="0"/>
        <w:jc w:val="center"/>
        <w:rPr>
          <w:rFonts w:hint="eastAsia" w:asciiTheme="minorEastAsia" w:hAnsiTheme="minorEastAsia" w:eastAsiaTheme="minorEastAsia" w:cstheme="minorEastAsia"/>
          <w:b/>
          <w:bCs/>
          <w:color w:val="auto"/>
          <w:spacing w:val="-20"/>
          <w:kern w:val="44"/>
          <w:sz w:val="48"/>
          <w:szCs w:val="48"/>
          <w:highlight w:val="none"/>
        </w:rPr>
      </w:pPr>
    </w:p>
    <w:p w14:paraId="4381AAF0">
      <w:pPr>
        <w:pStyle w:val="7"/>
        <w:spacing w:after="0" w:line="360" w:lineRule="auto"/>
        <w:jc w:val="center"/>
        <w:rPr>
          <w:rFonts w:hint="eastAsia" w:asciiTheme="minorEastAsia" w:hAnsiTheme="minorEastAsia" w:eastAsiaTheme="minorEastAsia" w:cstheme="minorEastAsia"/>
          <w:b/>
          <w:bCs/>
          <w:color w:val="auto"/>
          <w:spacing w:val="-20"/>
          <w:kern w:val="44"/>
          <w:sz w:val="48"/>
          <w:szCs w:val="48"/>
          <w:highlight w:val="none"/>
        </w:rPr>
      </w:pPr>
      <w:r>
        <w:rPr>
          <w:rFonts w:hint="eastAsia" w:asciiTheme="minorEastAsia" w:hAnsiTheme="minorEastAsia" w:eastAsiaTheme="minorEastAsia" w:cstheme="minorEastAsia"/>
          <w:b/>
          <w:bCs/>
          <w:color w:val="auto"/>
          <w:spacing w:val="-20"/>
          <w:kern w:val="44"/>
          <w:sz w:val="48"/>
          <w:szCs w:val="48"/>
          <w:highlight w:val="none"/>
        </w:rPr>
        <w:t>政府采购货物买卖合同</w:t>
      </w:r>
    </w:p>
    <w:p w14:paraId="4D8BD4F1">
      <w:pPr>
        <w:pStyle w:val="7"/>
        <w:spacing w:after="0" w:line="360" w:lineRule="auto"/>
        <w:jc w:val="center"/>
        <w:rPr>
          <w:rFonts w:hint="eastAsia" w:asciiTheme="minorEastAsia" w:hAnsiTheme="minorEastAsia" w:eastAsiaTheme="minorEastAsia" w:cstheme="minorEastAsia"/>
          <w:b/>
          <w:bCs/>
          <w:color w:val="auto"/>
          <w:spacing w:val="-20"/>
          <w:kern w:val="44"/>
          <w:sz w:val="48"/>
          <w:szCs w:val="48"/>
          <w:highlight w:val="none"/>
        </w:rPr>
      </w:pPr>
      <w:r>
        <w:rPr>
          <w:rFonts w:hint="eastAsia" w:asciiTheme="minorEastAsia" w:hAnsiTheme="minorEastAsia" w:eastAsiaTheme="minorEastAsia" w:cstheme="minorEastAsia"/>
          <w:b/>
          <w:bCs/>
          <w:color w:val="auto"/>
          <w:spacing w:val="-20"/>
          <w:kern w:val="44"/>
          <w:sz w:val="48"/>
          <w:szCs w:val="48"/>
          <w:highlight w:val="none"/>
        </w:rPr>
        <w:t>（试行）</w:t>
      </w:r>
    </w:p>
    <w:p w14:paraId="147CD608">
      <w:pPr>
        <w:spacing w:line="360" w:lineRule="auto"/>
        <w:rPr>
          <w:rFonts w:hint="eastAsia" w:asciiTheme="minorEastAsia" w:hAnsiTheme="minorEastAsia" w:eastAsiaTheme="minorEastAsia" w:cstheme="minorEastAsia"/>
          <w:b/>
          <w:bCs/>
          <w:color w:val="auto"/>
          <w:spacing w:val="-20"/>
          <w:kern w:val="44"/>
          <w:sz w:val="40"/>
          <w:szCs w:val="40"/>
          <w:highlight w:val="none"/>
        </w:rPr>
      </w:pPr>
    </w:p>
    <w:p w14:paraId="5DF40972">
      <w:pPr>
        <w:rPr>
          <w:rFonts w:hint="eastAsia" w:asciiTheme="minorEastAsia" w:hAnsiTheme="minorEastAsia" w:eastAsiaTheme="minorEastAsia" w:cstheme="minorEastAsia"/>
          <w:b/>
          <w:bCs/>
          <w:color w:val="auto"/>
          <w:spacing w:val="-20"/>
          <w:kern w:val="44"/>
          <w:sz w:val="40"/>
          <w:szCs w:val="40"/>
          <w:highlight w:val="none"/>
        </w:rPr>
      </w:pPr>
    </w:p>
    <w:p w14:paraId="33FE29B2">
      <w:pPr>
        <w:rPr>
          <w:rFonts w:hint="eastAsia" w:asciiTheme="minorEastAsia" w:hAnsiTheme="minorEastAsia" w:eastAsiaTheme="minorEastAsia" w:cstheme="minorEastAsia"/>
          <w:b/>
          <w:bCs/>
          <w:color w:val="auto"/>
          <w:spacing w:val="-20"/>
          <w:kern w:val="44"/>
          <w:sz w:val="40"/>
          <w:szCs w:val="40"/>
          <w:highlight w:val="none"/>
        </w:rPr>
      </w:pPr>
    </w:p>
    <w:p w14:paraId="44C6DA34">
      <w:pPr>
        <w:spacing w:line="360" w:lineRule="auto"/>
        <w:ind w:left="420" w:left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项目名称：</w:t>
      </w:r>
      <w:r>
        <w:rPr>
          <w:rFonts w:hint="eastAsia" w:asciiTheme="minorEastAsia" w:hAnsiTheme="minorEastAsia" w:eastAsiaTheme="minorEastAsia" w:cstheme="minorEastAsia"/>
          <w:color w:val="auto"/>
          <w:sz w:val="32"/>
          <w:szCs w:val="32"/>
          <w:highlight w:val="none"/>
          <w:u w:val="single"/>
        </w:rPr>
        <w:t xml:space="preserve">                             </w:t>
      </w:r>
    </w:p>
    <w:p w14:paraId="5C7179F7">
      <w:pPr>
        <w:spacing w:line="360" w:lineRule="auto"/>
        <w:ind w:left="420" w:leftChars="200"/>
        <w:rPr>
          <w:rFonts w:hint="eastAsia" w:asciiTheme="minorEastAsia" w:hAnsiTheme="minorEastAsia" w:eastAsiaTheme="minorEastAsia" w:cstheme="minorEastAsia"/>
          <w:color w:val="auto"/>
          <w:sz w:val="32"/>
          <w:szCs w:val="32"/>
          <w:highlight w:val="none"/>
          <w:u w:val="single"/>
        </w:rPr>
      </w:pPr>
      <w:r>
        <w:rPr>
          <w:rFonts w:hint="eastAsia" w:asciiTheme="minorEastAsia" w:hAnsiTheme="minorEastAsia" w:eastAsiaTheme="minorEastAsia" w:cstheme="minorEastAsia"/>
          <w:color w:val="auto"/>
          <w:sz w:val="32"/>
          <w:szCs w:val="32"/>
          <w:highlight w:val="none"/>
        </w:rPr>
        <w:t>合同编号：</w:t>
      </w:r>
      <w:r>
        <w:rPr>
          <w:rFonts w:hint="eastAsia" w:asciiTheme="minorEastAsia" w:hAnsiTheme="minorEastAsia" w:eastAsiaTheme="minorEastAsia" w:cstheme="minorEastAsia"/>
          <w:color w:val="auto"/>
          <w:sz w:val="32"/>
          <w:szCs w:val="32"/>
          <w:highlight w:val="none"/>
          <w:u w:val="single"/>
        </w:rPr>
        <w:t xml:space="preserve">                             </w:t>
      </w:r>
    </w:p>
    <w:p w14:paraId="1B90461F">
      <w:pPr>
        <w:spacing w:line="360" w:lineRule="auto"/>
        <w:ind w:left="420" w:left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甲    方：</w:t>
      </w:r>
      <w:r>
        <w:rPr>
          <w:rFonts w:hint="eastAsia" w:asciiTheme="minorEastAsia" w:hAnsiTheme="minorEastAsia" w:eastAsiaTheme="minorEastAsia" w:cstheme="minorEastAsia"/>
          <w:color w:val="auto"/>
          <w:sz w:val="32"/>
          <w:szCs w:val="32"/>
          <w:highlight w:val="none"/>
          <w:u w:val="single"/>
        </w:rPr>
        <w:t xml:space="preserve">                             </w:t>
      </w:r>
    </w:p>
    <w:p w14:paraId="1AFACB85">
      <w:pPr>
        <w:spacing w:line="360" w:lineRule="auto"/>
        <w:ind w:left="420" w:leftChars="200"/>
        <w:rPr>
          <w:rFonts w:hint="eastAsia" w:asciiTheme="minorEastAsia" w:hAnsiTheme="minorEastAsia" w:eastAsiaTheme="minorEastAsia" w:cstheme="minorEastAsia"/>
          <w:color w:val="auto"/>
          <w:sz w:val="32"/>
          <w:szCs w:val="32"/>
          <w:highlight w:val="none"/>
          <w:u w:val="single"/>
        </w:rPr>
      </w:pPr>
      <w:r>
        <w:rPr>
          <w:rFonts w:hint="eastAsia" w:asciiTheme="minorEastAsia" w:hAnsiTheme="minorEastAsia" w:eastAsiaTheme="minorEastAsia" w:cstheme="minorEastAsia"/>
          <w:color w:val="auto"/>
          <w:sz w:val="32"/>
          <w:szCs w:val="32"/>
          <w:highlight w:val="none"/>
        </w:rPr>
        <w:t>乙    方：</w:t>
      </w:r>
      <w:r>
        <w:rPr>
          <w:rFonts w:hint="eastAsia" w:asciiTheme="minorEastAsia" w:hAnsiTheme="minorEastAsia" w:eastAsiaTheme="minorEastAsia" w:cstheme="minorEastAsia"/>
          <w:color w:val="auto"/>
          <w:sz w:val="32"/>
          <w:szCs w:val="32"/>
          <w:highlight w:val="none"/>
          <w:u w:val="single"/>
        </w:rPr>
        <w:t xml:space="preserve">                             </w:t>
      </w:r>
    </w:p>
    <w:p w14:paraId="5BAFDC30">
      <w:pPr>
        <w:spacing w:line="360" w:lineRule="auto"/>
        <w:ind w:left="420" w:leftChars="200"/>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sz w:val="32"/>
          <w:szCs w:val="32"/>
          <w:highlight w:val="none"/>
        </w:rPr>
        <w:t>签订时间：</w:t>
      </w:r>
      <w:r>
        <w:rPr>
          <w:rFonts w:hint="eastAsia" w:asciiTheme="minorEastAsia" w:hAnsiTheme="minorEastAsia" w:eastAsiaTheme="minorEastAsia" w:cstheme="minorEastAsia"/>
          <w:color w:val="auto"/>
          <w:sz w:val="32"/>
          <w:szCs w:val="32"/>
          <w:highlight w:val="none"/>
          <w:u w:val="single"/>
        </w:rPr>
        <w:t xml:space="preserve">                             </w:t>
      </w:r>
    </w:p>
    <w:p w14:paraId="0AC19ECD">
      <w:pPr>
        <w:rPr>
          <w:rFonts w:hint="eastAsia" w:asciiTheme="minorEastAsia" w:hAnsiTheme="minorEastAsia" w:eastAsiaTheme="minorEastAsia" w:cstheme="minorEastAsia"/>
          <w:color w:val="auto"/>
          <w:highlight w:val="none"/>
        </w:rPr>
      </w:pPr>
    </w:p>
    <w:p w14:paraId="0CA582CF">
      <w:pP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p>
    <w:p w14:paraId="66374C97">
      <w:pPr>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使 用 说 明</w:t>
      </w:r>
    </w:p>
    <w:p w14:paraId="557215F2">
      <w:pPr>
        <w:spacing w:line="360" w:lineRule="auto"/>
        <w:ind w:firstLine="640" w:firstLineChars="200"/>
        <w:rPr>
          <w:rFonts w:hint="eastAsia" w:asciiTheme="minorEastAsia" w:hAnsiTheme="minorEastAsia" w:eastAsiaTheme="minorEastAsia" w:cstheme="minorEastAsia"/>
          <w:color w:val="auto"/>
          <w:sz w:val="32"/>
          <w:szCs w:val="32"/>
          <w:highlight w:val="none"/>
        </w:rPr>
      </w:pPr>
    </w:p>
    <w:p w14:paraId="230C1AB5">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1.本合同标准文本适用于购买现成货物的采购项目，不包括需要供应商定制开发、创新研发的货物采购项目。</w:t>
      </w:r>
    </w:p>
    <w:p w14:paraId="39341CEF">
      <w:pPr>
        <w:spacing w:line="360" w:lineRule="auto"/>
        <w:ind w:firstLine="560" w:firstLineChars="200"/>
        <w:rPr>
          <w:rFonts w:hint="eastAsia" w:asciiTheme="minorEastAsia" w:hAnsiTheme="minorEastAsia" w:eastAsiaTheme="minorEastAsia" w:cstheme="minorEastAsia"/>
          <w:color w:val="auto"/>
          <w:sz w:val="40"/>
          <w:szCs w:val="40"/>
          <w:highlight w:val="none"/>
        </w:rPr>
      </w:pPr>
      <w:r>
        <w:rPr>
          <w:rFonts w:hint="eastAsia" w:asciiTheme="minorEastAsia" w:hAnsiTheme="minorEastAsia" w:eastAsiaTheme="minorEastAsia" w:cstheme="minorEastAsia"/>
          <w:color w:val="auto"/>
          <w:sz w:val="28"/>
          <w:szCs w:val="28"/>
          <w:highlight w:val="none"/>
        </w:rPr>
        <w:t>2.本合同标准文本为政府采购货物买卖合同编制提供参考，可以结合采购项目具体情况，对文本作必要的调整修订后使用。</w:t>
      </w:r>
    </w:p>
    <w:p w14:paraId="4D0FA994">
      <w:pPr>
        <w:spacing w:line="360" w:lineRule="auto"/>
        <w:ind w:firstLine="560" w:firstLineChars="200"/>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3.本合同标准文本各条款中，如涉及填写多家供应商、制造商，多种采购标的、分包主要内容等信息的，可根据采购项目具体情况添加信息项。</w:t>
      </w:r>
    </w:p>
    <w:p w14:paraId="505C74C2">
      <w:pPr>
        <w:ind w:firstLine="880" w:firstLineChars="200"/>
        <w:jc w:val="both"/>
        <w:rPr>
          <w:rFonts w:hint="eastAsia" w:asciiTheme="minorEastAsia" w:hAnsiTheme="minorEastAsia" w:eastAsiaTheme="minorEastAsia" w:cstheme="minorEastAsia"/>
          <w:color w:val="auto"/>
          <w:sz w:val="44"/>
          <w:szCs w:val="44"/>
          <w:highlight w:val="none"/>
        </w:rPr>
        <w:sectPr>
          <w:headerReference r:id="rId12" w:type="default"/>
          <w:footerReference r:id="rId13" w:type="default"/>
          <w:pgSz w:w="11906" w:h="16838"/>
          <w:pgMar w:top="1418" w:right="1588" w:bottom="1021" w:left="1588" w:header="851" w:footer="992" w:gutter="0"/>
          <w:cols w:space="720" w:num="1"/>
          <w:docGrid w:type="lines" w:linePitch="312" w:charSpace="0"/>
        </w:sectPr>
      </w:pPr>
    </w:p>
    <w:bookmarkEnd w:id="469"/>
    <w:p w14:paraId="58AF21A8">
      <w:pPr>
        <w:pStyle w:val="3"/>
        <w:numPr>
          <w:ilvl w:val="0"/>
          <w:numId w:val="0"/>
        </w:numPr>
        <w:snapToGrid w:val="0"/>
        <w:spacing w:before="0" w:after="0" w:line="360" w:lineRule="auto"/>
        <w:jc w:val="center"/>
        <w:rPr>
          <w:rFonts w:hint="eastAsia" w:asciiTheme="minorEastAsia" w:hAnsiTheme="minorEastAsia" w:eastAsiaTheme="minorEastAsia" w:cstheme="minorEastAsia"/>
          <w:b w:val="0"/>
          <w:bCs w:val="0"/>
          <w:color w:val="auto"/>
          <w:sz w:val="28"/>
          <w:szCs w:val="28"/>
          <w:highlight w:val="none"/>
        </w:rPr>
      </w:pPr>
      <w:bookmarkStart w:id="470" w:name="_Toc22209"/>
      <w:r>
        <w:rPr>
          <w:rFonts w:hint="eastAsia" w:asciiTheme="minorEastAsia" w:hAnsiTheme="minorEastAsia" w:eastAsiaTheme="minorEastAsia" w:cstheme="minorEastAsia"/>
          <w:b w:val="0"/>
          <w:bCs w:val="0"/>
          <w:color w:val="auto"/>
          <w:sz w:val="28"/>
          <w:szCs w:val="28"/>
          <w:highlight w:val="none"/>
        </w:rPr>
        <w:t>第一节 政府采购合同协议书</w:t>
      </w:r>
      <w:bookmarkEnd w:id="470"/>
    </w:p>
    <w:p w14:paraId="3F40B20D">
      <w:pPr>
        <w:pStyle w:val="3"/>
        <w:numPr>
          <w:ilvl w:val="0"/>
          <w:numId w:val="0"/>
        </w:numPr>
        <w:snapToGrid w:val="0"/>
        <w:spacing w:before="0" w:after="0" w:line="360" w:lineRule="auto"/>
        <w:ind w:firstLine="440" w:firstLineChars="200"/>
        <w:jc w:val="both"/>
        <w:rPr>
          <w:rFonts w:hint="eastAsia" w:asciiTheme="minorEastAsia" w:hAnsiTheme="minorEastAsia" w:eastAsiaTheme="minorEastAsia" w:cstheme="minorEastAsia"/>
          <w:b w:val="0"/>
          <w:bCs w:val="0"/>
          <w:color w:val="auto"/>
          <w:sz w:val="22"/>
          <w:szCs w:val="22"/>
          <w:highlight w:val="none"/>
        </w:rPr>
      </w:pPr>
    </w:p>
    <w:p w14:paraId="35DCC475">
      <w:pPr>
        <w:snapToGrid w:val="0"/>
        <w:spacing w:line="360" w:lineRule="auto"/>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甲方（全称）：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（采购人、受采购人委托签订合同的单位或采购文件约定的合同甲方）</w:t>
      </w:r>
    </w:p>
    <w:p w14:paraId="53830838">
      <w:pPr>
        <w:snapToGrid w:val="0"/>
        <w:spacing w:line="360" w:lineRule="auto"/>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乙方1（全称）：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（供应商）</w:t>
      </w:r>
    </w:p>
    <w:p w14:paraId="634BF4FE">
      <w:pPr>
        <w:snapToGrid w:val="0"/>
        <w:spacing w:line="360" w:lineRule="auto"/>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乙方2（全称）：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（联合体成员供应商或其他合同主体）（如有）</w:t>
      </w:r>
    </w:p>
    <w:p w14:paraId="5977A2B2">
      <w:pPr>
        <w:snapToGrid w:val="0"/>
        <w:spacing w:line="360" w:lineRule="auto"/>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乙方3（全称）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（联合体成员供应商或其他合同主体）（如有）</w:t>
      </w:r>
    </w:p>
    <w:p w14:paraId="071D517A">
      <w:pPr>
        <w:pStyle w:val="9"/>
        <w:snapToGrid w:val="0"/>
        <w:spacing w:after="0" w:line="360" w:lineRule="auto"/>
        <w:ind w:left="0" w:leftChars="0" w:firstLine="440" w:firstLineChars="200"/>
        <w:jc w:val="both"/>
        <w:rPr>
          <w:rFonts w:hint="eastAsia" w:asciiTheme="minorEastAsia" w:hAnsiTheme="minorEastAsia" w:eastAsiaTheme="minorEastAsia" w:cstheme="minorEastAsia"/>
          <w:b w:val="0"/>
          <w:bCs/>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4A75AEF">
      <w:pPr>
        <w:numPr>
          <w:ilvl w:val="0"/>
          <w:numId w:val="3"/>
        </w:numPr>
        <w:snapToGrid w:val="0"/>
        <w:spacing w:line="360" w:lineRule="auto"/>
        <w:ind w:firstLine="440" w:firstLineChars="200"/>
        <w:jc w:val="both"/>
        <w:rPr>
          <w:rFonts w:hint="eastAsia" w:asciiTheme="minorEastAsia" w:hAnsiTheme="minorEastAsia" w:eastAsiaTheme="minorEastAsia" w:cstheme="minorEastAsia"/>
          <w:b w:val="0"/>
          <w:bCs/>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项目信息</w:t>
      </w:r>
    </w:p>
    <w:p w14:paraId="1762EE00">
      <w:pPr>
        <w:pStyle w:val="9"/>
        <w:numPr>
          <w:ilvl w:val="0"/>
          <w:numId w:val="4"/>
        </w:numPr>
        <w:snapToGrid w:val="0"/>
        <w:spacing w:after="0" w:line="360" w:lineRule="auto"/>
        <w:ind w:left="0" w:leftChars="0" w:firstLine="440" w:firstLineChars="200"/>
        <w:jc w:val="both"/>
        <w:rPr>
          <w:rFonts w:hint="eastAsia" w:asciiTheme="minorEastAsia" w:hAnsiTheme="minorEastAsia" w:eastAsiaTheme="minorEastAsia" w:cstheme="minorEastAsia"/>
          <w:b w:val="0"/>
          <w:bCs/>
          <w:color w:val="auto"/>
          <w:sz w:val="22"/>
          <w:szCs w:val="22"/>
          <w:highlight w:val="none"/>
          <w:u w:val="single"/>
        </w:rPr>
      </w:pPr>
      <w:r>
        <w:rPr>
          <w:rFonts w:hint="eastAsia" w:asciiTheme="minorEastAsia" w:hAnsiTheme="minorEastAsia" w:eastAsiaTheme="minorEastAsia" w:cstheme="minorEastAsia"/>
          <w:b w:val="0"/>
          <w:bCs/>
          <w:color w:val="auto"/>
          <w:sz w:val="22"/>
          <w:szCs w:val="22"/>
          <w:highlight w:val="none"/>
        </w:rPr>
        <w:t>采购项目名称：</w:t>
      </w:r>
      <w:r>
        <w:rPr>
          <w:rFonts w:hint="eastAsia" w:asciiTheme="minorEastAsia" w:hAnsiTheme="minorEastAsia" w:eastAsiaTheme="minorEastAsia" w:cstheme="minorEastAsia"/>
          <w:b w:val="0"/>
          <w:bCs/>
          <w:color w:val="auto"/>
          <w:sz w:val="22"/>
          <w:szCs w:val="22"/>
          <w:highlight w:val="none"/>
          <w:u w:val="single"/>
        </w:rPr>
        <w:t xml:space="preserve">                                          </w:t>
      </w:r>
    </w:p>
    <w:p w14:paraId="361C71A6">
      <w:pPr>
        <w:pStyle w:val="9"/>
        <w:tabs>
          <w:tab w:val="left" w:pos="999"/>
        </w:tabs>
        <w:snapToGrid w:val="0"/>
        <w:spacing w:after="0" w:line="360" w:lineRule="auto"/>
        <w:ind w:left="0" w:leftChars="0" w:firstLine="440" w:firstLineChars="200"/>
        <w:jc w:val="both"/>
        <w:rPr>
          <w:rFonts w:hint="eastAsia" w:asciiTheme="minorEastAsia" w:hAnsiTheme="minorEastAsia" w:eastAsiaTheme="minorEastAsia" w:cstheme="minorEastAsia"/>
          <w:b w:val="0"/>
          <w:bCs/>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 xml:space="preserve">     采购项目编号：</w:t>
      </w:r>
      <w:r>
        <w:rPr>
          <w:rFonts w:hint="eastAsia" w:asciiTheme="minorEastAsia" w:hAnsiTheme="minorEastAsia" w:eastAsiaTheme="minorEastAsia" w:cstheme="minorEastAsia"/>
          <w:b w:val="0"/>
          <w:bCs/>
          <w:color w:val="auto"/>
          <w:sz w:val="22"/>
          <w:szCs w:val="22"/>
          <w:highlight w:val="none"/>
          <w:u w:val="single"/>
        </w:rPr>
        <w:t xml:space="preserve">                                          </w:t>
      </w:r>
    </w:p>
    <w:p w14:paraId="1EBE5A9C">
      <w:pPr>
        <w:pStyle w:val="9"/>
        <w:snapToGrid w:val="0"/>
        <w:spacing w:after="0" w:line="360" w:lineRule="auto"/>
        <w:ind w:left="0" w:leftChars="0"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 w:val="0"/>
          <w:bCs/>
          <w:color w:val="auto"/>
          <w:sz w:val="22"/>
          <w:szCs w:val="22"/>
          <w:highlight w:val="none"/>
        </w:rPr>
        <w:t>（2）采购计划编号：</w:t>
      </w:r>
      <w:r>
        <w:rPr>
          <w:rFonts w:hint="eastAsia" w:asciiTheme="minorEastAsia" w:hAnsiTheme="minorEastAsia" w:eastAsiaTheme="minorEastAsia" w:cstheme="minorEastAsia"/>
          <w:b w:val="0"/>
          <w:bCs/>
          <w:color w:val="auto"/>
          <w:sz w:val="22"/>
          <w:szCs w:val="22"/>
          <w:highlight w:val="none"/>
          <w:u w:val="single"/>
        </w:rPr>
        <w:t xml:space="preserve">                                          </w:t>
      </w:r>
    </w:p>
    <w:p w14:paraId="2B8EBBB6">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（3）项目内容：</w:t>
      </w:r>
    </w:p>
    <w:p w14:paraId="5F7D4CD7">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采购标的及数量（台/套</w:t>
      </w:r>
      <w:r>
        <w:rPr>
          <w:rFonts w:hint="eastAsia" w:asciiTheme="minorEastAsia" w:hAnsiTheme="minorEastAsia" w:eastAsiaTheme="minorEastAsia" w:cstheme="minorEastAsia"/>
          <w:color w:val="auto"/>
          <w:sz w:val="22"/>
          <w:szCs w:val="22"/>
          <w:highlight w:val="none"/>
          <w:lang w:val="en"/>
        </w:rPr>
        <w:t>/个/架/组等</w:t>
      </w: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sz w:val="22"/>
          <w:szCs w:val="22"/>
          <w:highlight w:val="none"/>
          <w:u w:val="single"/>
        </w:rPr>
        <w:t xml:space="preserve">                       </w:t>
      </w:r>
    </w:p>
    <w:p w14:paraId="4851C64D">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lang w:val="en"/>
        </w:rPr>
      </w:pPr>
      <w:r>
        <w:rPr>
          <w:rFonts w:hint="eastAsia" w:asciiTheme="minorEastAsia" w:hAnsiTheme="minorEastAsia" w:eastAsiaTheme="minorEastAsia" w:cstheme="minorEastAsia"/>
          <w:color w:val="auto"/>
          <w:sz w:val="22"/>
          <w:szCs w:val="22"/>
          <w:highlight w:val="none"/>
        </w:rPr>
        <w:t xml:space="preserve">     品牌：</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
        </w:rPr>
        <w:t xml:space="preserve">   </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
        </w:rPr>
        <w:t xml:space="preserve"> </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lang w:val="en"/>
        </w:rPr>
        <w:t xml:space="preserve">     </w:t>
      </w:r>
      <w:r>
        <w:rPr>
          <w:rFonts w:hint="eastAsia" w:asciiTheme="minorEastAsia" w:hAnsiTheme="minorEastAsia" w:eastAsiaTheme="minorEastAsia" w:cstheme="minorEastAsia"/>
          <w:color w:val="auto"/>
          <w:sz w:val="22"/>
          <w:szCs w:val="22"/>
          <w:highlight w:val="none"/>
        </w:rPr>
        <w:t>规格型号：</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
        </w:rPr>
        <w:t xml:space="preserve">  </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
        </w:rPr>
        <w:t xml:space="preserve">   </w:t>
      </w:r>
    </w:p>
    <w:p w14:paraId="1896CD75">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采购标的的技术要求、商务要求具体见附件。</w:t>
      </w:r>
    </w:p>
    <w:p w14:paraId="3BF98009">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①涉及信息类产品，请填写该产品关键部件的品牌、型号：</w:t>
      </w:r>
    </w:p>
    <w:p w14:paraId="3282B120">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标的名称：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u w:val="single"/>
          <w:lang w:val="en"/>
        </w:rPr>
        <w:t xml:space="preserve">               </w:t>
      </w:r>
      <w:r>
        <w:rPr>
          <w:rFonts w:hint="eastAsia" w:asciiTheme="minorEastAsia" w:hAnsiTheme="minorEastAsia" w:eastAsiaTheme="minorEastAsia" w:cstheme="minorEastAsia"/>
          <w:color w:val="auto"/>
          <w:sz w:val="22"/>
          <w:szCs w:val="22"/>
          <w:highlight w:val="none"/>
          <w:u w:val="single"/>
        </w:rPr>
        <w:t xml:space="preserve">    </w:t>
      </w:r>
    </w:p>
    <w:p w14:paraId="14E4C336">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关键部件：</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品牌：</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型号：</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w:t>
      </w:r>
    </w:p>
    <w:p w14:paraId="68B81A3B">
      <w:pPr>
        <w:pStyle w:val="3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kern w:val="2"/>
          <w:sz w:val="22"/>
          <w:szCs w:val="22"/>
          <w:highlight w:val="none"/>
        </w:rPr>
        <w:t>关键部件</w:t>
      </w: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品牌：</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型号：</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w:t>
      </w:r>
    </w:p>
    <w:p w14:paraId="1BD71523">
      <w:pPr>
        <w:pStyle w:val="3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关键部件：</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品牌：</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型号：</w:t>
      </w:r>
      <w:r>
        <w:rPr>
          <w:rFonts w:hint="eastAsia" w:asciiTheme="minorEastAsia" w:hAnsiTheme="minorEastAsia" w:eastAsiaTheme="minorEastAsia" w:cstheme="minorEastAsia"/>
          <w:color w:val="auto"/>
          <w:sz w:val="22"/>
          <w:szCs w:val="22"/>
          <w:highlight w:val="none"/>
          <w:u w:val="single"/>
        </w:rPr>
        <w:t xml:space="preserve">       </w:t>
      </w:r>
    </w:p>
    <w:p w14:paraId="1F543610">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（注：关键部件是指财政部会同有关部门发布的政府采购需求标准规定的需要通过国家有关部门指定的测评机构开展的安全可靠测评的软硬件，如CPU芯片、操作系统、数据库等。）</w:t>
      </w:r>
    </w:p>
    <w:p w14:paraId="7319558B">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②涉及车辆采购，请填写是否属于新能源汽车：</w:t>
      </w:r>
    </w:p>
    <w:p w14:paraId="3C5F36EC">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是，《政府采购品目分类目录》底级品目名称：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数量：</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金额：</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w:t>
      </w:r>
    </w:p>
    <w:p w14:paraId="24CAA622">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否</w:t>
      </w:r>
    </w:p>
    <w:p w14:paraId="48A45BEB">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sz w:val="22"/>
          <w:szCs w:val="22"/>
          <w:highlight w:val="none"/>
          <w:lang w:val="en"/>
        </w:rPr>
        <w:t>4</w:t>
      </w:r>
      <w:r>
        <w:rPr>
          <w:rFonts w:hint="eastAsia" w:asciiTheme="minorEastAsia" w:hAnsiTheme="minorEastAsia" w:eastAsiaTheme="minorEastAsia" w:cstheme="minorEastAsia"/>
          <w:color w:val="auto"/>
          <w:sz w:val="22"/>
          <w:szCs w:val="22"/>
          <w:highlight w:val="none"/>
        </w:rPr>
        <w:t>）政府采购组织形式：</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政府集中采购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部门集中采购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分散采购</w:t>
      </w:r>
    </w:p>
    <w:p w14:paraId="474DA470">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sz w:val="22"/>
          <w:szCs w:val="22"/>
          <w:highlight w:val="none"/>
          <w:lang w:val="en"/>
        </w:rPr>
        <w:t>5</w:t>
      </w:r>
      <w:r>
        <w:rPr>
          <w:rFonts w:hint="eastAsia" w:asciiTheme="minorEastAsia" w:hAnsiTheme="minorEastAsia" w:eastAsiaTheme="minorEastAsia" w:cstheme="minorEastAsia"/>
          <w:color w:val="auto"/>
          <w:sz w:val="22"/>
          <w:szCs w:val="22"/>
          <w:highlight w:val="none"/>
        </w:rPr>
        <w:t>）政府采购方式：</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公开招标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邀请招标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竞争性谈判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竞争性磋商</w:t>
      </w:r>
    </w:p>
    <w:p w14:paraId="4CC0D118">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询价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单一来源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框架协议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其他：</w:t>
      </w:r>
      <w:r>
        <w:rPr>
          <w:rFonts w:hint="eastAsia" w:asciiTheme="minorEastAsia" w:hAnsiTheme="minorEastAsia" w:eastAsiaTheme="minorEastAsia" w:cstheme="minorEastAsia"/>
          <w:color w:val="auto"/>
          <w:sz w:val="22"/>
          <w:szCs w:val="22"/>
          <w:highlight w:val="none"/>
          <w:u w:val="single"/>
        </w:rPr>
        <w:t xml:space="preserve">          </w:t>
      </w:r>
    </w:p>
    <w:p w14:paraId="25475C70">
      <w:pPr>
        <w:pStyle w:val="30"/>
        <w:snapToGrid w:val="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（注：在框架协议采购的第二阶段，可选择使用该合同文本）</w:t>
      </w:r>
    </w:p>
    <w:p w14:paraId="4F945A7B">
      <w:pPr>
        <w:pStyle w:val="30"/>
        <w:snapToGrid w:val="0"/>
        <w:spacing w:line="360" w:lineRule="auto"/>
        <w:ind w:firstLine="480"/>
        <w:jc w:val="both"/>
        <w:rPr>
          <w:rFonts w:hint="eastAsia" w:asciiTheme="minorEastAsia" w:hAnsiTheme="minorEastAsia" w:eastAsiaTheme="minorEastAsia" w:cstheme="minorEastAsia"/>
          <w:color w:val="auto"/>
          <w:kern w:val="2"/>
          <w:sz w:val="22"/>
          <w:szCs w:val="22"/>
          <w:highlight w:val="none"/>
        </w:rPr>
      </w:pP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sz w:val="22"/>
          <w:szCs w:val="22"/>
          <w:highlight w:val="none"/>
          <w:lang w:val="en"/>
        </w:rPr>
        <w:t>6</w:t>
      </w: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kern w:val="2"/>
          <w:sz w:val="22"/>
          <w:szCs w:val="22"/>
          <w:highlight w:val="none"/>
        </w:rPr>
        <w:t>中标（成交）采购标的制造商是否为中小企业：</w:t>
      </w:r>
      <w:r>
        <w:rPr>
          <w:rFonts w:hint="eastAsia" w:asciiTheme="minorEastAsia" w:hAnsiTheme="minorEastAsia" w:eastAsiaTheme="minorEastAsia" w:cstheme="minorEastAsia"/>
          <w:color w:val="auto"/>
          <w:kern w:val="2"/>
          <w:sz w:val="22"/>
          <w:szCs w:val="22"/>
          <w:highlight w:val="none"/>
        </w:rPr>
        <w:sym w:font="Wingdings" w:char="00A8"/>
      </w:r>
      <w:r>
        <w:rPr>
          <w:rFonts w:hint="eastAsia" w:asciiTheme="minorEastAsia" w:hAnsiTheme="minorEastAsia" w:eastAsiaTheme="minorEastAsia" w:cstheme="minorEastAsia"/>
          <w:color w:val="auto"/>
          <w:kern w:val="2"/>
          <w:sz w:val="22"/>
          <w:szCs w:val="22"/>
          <w:highlight w:val="none"/>
        </w:rPr>
        <w:t xml:space="preserve">是      </w:t>
      </w:r>
      <w:r>
        <w:rPr>
          <w:rFonts w:hint="eastAsia" w:asciiTheme="minorEastAsia" w:hAnsiTheme="minorEastAsia" w:eastAsiaTheme="minorEastAsia" w:cstheme="minorEastAsia"/>
          <w:color w:val="auto"/>
          <w:kern w:val="2"/>
          <w:sz w:val="22"/>
          <w:szCs w:val="22"/>
          <w:highlight w:val="none"/>
        </w:rPr>
        <w:sym w:font="Wingdings" w:char="00A8"/>
      </w:r>
      <w:r>
        <w:rPr>
          <w:rFonts w:hint="eastAsia" w:asciiTheme="minorEastAsia" w:hAnsiTheme="minorEastAsia" w:eastAsiaTheme="minorEastAsia" w:cstheme="minorEastAsia"/>
          <w:color w:val="auto"/>
          <w:kern w:val="2"/>
          <w:sz w:val="22"/>
          <w:szCs w:val="22"/>
          <w:highlight w:val="none"/>
        </w:rPr>
        <w:t>否</w:t>
      </w:r>
    </w:p>
    <w:p w14:paraId="06733A55">
      <w:pPr>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本合同是否为专门面向中小企业的采购合同（中小企业预留合同）：</w:t>
      </w:r>
      <w:r>
        <w:rPr>
          <w:rFonts w:hint="eastAsia" w:asciiTheme="minorEastAsia" w:hAnsiTheme="minorEastAsia" w:eastAsiaTheme="minorEastAsia" w:cstheme="minorEastAsia"/>
          <w:iCs/>
          <w:color w:val="auto"/>
          <w:sz w:val="22"/>
          <w:szCs w:val="22"/>
          <w:highlight w:val="none"/>
        </w:rPr>
        <w:t>是。</w:t>
      </w:r>
    </w:p>
    <w:p w14:paraId="3E4392C5">
      <w:pPr>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中标（成交）采购标的制造商是否为残疾人福利性单位：</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是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否</w:t>
      </w:r>
    </w:p>
    <w:p w14:paraId="0A61DB9E">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中标（成交）采购标的制造商是否为监狱企业：</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是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否</w:t>
      </w:r>
    </w:p>
    <w:p w14:paraId="3965ADB8">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sz w:val="22"/>
          <w:szCs w:val="22"/>
          <w:highlight w:val="none"/>
          <w:lang w:val="en"/>
        </w:rPr>
        <w:t>7</w:t>
      </w:r>
      <w:r>
        <w:rPr>
          <w:rFonts w:hint="eastAsia" w:asciiTheme="minorEastAsia" w:hAnsiTheme="minorEastAsia" w:eastAsiaTheme="minorEastAsia" w:cstheme="minorEastAsia"/>
          <w:color w:val="auto"/>
          <w:sz w:val="22"/>
          <w:szCs w:val="22"/>
          <w:highlight w:val="none"/>
        </w:rPr>
        <w:t>）合同是否分包：</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是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否</w:t>
      </w:r>
    </w:p>
    <w:p w14:paraId="255429B3">
      <w:pPr>
        <w:snapToGrid w:val="0"/>
        <w:spacing w:line="360" w:lineRule="auto"/>
        <w:ind w:firstLine="880" w:firstLineChars="4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分包主要内容：</w:t>
      </w:r>
      <w:r>
        <w:rPr>
          <w:rFonts w:hint="eastAsia" w:asciiTheme="minorEastAsia" w:hAnsiTheme="minorEastAsia" w:eastAsiaTheme="minorEastAsia" w:cstheme="minorEastAsia"/>
          <w:color w:val="auto"/>
          <w:sz w:val="22"/>
          <w:szCs w:val="22"/>
          <w:highlight w:val="none"/>
          <w:u w:val="single"/>
        </w:rPr>
        <w:t xml:space="preserve">                                            </w:t>
      </w:r>
    </w:p>
    <w:p w14:paraId="08AB8395">
      <w:pPr>
        <w:snapToGrid w:val="0"/>
        <w:spacing w:line="360" w:lineRule="auto"/>
        <w:ind w:firstLine="880" w:firstLineChars="4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分包供应商/制造商名称（如供应商和制造商不同，请分别填写）：</w:t>
      </w:r>
    </w:p>
    <w:p w14:paraId="4365A8DF">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u w:val="single"/>
        </w:rPr>
        <w:t xml:space="preserve">                                                          </w:t>
      </w:r>
    </w:p>
    <w:p w14:paraId="35BD7B79">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分包供应商/制造商类型（如果供应商和制造商不同，只填写制造商类型）：</w:t>
      </w:r>
    </w:p>
    <w:p w14:paraId="7E2C15B7">
      <w:pPr>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iCs/>
          <w:color w:val="auto"/>
          <w:sz w:val="22"/>
          <w:szCs w:val="22"/>
          <w:highlight w:val="none"/>
        </w:rPr>
        <w:t xml:space="preserve">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大型企业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中型企业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小微型企业  </w:t>
      </w:r>
    </w:p>
    <w:p w14:paraId="64043B06">
      <w:pPr>
        <w:snapToGrid w:val="0"/>
        <w:spacing w:line="360" w:lineRule="auto"/>
        <w:ind w:firstLine="990" w:firstLineChars="45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残疾人福利性单位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监狱企业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其他</w:t>
      </w:r>
    </w:p>
    <w:p w14:paraId="54D7EF63">
      <w:pPr>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lang w:val="en"/>
        </w:rPr>
        <w:t>8</w:t>
      </w:r>
      <w:r>
        <w:rPr>
          <w:rFonts w:hint="eastAsia" w:asciiTheme="minorEastAsia" w:hAnsiTheme="minorEastAsia" w:eastAsiaTheme="minorEastAsia" w:cstheme="minorEastAsia"/>
          <w:color w:val="auto"/>
          <w:sz w:val="22"/>
          <w:szCs w:val="22"/>
          <w:highlight w:val="none"/>
        </w:rPr>
        <w:t>）中标（成交）供应商是否为外商投资企业：</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是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否</w:t>
      </w:r>
    </w:p>
    <w:p w14:paraId="57EC3719">
      <w:pPr>
        <w:pStyle w:val="30"/>
        <w:tabs>
          <w:tab w:val="left" w:pos="1340"/>
        </w:tabs>
        <w:spacing w:line="360" w:lineRule="auto"/>
        <w:ind w:firstLine="48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外商投资企业类型：</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全部由外国投资者投资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部分由外国投资者投资</w:t>
      </w:r>
    </w:p>
    <w:p w14:paraId="6F655E3B">
      <w:pPr>
        <w:snapToGrid w:val="0"/>
        <w:spacing w:line="360" w:lineRule="auto"/>
        <w:ind w:firstLine="550" w:firstLineChars="25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w:t>
      </w:r>
      <w:r>
        <w:rPr>
          <w:rFonts w:hint="eastAsia" w:asciiTheme="minorEastAsia" w:hAnsiTheme="minorEastAsia" w:eastAsiaTheme="minorEastAsia" w:cstheme="minorEastAsia"/>
          <w:color w:val="auto"/>
          <w:sz w:val="22"/>
          <w:szCs w:val="22"/>
          <w:highlight w:val="none"/>
          <w:lang w:val="en"/>
        </w:rPr>
        <w:t>9</w:t>
      </w:r>
      <w:r>
        <w:rPr>
          <w:rFonts w:hint="eastAsia" w:asciiTheme="minorEastAsia" w:hAnsiTheme="minorEastAsia" w:eastAsiaTheme="minorEastAsia" w:cstheme="minorEastAsia"/>
          <w:color w:val="auto"/>
          <w:sz w:val="22"/>
          <w:szCs w:val="22"/>
          <w:highlight w:val="none"/>
        </w:rPr>
        <w:t>）是否涉及进口产品：</w:t>
      </w:r>
    </w:p>
    <w:p w14:paraId="18F55882">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是，《政府采购品目分类目录》底级品目名称：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金额：</w:t>
      </w:r>
      <w:r>
        <w:rPr>
          <w:rFonts w:hint="eastAsia" w:asciiTheme="minorEastAsia" w:hAnsiTheme="minorEastAsia" w:eastAsiaTheme="minorEastAsia" w:cstheme="minorEastAsia"/>
          <w:color w:val="auto"/>
          <w:sz w:val="22"/>
          <w:szCs w:val="22"/>
          <w:highlight w:val="none"/>
          <w:u w:val="single"/>
        </w:rPr>
        <w:t xml:space="preserve">        </w:t>
      </w:r>
    </w:p>
    <w:p w14:paraId="3DA4B83A">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国别：</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品牌：</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规格型号：</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 xml:space="preserve">      </w:t>
      </w:r>
    </w:p>
    <w:p w14:paraId="2BD06472">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否</w:t>
      </w:r>
    </w:p>
    <w:p w14:paraId="14DD8EFC">
      <w:pPr>
        <w:tabs>
          <w:tab w:val="left" w:pos="740"/>
        </w:tabs>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（1</w:t>
      </w:r>
      <w:r>
        <w:rPr>
          <w:rFonts w:hint="eastAsia" w:asciiTheme="minorEastAsia" w:hAnsiTheme="minorEastAsia" w:eastAsiaTheme="minorEastAsia" w:cstheme="minorEastAsia"/>
          <w:color w:val="auto"/>
          <w:sz w:val="22"/>
          <w:szCs w:val="22"/>
          <w:highlight w:val="none"/>
          <w:lang w:val="en"/>
        </w:rPr>
        <w:t>0</w:t>
      </w:r>
      <w:r>
        <w:rPr>
          <w:rFonts w:hint="eastAsia" w:asciiTheme="minorEastAsia" w:hAnsiTheme="minorEastAsia" w:eastAsiaTheme="minorEastAsia" w:cstheme="minorEastAsia"/>
          <w:color w:val="auto"/>
          <w:sz w:val="22"/>
          <w:szCs w:val="22"/>
          <w:highlight w:val="none"/>
        </w:rPr>
        <w:t>）是否涉及节能产品：</w:t>
      </w:r>
    </w:p>
    <w:p w14:paraId="730655BC">
      <w:pPr>
        <w:tabs>
          <w:tab w:val="left" w:pos="740"/>
        </w:tabs>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是，《节能产品政府采购品目清单》的底级品目名称：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iCs/>
          <w:color w:val="auto"/>
          <w:sz w:val="22"/>
          <w:szCs w:val="22"/>
          <w:highlight w:val="none"/>
        </w:rPr>
        <w:t xml:space="preserve">     </w:t>
      </w:r>
    </w:p>
    <w:p w14:paraId="16168DBC">
      <w:pPr>
        <w:tabs>
          <w:tab w:val="left" w:pos="740"/>
        </w:tabs>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iCs/>
          <w:color w:val="auto"/>
          <w:sz w:val="22"/>
          <w:szCs w:val="22"/>
          <w:highlight w:val="none"/>
        </w:rPr>
        <w:t xml:space="preserve">        </w:t>
      </w:r>
      <w:r>
        <w:rPr>
          <w:rFonts w:hint="eastAsia" w:asciiTheme="minorEastAsia" w:hAnsiTheme="minorEastAsia" w:eastAsiaTheme="minorEastAsia" w:cstheme="minorEastAsia"/>
          <w:iCs/>
          <w:color w:val="auto"/>
          <w:spacing w:val="-60"/>
          <w:sz w:val="22"/>
          <w:szCs w:val="22"/>
          <w:highlight w:val="none"/>
        </w:rPr>
        <w:t xml:space="preserve">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强制采购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优先采购    </w:t>
      </w:r>
    </w:p>
    <w:p w14:paraId="6CE2F9D9">
      <w:pPr>
        <w:tabs>
          <w:tab w:val="left" w:pos="740"/>
        </w:tabs>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iCs/>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否</w:t>
      </w:r>
    </w:p>
    <w:p w14:paraId="1441C721">
      <w:pPr>
        <w:tabs>
          <w:tab w:val="left" w:pos="740"/>
        </w:tabs>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是否涉及环境标志产品：</w:t>
      </w:r>
    </w:p>
    <w:p w14:paraId="6316884C">
      <w:pPr>
        <w:tabs>
          <w:tab w:val="left" w:pos="740"/>
        </w:tabs>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是，《环境标志产品政府采购品目清单》的底级品目名称：</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iCs/>
          <w:color w:val="auto"/>
          <w:sz w:val="22"/>
          <w:szCs w:val="22"/>
          <w:highlight w:val="none"/>
        </w:rPr>
        <w:t xml:space="preserve"> </w:t>
      </w:r>
    </w:p>
    <w:p w14:paraId="081FC1FA">
      <w:pPr>
        <w:tabs>
          <w:tab w:val="left" w:pos="740"/>
        </w:tabs>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iCs/>
          <w:color w:val="auto"/>
          <w:sz w:val="22"/>
          <w:szCs w:val="22"/>
          <w:highlight w:val="none"/>
        </w:rPr>
        <w:t xml:space="preserve">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强制采购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优先采购    </w:t>
      </w:r>
    </w:p>
    <w:p w14:paraId="732DC04A">
      <w:pPr>
        <w:tabs>
          <w:tab w:val="left" w:pos="740"/>
        </w:tabs>
        <w:snapToGrid w:val="0"/>
        <w:spacing w:line="360" w:lineRule="auto"/>
        <w:ind w:firstLine="1100" w:firstLineChars="5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否</w:t>
      </w:r>
    </w:p>
    <w:p w14:paraId="4A43E4BB">
      <w:pPr>
        <w:pStyle w:val="30"/>
        <w:snapToGrid w:val="0"/>
        <w:spacing w:line="360" w:lineRule="auto"/>
        <w:ind w:firstLine="1060" w:firstLineChars="482"/>
        <w:jc w:val="both"/>
        <w:rPr>
          <w:rFonts w:hint="eastAsia" w:asciiTheme="minorEastAsia" w:hAnsiTheme="minorEastAsia" w:eastAsiaTheme="minorEastAsia" w:cstheme="minorEastAsia"/>
          <w:color w:val="auto"/>
          <w:kern w:val="2"/>
          <w:sz w:val="22"/>
          <w:szCs w:val="22"/>
          <w:highlight w:val="none"/>
        </w:rPr>
      </w:pPr>
      <w:r>
        <w:rPr>
          <w:rFonts w:hint="eastAsia" w:asciiTheme="minorEastAsia" w:hAnsiTheme="minorEastAsia" w:eastAsiaTheme="minorEastAsia" w:cstheme="minorEastAsia"/>
          <w:color w:val="auto"/>
          <w:kern w:val="2"/>
          <w:sz w:val="22"/>
          <w:szCs w:val="22"/>
          <w:highlight w:val="none"/>
        </w:rPr>
        <w:t xml:space="preserve">是否涉及绿色产品： </w:t>
      </w:r>
    </w:p>
    <w:p w14:paraId="66E28A61">
      <w:pPr>
        <w:pStyle w:val="30"/>
        <w:spacing w:line="360" w:lineRule="auto"/>
        <w:ind w:firstLine="1060" w:firstLineChars="482"/>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kern w:val="2"/>
          <w:sz w:val="22"/>
          <w:szCs w:val="22"/>
          <w:highlight w:val="none"/>
        </w:rPr>
        <w:sym w:font="Wingdings" w:char="00A8"/>
      </w:r>
      <w:r>
        <w:rPr>
          <w:rFonts w:hint="eastAsia" w:asciiTheme="minorEastAsia" w:hAnsiTheme="minorEastAsia" w:eastAsiaTheme="minorEastAsia" w:cstheme="minorEastAsia"/>
          <w:color w:val="auto"/>
          <w:kern w:val="2"/>
          <w:sz w:val="22"/>
          <w:szCs w:val="22"/>
          <w:highlight w:val="none"/>
        </w:rPr>
        <w:t>是，绿色产品政府采购相关政策确定的底级品目名称：</w:t>
      </w:r>
      <w:r>
        <w:rPr>
          <w:rFonts w:hint="eastAsia" w:asciiTheme="minorEastAsia" w:hAnsiTheme="minorEastAsia" w:eastAsiaTheme="minorEastAsia" w:cstheme="minorEastAsia"/>
          <w:color w:val="auto"/>
          <w:sz w:val="22"/>
          <w:szCs w:val="22"/>
          <w:highlight w:val="none"/>
          <w:u w:val="single"/>
        </w:rPr>
        <w:t xml:space="preserve">         </w:t>
      </w:r>
    </w:p>
    <w:p w14:paraId="5B93528A">
      <w:pPr>
        <w:tabs>
          <w:tab w:val="left" w:pos="740"/>
        </w:tabs>
        <w:snapToGrid w:val="0"/>
        <w:spacing w:line="360" w:lineRule="auto"/>
        <w:ind w:firstLine="440" w:firstLineChars="200"/>
        <w:jc w:val="both"/>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iCs/>
          <w:color w:val="auto"/>
          <w:sz w:val="22"/>
          <w:szCs w:val="22"/>
          <w:highlight w:val="none"/>
        </w:rPr>
        <w:t xml:space="preserve">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强制采购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优先采购    </w:t>
      </w:r>
    </w:p>
    <w:p w14:paraId="2FDF67AB">
      <w:pPr>
        <w:pStyle w:val="30"/>
        <w:spacing w:line="360" w:lineRule="auto"/>
        <w:ind w:firstLine="1100" w:firstLineChars="5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kern w:val="2"/>
          <w:sz w:val="22"/>
          <w:szCs w:val="22"/>
          <w:highlight w:val="none"/>
        </w:rPr>
        <w:sym w:font="Wingdings" w:char="00A8"/>
      </w:r>
      <w:r>
        <w:rPr>
          <w:rFonts w:hint="eastAsia" w:asciiTheme="minorEastAsia" w:hAnsiTheme="minorEastAsia" w:eastAsiaTheme="minorEastAsia" w:cstheme="minorEastAsia"/>
          <w:color w:val="auto"/>
          <w:kern w:val="2"/>
          <w:sz w:val="22"/>
          <w:szCs w:val="22"/>
          <w:highlight w:val="none"/>
        </w:rPr>
        <w:t>否</w:t>
      </w:r>
    </w:p>
    <w:p w14:paraId="3D96F4C4">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w:t>
      </w:r>
      <w:r>
        <w:rPr>
          <w:rFonts w:hint="eastAsia" w:asciiTheme="minorEastAsia" w:hAnsiTheme="minorEastAsia" w:eastAsiaTheme="minorEastAsia" w:cstheme="minorEastAsia"/>
          <w:color w:val="auto"/>
          <w:sz w:val="22"/>
          <w:szCs w:val="22"/>
          <w:highlight w:val="none"/>
          <w:lang w:val="en"/>
        </w:rPr>
        <w:t>1</w:t>
      </w:r>
      <w:r>
        <w:rPr>
          <w:rFonts w:hint="eastAsia" w:asciiTheme="minorEastAsia" w:hAnsiTheme="minorEastAsia" w:eastAsiaTheme="minorEastAsia" w:cstheme="minorEastAsia"/>
          <w:color w:val="auto"/>
          <w:sz w:val="22"/>
          <w:szCs w:val="22"/>
          <w:highlight w:val="none"/>
        </w:rPr>
        <w:t>）涉及商品包装和快递包装的，是否参考《商品包装政府采购需求标准（试行）》、《快递包装政府采购需求标准（试行）》明确产品及相关快递服务的具体包装要求：</w:t>
      </w:r>
    </w:p>
    <w:p w14:paraId="49084947">
      <w:pPr>
        <w:snapToGrid w:val="0"/>
        <w:spacing w:line="360" w:lineRule="auto"/>
        <w:ind w:firstLine="1100" w:firstLineChars="5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是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否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不涉及</w:t>
      </w:r>
    </w:p>
    <w:p w14:paraId="3E24FBB3">
      <w:pPr>
        <w:numPr>
          <w:ilvl w:val="0"/>
          <w:numId w:val="3"/>
        </w:numPr>
        <w:snapToGrid w:val="0"/>
        <w:spacing w:line="360" w:lineRule="auto"/>
        <w:ind w:firstLine="442" w:firstLineChars="200"/>
        <w:jc w:val="both"/>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合同金额</w:t>
      </w:r>
    </w:p>
    <w:p w14:paraId="433F21F4">
      <w:pPr>
        <w:snapToGrid w:val="0"/>
        <w:spacing w:line="360" w:lineRule="auto"/>
        <w:ind w:firstLine="550" w:firstLineChars="25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（1）合同金额小写：</w:t>
      </w:r>
      <w:r>
        <w:rPr>
          <w:rFonts w:hint="eastAsia" w:asciiTheme="minorEastAsia" w:hAnsiTheme="minorEastAsia" w:eastAsiaTheme="minorEastAsia" w:cstheme="minorEastAsia"/>
          <w:color w:val="auto"/>
          <w:sz w:val="22"/>
          <w:szCs w:val="22"/>
          <w:highlight w:val="none"/>
          <w:u w:val="single"/>
        </w:rPr>
        <w:t xml:space="preserve">                           </w:t>
      </w:r>
    </w:p>
    <w:p w14:paraId="3D3C7F81">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大写：</w:t>
      </w:r>
      <w:r>
        <w:rPr>
          <w:rFonts w:hint="eastAsia" w:asciiTheme="minorEastAsia" w:hAnsiTheme="minorEastAsia" w:eastAsiaTheme="minorEastAsia" w:cstheme="minorEastAsia"/>
          <w:color w:val="auto"/>
          <w:sz w:val="22"/>
          <w:szCs w:val="22"/>
          <w:highlight w:val="none"/>
          <w:u w:val="single"/>
        </w:rPr>
        <w:t xml:space="preserve">                           </w:t>
      </w:r>
    </w:p>
    <w:p w14:paraId="239B6AA8">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分包金额（如有）小写：</w:t>
      </w:r>
      <w:r>
        <w:rPr>
          <w:rFonts w:hint="eastAsia" w:asciiTheme="minorEastAsia" w:hAnsiTheme="minorEastAsia" w:eastAsiaTheme="minorEastAsia" w:cstheme="minorEastAsia"/>
          <w:color w:val="auto"/>
          <w:sz w:val="22"/>
          <w:szCs w:val="22"/>
          <w:highlight w:val="none"/>
          <w:u w:val="single"/>
        </w:rPr>
        <w:t xml:space="preserve">                   </w:t>
      </w:r>
    </w:p>
    <w:p w14:paraId="2F618705">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 xml:space="preserve">                      大写：</w:t>
      </w:r>
      <w:r>
        <w:rPr>
          <w:rFonts w:hint="eastAsia" w:asciiTheme="minorEastAsia" w:hAnsiTheme="minorEastAsia" w:eastAsiaTheme="minorEastAsia" w:cstheme="minorEastAsia"/>
          <w:color w:val="auto"/>
          <w:sz w:val="22"/>
          <w:szCs w:val="22"/>
          <w:highlight w:val="none"/>
          <w:u w:val="single"/>
        </w:rPr>
        <w:t xml:space="preserve">                       </w:t>
      </w:r>
    </w:p>
    <w:p w14:paraId="7C07D59D">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（注：固定单价合同应填写单价和最高限价）</w:t>
      </w:r>
    </w:p>
    <w:p w14:paraId="6B2FFE89">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（2）合同定价方式（采用组合定价方式的，可以勾选多项）：</w:t>
      </w:r>
    </w:p>
    <w:p w14:paraId="5196A535">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iCs/>
          <w:color w:val="auto"/>
          <w:sz w:val="22"/>
          <w:szCs w:val="22"/>
          <w:highlight w:val="none"/>
        </w:rPr>
        <w:t xml:space="preserve">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固定总价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固定单价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固定费率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成本补偿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 xml:space="preserve">绩效激励 </w:t>
      </w:r>
      <w:r>
        <w:rPr>
          <w:rFonts w:hint="eastAsia" w:asciiTheme="minorEastAsia" w:hAnsiTheme="minorEastAsia" w:eastAsiaTheme="minorEastAsia" w:cstheme="minorEastAsia"/>
          <w:iCs/>
          <w:color w:val="auto"/>
          <w:sz w:val="22"/>
          <w:szCs w:val="22"/>
          <w:highlight w:val="none"/>
        </w:rPr>
        <w:sym w:font="Wingdings" w:char="00A8"/>
      </w:r>
      <w:r>
        <w:rPr>
          <w:rFonts w:hint="eastAsia" w:asciiTheme="minorEastAsia" w:hAnsiTheme="minorEastAsia" w:eastAsiaTheme="minorEastAsia" w:cstheme="minorEastAsia"/>
          <w:iCs/>
          <w:color w:val="auto"/>
          <w:sz w:val="22"/>
          <w:szCs w:val="22"/>
          <w:highlight w:val="none"/>
        </w:rPr>
        <w:t>其他</w:t>
      </w:r>
      <w:r>
        <w:rPr>
          <w:rFonts w:hint="eastAsia" w:asciiTheme="minorEastAsia" w:hAnsiTheme="minorEastAsia" w:eastAsiaTheme="minorEastAsia" w:cstheme="minorEastAsia"/>
          <w:color w:val="auto"/>
          <w:sz w:val="22"/>
          <w:szCs w:val="22"/>
          <w:highlight w:val="none"/>
          <w:u w:val="single"/>
        </w:rPr>
        <w:t xml:space="preserve">       </w:t>
      </w:r>
    </w:p>
    <w:p w14:paraId="453388AB">
      <w:pPr>
        <w:pStyle w:val="31"/>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（3）付款方式（按项目实际勾选填写）：</w:t>
      </w:r>
    </w:p>
    <w:p w14:paraId="73B53B05">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全额付款：</w:t>
      </w:r>
      <w:r>
        <w:rPr>
          <w:rFonts w:hint="eastAsia" w:asciiTheme="minorEastAsia" w:hAnsiTheme="minorEastAsia" w:eastAsiaTheme="minorEastAsia" w:cstheme="minorEastAsia"/>
          <w:color w:val="auto"/>
          <w:sz w:val="22"/>
          <w:szCs w:val="22"/>
          <w:highlight w:val="none"/>
          <w:u w:val="single"/>
        </w:rPr>
        <w:t xml:space="preserve">     （应明确一次性支付合同款项的条件）                    </w:t>
      </w:r>
    </w:p>
    <w:p w14:paraId="7D75FAB1">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分期付款：</w:t>
      </w:r>
      <w:r>
        <w:rPr>
          <w:rFonts w:hint="eastAsia" w:asciiTheme="minorEastAsia" w:hAnsiTheme="minorEastAsia" w:eastAsiaTheme="minorEastAsia" w:cstheme="minorEastAsia"/>
          <w:color w:val="auto"/>
          <w:sz w:val="22"/>
          <w:szCs w:val="22"/>
          <w:highlight w:val="none"/>
          <w:u w:val="single"/>
        </w:rPr>
        <w:t xml:space="preserve">  （应明确分期支付合同款项的各期比例和支付条件，各期支付条件应与分期履约验收情况挂钩） </w:t>
      </w:r>
      <w:r>
        <w:rPr>
          <w:rFonts w:hint="eastAsia" w:asciiTheme="minorEastAsia" w:hAnsiTheme="minorEastAsia" w:eastAsiaTheme="minorEastAsia" w:cstheme="minorEastAsia"/>
          <w:color w:val="auto"/>
          <w:sz w:val="22"/>
          <w:szCs w:val="22"/>
          <w:highlight w:val="none"/>
        </w:rPr>
        <w:t>，其中涉及预付款的：</w:t>
      </w:r>
      <w:r>
        <w:rPr>
          <w:rFonts w:hint="eastAsia" w:asciiTheme="minorEastAsia" w:hAnsiTheme="minorEastAsia" w:eastAsiaTheme="minorEastAsia" w:cstheme="minorEastAsia"/>
          <w:color w:val="auto"/>
          <w:sz w:val="22"/>
          <w:szCs w:val="22"/>
          <w:highlight w:val="none"/>
          <w:u w:val="single"/>
        </w:rPr>
        <w:t xml:space="preserve"> （应明确预付款的支付比例和支付条件） </w:t>
      </w:r>
    </w:p>
    <w:p w14:paraId="4A560376">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成本补偿：</w:t>
      </w:r>
      <w:r>
        <w:rPr>
          <w:rFonts w:hint="eastAsia" w:asciiTheme="minorEastAsia" w:hAnsiTheme="minorEastAsia" w:eastAsiaTheme="minorEastAsia" w:cstheme="minorEastAsia"/>
          <w:color w:val="auto"/>
          <w:sz w:val="22"/>
          <w:szCs w:val="22"/>
          <w:highlight w:val="none"/>
          <w:u w:val="single"/>
        </w:rPr>
        <w:t xml:space="preserve">      （应明确按照成本补偿方式的支付方式和支付条件）   </w:t>
      </w:r>
    </w:p>
    <w:p w14:paraId="249BEB9B">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绩效激励：</w:t>
      </w:r>
      <w:r>
        <w:rPr>
          <w:rFonts w:hint="eastAsia" w:asciiTheme="minorEastAsia" w:hAnsiTheme="minorEastAsia" w:eastAsiaTheme="minorEastAsia" w:cstheme="minorEastAsia"/>
          <w:color w:val="auto"/>
          <w:sz w:val="22"/>
          <w:szCs w:val="22"/>
          <w:highlight w:val="none"/>
          <w:u w:val="single"/>
        </w:rPr>
        <w:t xml:space="preserve">      （应明确按照绩效激励方式的支付方式和支付条件）   </w:t>
      </w:r>
    </w:p>
    <w:p w14:paraId="48AABF15">
      <w:pPr>
        <w:numPr>
          <w:ilvl w:val="0"/>
          <w:numId w:val="3"/>
        </w:numPr>
        <w:snapToGrid w:val="0"/>
        <w:spacing w:line="360" w:lineRule="auto"/>
        <w:ind w:firstLine="442" w:firstLineChars="200"/>
        <w:jc w:val="both"/>
        <w:rPr>
          <w:rFonts w:hint="eastAsia" w:asciiTheme="minorEastAsia" w:hAnsiTheme="minorEastAsia" w:eastAsiaTheme="minorEastAsia" w:cstheme="minorEastAsia"/>
          <w:b/>
          <w:color w:val="auto"/>
          <w:sz w:val="22"/>
          <w:szCs w:val="22"/>
          <w:highlight w:val="none"/>
          <w:u w:val="single"/>
        </w:rPr>
      </w:pPr>
      <w:r>
        <w:rPr>
          <w:rFonts w:hint="eastAsia" w:asciiTheme="minorEastAsia" w:hAnsiTheme="minorEastAsia" w:eastAsiaTheme="minorEastAsia" w:cstheme="minorEastAsia"/>
          <w:b/>
          <w:color w:val="auto"/>
          <w:sz w:val="22"/>
          <w:szCs w:val="22"/>
          <w:highlight w:val="none"/>
        </w:rPr>
        <w:t>合同履行</w:t>
      </w:r>
    </w:p>
    <w:p w14:paraId="462F34A5">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（1）起始日期：</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年</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月</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日，完成日期：</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年</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月</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日。</w:t>
      </w:r>
    </w:p>
    <w:p w14:paraId="409D2E13">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color w:val="auto"/>
          <w:sz w:val="22"/>
          <w:szCs w:val="22"/>
          <w:highlight w:val="none"/>
        </w:rPr>
        <w:t>（2）履约地点</w:t>
      </w:r>
      <w:r>
        <w:rPr>
          <w:rFonts w:hint="eastAsia" w:asciiTheme="minorEastAsia" w:hAnsiTheme="minorEastAsia" w:eastAsiaTheme="minorEastAsia" w:cstheme="minorEastAsia"/>
          <w:bCs/>
          <w:color w:val="auto"/>
          <w:sz w:val="22"/>
          <w:szCs w:val="22"/>
          <w:highlight w:val="none"/>
        </w:rPr>
        <w:t>：</w:t>
      </w:r>
      <w:r>
        <w:rPr>
          <w:rFonts w:hint="eastAsia" w:asciiTheme="minorEastAsia" w:hAnsiTheme="minorEastAsia" w:eastAsiaTheme="minorEastAsia" w:cstheme="minorEastAsia"/>
          <w:color w:val="auto"/>
          <w:sz w:val="22"/>
          <w:szCs w:val="22"/>
          <w:highlight w:val="none"/>
          <w:u w:val="single"/>
        </w:rPr>
        <w:t xml:space="preserve">                             </w:t>
      </w:r>
    </w:p>
    <w:p w14:paraId="5B4FBA8D">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t>（3）履约担保：</w:t>
      </w:r>
      <w:r>
        <w:rPr>
          <w:rFonts w:hint="eastAsia" w:asciiTheme="minorEastAsia" w:hAnsiTheme="minorEastAsia" w:eastAsiaTheme="minorEastAsia" w:cstheme="minorEastAsia"/>
          <w:color w:val="auto"/>
          <w:sz w:val="22"/>
          <w:szCs w:val="22"/>
          <w:highlight w:val="none"/>
        </w:rPr>
        <w:t>是否收取履约保证金：</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 xml:space="preserve">是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color w:val="auto"/>
          <w:sz w:val="22"/>
          <w:szCs w:val="22"/>
          <w:highlight w:val="none"/>
        </w:rPr>
        <w:t>否</w:t>
      </w:r>
    </w:p>
    <w:p w14:paraId="2FCC5089">
      <w:pPr>
        <w:pStyle w:val="3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t xml:space="preserve">   收取履约保证金形式：</w:t>
      </w:r>
      <w:r>
        <w:rPr>
          <w:rFonts w:hint="eastAsia" w:asciiTheme="minorEastAsia" w:hAnsiTheme="minorEastAsia" w:eastAsiaTheme="minorEastAsia" w:cstheme="minorEastAsia"/>
          <w:bCs/>
          <w:color w:val="auto"/>
          <w:sz w:val="22"/>
          <w:szCs w:val="22"/>
          <w:highlight w:val="none"/>
          <w:u w:val="single"/>
        </w:rPr>
        <w:t xml:space="preserve">                            </w:t>
      </w:r>
    </w:p>
    <w:p w14:paraId="11006D55">
      <w:pPr>
        <w:pStyle w:val="3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 xml:space="preserve">     收取履约保证金金额：</w:t>
      </w:r>
      <w:r>
        <w:rPr>
          <w:rFonts w:hint="eastAsia" w:asciiTheme="minorEastAsia" w:hAnsiTheme="minorEastAsia" w:eastAsiaTheme="minorEastAsia" w:cstheme="minorEastAsia"/>
          <w:bCs/>
          <w:color w:val="auto"/>
          <w:sz w:val="22"/>
          <w:szCs w:val="22"/>
          <w:highlight w:val="none"/>
          <w:u w:val="single"/>
        </w:rPr>
        <w:t xml:space="preserve">                            </w:t>
      </w:r>
    </w:p>
    <w:p w14:paraId="3E05BEF1">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t xml:space="preserve">     履约担保期限：</w:t>
      </w:r>
      <w:r>
        <w:rPr>
          <w:rFonts w:hint="eastAsia" w:asciiTheme="minorEastAsia" w:hAnsiTheme="minorEastAsia" w:eastAsiaTheme="minorEastAsia" w:cstheme="minorEastAsia"/>
          <w:bCs/>
          <w:color w:val="auto"/>
          <w:sz w:val="22"/>
          <w:szCs w:val="22"/>
          <w:highlight w:val="none"/>
          <w:u w:val="single"/>
        </w:rPr>
        <w:t xml:space="preserve">                                  </w:t>
      </w:r>
    </w:p>
    <w:p w14:paraId="65C72C01">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（4）分期履行要求：</w:t>
      </w:r>
      <w:r>
        <w:rPr>
          <w:rFonts w:hint="eastAsia" w:asciiTheme="minorEastAsia" w:hAnsiTheme="minorEastAsia" w:eastAsiaTheme="minorEastAsia" w:cstheme="minorEastAsia"/>
          <w:bCs/>
          <w:color w:val="auto"/>
          <w:sz w:val="22"/>
          <w:szCs w:val="22"/>
          <w:highlight w:val="none"/>
          <w:u w:val="single"/>
        </w:rPr>
        <w:t xml:space="preserve">                                            </w:t>
      </w:r>
      <w:r>
        <w:rPr>
          <w:rFonts w:hint="eastAsia" w:asciiTheme="minorEastAsia" w:hAnsiTheme="minorEastAsia" w:eastAsiaTheme="minorEastAsia" w:cstheme="minorEastAsia"/>
          <w:bCs/>
          <w:color w:val="auto"/>
          <w:sz w:val="22"/>
          <w:szCs w:val="22"/>
          <w:highlight w:val="none"/>
          <w:u w:val="single"/>
          <w:lang w:val="en-US" w:eastAsia="zh-CN"/>
        </w:rPr>
        <w:t xml:space="preserve"> </w:t>
      </w:r>
      <w:r>
        <w:rPr>
          <w:rFonts w:hint="eastAsia" w:asciiTheme="minorEastAsia" w:hAnsiTheme="minorEastAsia" w:eastAsiaTheme="minorEastAsia" w:cstheme="minorEastAsia"/>
          <w:bCs/>
          <w:color w:val="auto"/>
          <w:sz w:val="22"/>
          <w:szCs w:val="22"/>
          <w:highlight w:val="none"/>
          <w:u w:val="single"/>
        </w:rPr>
        <w:t xml:space="preserve">            </w:t>
      </w:r>
    </w:p>
    <w:p w14:paraId="361D7700">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bCs/>
          <w:color w:val="auto"/>
          <w:sz w:val="22"/>
          <w:szCs w:val="22"/>
          <w:highlight w:val="none"/>
        </w:rPr>
        <w:t>（5）风险处置措施和替代方案：</w:t>
      </w:r>
      <w:r>
        <w:rPr>
          <w:rFonts w:hint="eastAsia" w:asciiTheme="minorEastAsia" w:hAnsiTheme="minorEastAsia" w:eastAsiaTheme="minorEastAsia" w:cstheme="minorEastAsia"/>
          <w:color w:val="auto"/>
          <w:sz w:val="22"/>
          <w:szCs w:val="22"/>
          <w:highlight w:val="none"/>
          <w:u w:val="single"/>
        </w:rPr>
        <w:t xml:space="preserve">                                               </w:t>
      </w:r>
    </w:p>
    <w:p w14:paraId="02DCE58A">
      <w:pPr>
        <w:numPr>
          <w:ilvl w:val="0"/>
          <w:numId w:val="3"/>
        </w:numPr>
        <w:snapToGrid w:val="0"/>
        <w:spacing w:line="360" w:lineRule="auto"/>
        <w:ind w:firstLine="442" w:firstLineChars="200"/>
        <w:jc w:val="both"/>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合同验收</w:t>
      </w:r>
    </w:p>
    <w:p w14:paraId="05A537D3">
      <w:pPr>
        <w:numPr>
          <w:ilvl w:val="0"/>
          <w:numId w:val="5"/>
        </w:num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验收组织方式：</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 xml:space="preserve">自行组织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委托第三方组织</w:t>
      </w:r>
    </w:p>
    <w:p w14:paraId="38EDE4E7">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 xml:space="preserve">        验收主体：</w:t>
      </w:r>
      <w:r>
        <w:rPr>
          <w:rFonts w:hint="eastAsia" w:asciiTheme="minorEastAsia" w:hAnsiTheme="minorEastAsia" w:eastAsiaTheme="minorEastAsia" w:cstheme="minorEastAsia"/>
          <w:bCs/>
          <w:color w:val="auto"/>
          <w:sz w:val="22"/>
          <w:szCs w:val="22"/>
          <w:highlight w:val="none"/>
          <w:u w:val="single"/>
        </w:rPr>
        <w:t xml:space="preserve">                  </w:t>
      </w:r>
    </w:p>
    <w:p w14:paraId="38AE3639">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 xml:space="preserve">        是否邀请本项目的其他供应商参加验收：</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 xml:space="preserve">是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否</w:t>
      </w:r>
    </w:p>
    <w:p w14:paraId="3F7C88BB">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是否邀请专家参加验收：</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 xml:space="preserve">是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否</w:t>
      </w:r>
    </w:p>
    <w:p w14:paraId="29CA7E1B">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是否邀请服务对象参加验收：</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 xml:space="preserve">是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否</w:t>
      </w:r>
    </w:p>
    <w:p w14:paraId="0DE4FB98">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是否邀请第三方检测机构参加验收：</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 xml:space="preserve">是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否</w:t>
      </w:r>
    </w:p>
    <w:p w14:paraId="1019AD59">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是否进行抽查检测：</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是，抽查比例：</w:t>
      </w:r>
      <w:r>
        <w:rPr>
          <w:rFonts w:hint="eastAsia" w:asciiTheme="minorEastAsia" w:hAnsiTheme="minorEastAsia" w:eastAsiaTheme="minorEastAsia" w:cstheme="minorEastAsia"/>
          <w:bCs/>
          <w:color w:val="auto"/>
          <w:sz w:val="22"/>
          <w:szCs w:val="22"/>
          <w:highlight w:val="none"/>
          <w:u w:val="single"/>
        </w:rPr>
        <w:t xml:space="preserve">        </w:t>
      </w:r>
      <w:r>
        <w:rPr>
          <w:rFonts w:hint="eastAsia" w:asciiTheme="minorEastAsia" w:hAnsiTheme="minorEastAsia" w:eastAsiaTheme="minorEastAsia" w:cstheme="minorEastAsia"/>
          <w:bCs/>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否</w:t>
      </w:r>
    </w:p>
    <w:p w14:paraId="07C44131">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u w:val="single"/>
        </w:rPr>
      </w:pPr>
      <w:r>
        <w:rPr>
          <w:rFonts w:hint="eastAsia" w:asciiTheme="minorEastAsia" w:hAnsiTheme="minorEastAsia" w:eastAsiaTheme="minorEastAsia" w:cstheme="minorEastAsia"/>
          <w:bCs/>
          <w:color w:val="auto"/>
          <w:sz w:val="22"/>
          <w:szCs w:val="22"/>
          <w:highlight w:val="none"/>
        </w:rPr>
        <w:t>是否存在破坏性检测：</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是，</w:t>
      </w:r>
      <w:r>
        <w:rPr>
          <w:rFonts w:hint="eastAsia" w:asciiTheme="minorEastAsia" w:hAnsiTheme="minorEastAsia" w:eastAsiaTheme="minorEastAsia" w:cstheme="minorEastAsia"/>
          <w:bCs/>
          <w:color w:val="auto"/>
          <w:sz w:val="22"/>
          <w:szCs w:val="22"/>
          <w:highlight w:val="none"/>
          <w:u w:val="single"/>
        </w:rPr>
        <w:t>（应明确对被破坏的检测产品的处理方式）</w:t>
      </w:r>
    </w:p>
    <w:p w14:paraId="2490F198">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否</w:t>
      </w:r>
    </w:p>
    <w:p w14:paraId="4E0C4CA7">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u w:val="single"/>
        </w:rPr>
      </w:pPr>
      <w:r>
        <w:rPr>
          <w:rFonts w:hint="eastAsia" w:asciiTheme="minorEastAsia" w:hAnsiTheme="minorEastAsia" w:eastAsiaTheme="minorEastAsia" w:cstheme="minorEastAsia"/>
          <w:bCs/>
          <w:color w:val="auto"/>
          <w:sz w:val="22"/>
          <w:szCs w:val="22"/>
          <w:highlight w:val="none"/>
        </w:rPr>
        <w:t>验收组织的其他事项：</w:t>
      </w:r>
      <w:r>
        <w:rPr>
          <w:rFonts w:hint="eastAsia" w:asciiTheme="minorEastAsia" w:hAnsiTheme="minorEastAsia" w:eastAsiaTheme="minorEastAsia" w:cstheme="minorEastAsia"/>
          <w:bCs/>
          <w:color w:val="auto"/>
          <w:sz w:val="22"/>
          <w:szCs w:val="22"/>
          <w:highlight w:val="none"/>
          <w:u w:val="single"/>
        </w:rPr>
        <w:t xml:space="preserve">            </w:t>
      </w:r>
      <w:r>
        <w:rPr>
          <w:rFonts w:hint="eastAsia" w:asciiTheme="minorEastAsia" w:hAnsiTheme="minorEastAsia" w:eastAsiaTheme="minorEastAsia" w:cstheme="minorEastAsia"/>
          <w:bCs/>
          <w:color w:val="auto"/>
          <w:sz w:val="22"/>
          <w:szCs w:val="22"/>
          <w:highlight w:val="none"/>
          <w:u w:val="single"/>
          <w:lang w:val="en-US" w:eastAsia="zh-CN"/>
        </w:rPr>
        <w:t xml:space="preserve">                                        </w:t>
      </w:r>
      <w:r>
        <w:rPr>
          <w:rFonts w:hint="eastAsia" w:asciiTheme="minorEastAsia" w:hAnsiTheme="minorEastAsia" w:eastAsiaTheme="minorEastAsia" w:cstheme="minorEastAsia"/>
          <w:bCs/>
          <w:color w:val="auto"/>
          <w:sz w:val="22"/>
          <w:szCs w:val="22"/>
          <w:highlight w:val="none"/>
          <w:u w:val="single"/>
        </w:rPr>
        <w:t xml:space="preserve">    </w:t>
      </w:r>
    </w:p>
    <w:p w14:paraId="17D13877">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u w:val="single"/>
        </w:rPr>
      </w:pPr>
      <w:r>
        <w:rPr>
          <w:rFonts w:hint="eastAsia" w:asciiTheme="minorEastAsia" w:hAnsiTheme="minorEastAsia" w:eastAsiaTheme="minorEastAsia" w:cstheme="minorEastAsia"/>
          <w:bCs/>
          <w:color w:val="auto"/>
          <w:sz w:val="22"/>
          <w:szCs w:val="22"/>
          <w:highlight w:val="none"/>
        </w:rPr>
        <w:t>（2）履约验收时间：</w:t>
      </w:r>
      <w:r>
        <w:rPr>
          <w:rFonts w:hint="eastAsia" w:asciiTheme="minorEastAsia" w:hAnsiTheme="minorEastAsia" w:eastAsiaTheme="minorEastAsia" w:cstheme="minorEastAsia"/>
          <w:bCs/>
          <w:color w:val="auto"/>
          <w:sz w:val="22"/>
          <w:szCs w:val="22"/>
          <w:highlight w:val="none"/>
          <w:u w:val="single"/>
        </w:rPr>
        <w:t xml:space="preserve">（计划于何时验收/供应商提出验收申请之日起   日内组织验收） </w:t>
      </w:r>
    </w:p>
    <w:p w14:paraId="68DEA50C">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（3）履约验收方式：</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 xml:space="preserve">一次性验收         </w:t>
      </w:r>
    </w:p>
    <w:p w14:paraId="05C0E93D">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 xml:space="preserve">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分期/分项验收：</w:t>
      </w:r>
      <w:r>
        <w:rPr>
          <w:rFonts w:hint="eastAsia" w:asciiTheme="minorEastAsia" w:hAnsiTheme="minorEastAsia" w:eastAsiaTheme="minorEastAsia" w:cstheme="minorEastAsia"/>
          <w:bCs/>
          <w:color w:val="auto"/>
          <w:sz w:val="22"/>
          <w:szCs w:val="22"/>
          <w:highlight w:val="none"/>
          <w:u w:val="single"/>
        </w:rPr>
        <w:t xml:space="preserve"> （应明确分期</w:t>
      </w:r>
      <w:r>
        <w:rPr>
          <w:rFonts w:hint="eastAsia" w:asciiTheme="minorEastAsia" w:hAnsiTheme="minorEastAsia" w:eastAsiaTheme="minorEastAsia" w:cstheme="minorEastAsia"/>
          <w:bCs/>
          <w:color w:val="auto"/>
          <w:sz w:val="22"/>
          <w:szCs w:val="22"/>
          <w:highlight w:val="none"/>
          <w:u w:val="single"/>
          <w:lang w:val="en"/>
        </w:rPr>
        <w:t>/分项验收的工作安排</w:t>
      </w:r>
      <w:r>
        <w:rPr>
          <w:rFonts w:hint="eastAsia" w:asciiTheme="minorEastAsia" w:hAnsiTheme="minorEastAsia" w:eastAsiaTheme="minorEastAsia" w:cstheme="minorEastAsia"/>
          <w:bCs/>
          <w:color w:val="auto"/>
          <w:sz w:val="22"/>
          <w:szCs w:val="22"/>
          <w:highlight w:val="none"/>
          <w:u w:val="single"/>
        </w:rPr>
        <w:t xml:space="preserve">）  </w:t>
      </w:r>
    </w:p>
    <w:p w14:paraId="267F90FD">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rPr>
      </w:pPr>
      <w:r>
        <w:rPr>
          <w:rFonts w:hint="eastAsia" w:asciiTheme="minorEastAsia" w:hAnsiTheme="minorEastAsia" w:eastAsiaTheme="minorEastAsia" w:cstheme="minorEastAsia"/>
          <w:bCs/>
          <w:color w:val="auto"/>
          <w:sz w:val="22"/>
          <w:szCs w:val="22"/>
          <w:highlight w:val="none"/>
        </w:rPr>
        <w:t>（4）履约验收程序：</w:t>
      </w:r>
      <w:r>
        <w:rPr>
          <w:rFonts w:hint="eastAsia" w:asciiTheme="minorEastAsia" w:hAnsiTheme="minorEastAsia" w:eastAsiaTheme="minorEastAsia" w:cstheme="minorEastAsia"/>
          <w:bCs/>
          <w:color w:val="auto"/>
          <w:sz w:val="22"/>
          <w:szCs w:val="22"/>
          <w:highlight w:val="none"/>
          <w:u w:val="single"/>
        </w:rPr>
        <w:t xml:space="preserve">                                 </w:t>
      </w:r>
      <w:r>
        <w:rPr>
          <w:rFonts w:hint="eastAsia" w:asciiTheme="minorEastAsia" w:hAnsiTheme="minorEastAsia" w:eastAsiaTheme="minorEastAsia" w:cstheme="minorEastAsia"/>
          <w:bCs/>
          <w:color w:val="auto"/>
          <w:sz w:val="22"/>
          <w:szCs w:val="22"/>
          <w:highlight w:val="none"/>
          <w:u w:val="single"/>
          <w:lang w:val="en-US" w:eastAsia="zh-CN"/>
        </w:rPr>
        <w:t xml:space="preserve">               </w:t>
      </w:r>
      <w:r>
        <w:rPr>
          <w:rFonts w:hint="eastAsia" w:asciiTheme="minorEastAsia" w:hAnsiTheme="minorEastAsia" w:eastAsiaTheme="minorEastAsia" w:cstheme="minorEastAsia"/>
          <w:bCs/>
          <w:color w:val="auto"/>
          <w:sz w:val="22"/>
          <w:szCs w:val="22"/>
          <w:highlight w:val="none"/>
          <w:u w:val="single"/>
        </w:rPr>
        <w:t xml:space="preserve">        </w:t>
      </w:r>
    </w:p>
    <w:p w14:paraId="3D3B5DA8">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u w:val="single"/>
        </w:rPr>
      </w:pPr>
      <w:r>
        <w:rPr>
          <w:rFonts w:hint="eastAsia" w:asciiTheme="minorEastAsia" w:hAnsiTheme="minorEastAsia" w:eastAsiaTheme="minorEastAsia" w:cstheme="minorEastAsia"/>
          <w:bCs/>
          <w:color w:val="auto"/>
          <w:sz w:val="22"/>
          <w:szCs w:val="22"/>
          <w:highlight w:val="none"/>
        </w:rPr>
        <w:t>（5）履约验收的内容：</w:t>
      </w:r>
      <w:r>
        <w:rPr>
          <w:rFonts w:hint="eastAsia" w:asciiTheme="minorEastAsia" w:hAnsiTheme="minorEastAsia" w:eastAsiaTheme="minorEastAsia" w:cstheme="minorEastAsia"/>
          <w:bCs/>
          <w:color w:val="auto"/>
          <w:sz w:val="22"/>
          <w:szCs w:val="22"/>
          <w:highlight w:val="none"/>
          <w:u w:val="single"/>
        </w:rPr>
        <w:t xml:space="preserve"> （应当包括每一项技术和商务要求的履约情况，特别是落实政府采购扶持中小企业，支持绿色发展和乡村振兴等政策情况）                                      </w:t>
      </w:r>
    </w:p>
    <w:p w14:paraId="448BB865">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u w:val="single"/>
        </w:rPr>
      </w:pPr>
      <w:r>
        <w:rPr>
          <w:rFonts w:hint="eastAsia" w:asciiTheme="minorEastAsia" w:hAnsiTheme="minorEastAsia" w:eastAsiaTheme="minorEastAsia" w:cstheme="minorEastAsia"/>
          <w:bCs/>
          <w:color w:val="auto"/>
          <w:sz w:val="22"/>
          <w:szCs w:val="22"/>
          <w:highlight w:val="none"/>
        </w:rPr>
        <w:t>（6）履约验收标准：</w:t>
      </w:r>
      <w:r>
        <w:rPr>
          <w:rFonts w:hint="eastAsia" w:asciiTheme="minorEastAsia" w:hAnsiTheme="minorEastAsia" w:eastAsiaTheme="minorEastAsia" w:cstheme="minorEastAsia"/>
          <w:bCs/>
          <w:color w:val="auto"/>
          <w:sz w:val="22"/>
          <w:szCs w:val="22"/>
          <w:highlight w:val="none"/>
          <w:u w:val="single"/>
        </w:rPr>
        <w:t xml:space="preserve">                                         </w:t>
      </w:r>
    </w:p>
    <w:p w14:paraId="1FE9DD16">
      <w:pPr>
        <w:pStyle w:val="30"/>
        <w:spacing w:line="360" w:lineRule="auto"/>
        <w:ind w:firstLine="48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t>（7）是否以采购活动中供应商提供的样品作为参考：</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 xml:space="preserve">是  </w:t>
      </w:r>
      <w:r>
        <w:rPr>
          <w:rFonts w:hint="eastAsia" w:asciiTheme="minorEastAsia" w:hAnsiTheme="minorEastAsia" w:eastAsiaTheme="minorEastAsia" w:cstheme="minorEastAsia"/>
          <w:color w:val="auto"/>
          <w:sz w:val="22"/>
          <w:szCs w:val="22"/>
          <w:highlight w:val="none"/>
        </w:rPr>
        <w:sym w:font="Wingdings" w:char="00A8"/>
      </w:r>
      <w:r>
        <w:rPr>
          <w:rFonts w:hint="eastAsia" w:asciiTheme="minorEastAsia" w:hAnsiTheme="minorEastAsia" w:eastAsiaTheme="minorEastAsia" w:cstheme="minorEastAsia"/>
          <w:bCs/>
          <w:color w:val="auto"/>
          <w:sz w:val="22"/>
          <w:szCs w:val="22"/>
          <w:highlight w:val="none"/>
        </w:rPr>
        <w:t>否</w:t>
      </w:r>
    </w:p>
    <w:p w14:paraId="530289AF">
      <w:pPr>
        <w:snapToGrid w:val="0"/>
        <w:spacing w:line="360" w:lineRule="auto"/>
        <w:ind w:firstLine="440" w:firstLineChars="200"/>
        <w:jc w:val="both"/>
        <w:rPr>
          <w:rFonts w:hint="eastAsia" w:asciiTheme="minorEastAsia" w:hAnsiTheme="minorEastAsia" w:eastAsiaTheme="minorEastAsia" w:cstheme="minorEastAsia"/>
          <w:bCs/>
          <w:color w:val="auto"/>
          <w:sz w:val="22"/>
          <w:szCs w:val="22"/>
          <w:highlight w:val="none"/>
          <w:u w:val="single"/>
        </w:rPr>
      </w:pPr>
      <w:r>
        <w:rPr>
          <w:rFonts w:hint="eastAsia" w:asciiTheme="minorEastAsia" w:hAnsiTheme="minorEastAsia" w:eastAsiaTheme="minorEastAsia" w:cstheme="minorEastAsia"/>
          <w:bCs/>
          <w:color w:val="auto"/>
          <w:sz w:val="22"/>
          <w:szCs w:val="22"/>
          <w:highlight w:val="none"/>
        </w:rPr>
        <w:t>（8）履约验收其他事项：</w:t>
      </w:r>
      <w:r>
        <w:rPr>
          <w:rFonts w:hint="eastAsia" w:asciiTheme="minorEastAsia" w:hAnsiTheme="minorEastAsia" w:eastAsiaTheme="minorEastAsia" w:cstheme="minorEastAsia"/>
          <w:bCs/>
          <w:color w:val="auto"/>
          <w:sz w:val="22"/>
          <w:szCs w:val="22"/>
          <w:highlight w:val="none"/>
          <w:u w:val="single"/>
        </w:rPr>
        <w:t xml:space="preserve">      （产权过户登记等）          </w:t>
      </w:r>
    </w:p>
    <w:p w14:paraId="5D53E9BF">
      <w:pPr>
        <w:numPr>
          <w:ilvl w:val="0"/>
          <w:numId w:val="3"/>
        </w:numPr>
        <w:snapToGrid w:val="0"/>
        <w:spacing w:line="360" w:lineRule="auto"/>
        <w:ind w:firstLine="442" w:firstLineChars="200"/>
        <w:jc w:val="both"/>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组成合同的文件</w:t>
      </w:r>
    </w:p>
    <w:p w14:paraId="073B20BE">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本协议书与下列文件一起构成合同文件，如下述文件之间有任何抵触、矛盾或歧义，应按以下顺序解释：</w:t>
      </w:r>
    </w:p>
    <w:p w14:paraId="2CF9F70C">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（1）政府采购合同协议书及其变更、补充协议</w:t>
      </w:r>
    </w:p>
    <w:p w14:paraId="6E012658">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（2）政府采购合同专用条款</w:t>
      </w:r>
    </w:p>
    <w:p w14:paraId="5E6F4A10">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（3）政府采购合同通用条款</w:t>
      </w:r>
    </w:p>
    <w:p w14:paraId="0FE906FA">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（4）中标（成交）通知书</w:t>
      </w:r>
    </w:p>
    <w:p w14:paraId="6531499E">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（5）投标（响应）文件</w:t>
      </w:r>
    </w:p>
    <w:p w14:paraId="28C054F9">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（6）采购文件</w:t>
      </w:r>
    </w:p>
    <w:p w14:paraId="43253F27">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（7）有关技术文件，图纸</w:t>
      </w:r>
    </w:p>
    <w:p w14:paraId="65B8D31D">
      <w:pPr>
        <w:pStyle w:val="30"/>
        <w:spacing w:line="360" w:lineRule="auto"/>
        <w:ind w:firstLine="480"/>
        <w:jc w:val="both"/>
        <w:rPr>
          <w:rFonts w:hint="eastAsia" w:asciiTheme="minorEastAsia" w:hAnsiTheme="minorEastAsia" w:eastAsiaTheme="minorEastAsia" w:cstheme="minorEastAsia"/>
          <w:color w:val="auto"/>
          <w:kern w:val="2"/>
          <w:sz w:val="22"/>
          <w:szCs w:val="22"/>
          <w:highlight w:val="none"/>
        </w:rPr>
      </w:pPr>
      <w:r>
        <w:rPr>
          <w:rFonts w:hint="eastAsia" w:asciiTheme="minorEastAsia" w:hAnsiTheme="minorEastAsia" w:eastAsiaTheme="minorEastAsia" w:cstheme="minorEastAsia"/>
          <w:color w:val="auto"/>
          <w:sz w:val="22"/>
          <w:szCs w:val="22"/>
          <w:highlight w:val="none"/>
        </w:rPr>
        <w:t>（8）</w:t>
      </w:r>
      <w:r>
        <w:rPr>
          <w:rFonts w:hint="eastAsia" w:asciiTheme="minorEastAsia" w:hAnsiTheme="minorEastAsia" w:eastAsiaTheme="minorEastAsia" w:cstheme="minorEastAsia"/>
          <w:color w:val="auto"/>
          <w:kern w:val="2"/>
          <w:sz w:val="22"/>
          <w:szCs w:val="22"/>
          <w:highlight w:val="none"/>
        </w:rPr>
        <w:t>国家法律、行政法规和规章制度规定或合同约定的作为合同组成部分的其他文件</w:t>
      </w:r>
    </w:p>
    <w:p w14:paraId="278B2405">
      <w:pPr>
        <w:numPr>
          <w:ilvl w:val="0"/>
          <w:numId w:val="3"/>
        </w:numPr>
        <w:snapToGrid w:val="0"/>
        <w:spacing w:line="360" w:lineRule="auto"/>
        <w:ind w:firstLine="442" w:firstLineChars="200"/>
        <w:jc w:val="both"/>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合同生效</w:t>
      </w:r>
    </w:p>
    <w:p w14:paraId="16B3EEE1">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本合同自</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生效。</w:t>
      </w:r>
    </w:p>
    <w:p w14:paraId="5E66C09D">
      <w:pPr>
        <w:numPr>
          <w:ilvl w:val="0"/>
          <w:numId w:val="3"/>
        </w:numPr>
        <w:snapToGrid w:val="0"/>
        <w:spacing w:line="360" w:lineRule="auto"/>
        <w:ind w:firstLine="442" w:firstLineChars="200"/>
        <w:jc w:val="both"/>
        <w:rPr>
          <w:rFonts w:hint="eastAsia" w:asciiTheme="minorEastAsia" w:hAnsiTheme="minorEastAsia" w:eastAsiaTheme="minorEastAsia" w:cstheme="minorEastAsia"/>
          <w:b/>
          <w:color w:val="auto"/>
          <w:sz w:val="22"/>
          <w:szCs w:val="22"/>
          <w:highlight w:val="none"/>
        </w:rPr>
      </w:pPr>
      <w:r>
        <w:rPr>
          <w:rFonts w:hint="eastAsia" w:asciiTheme="minorEastAsia" w:hAnsiTheme="minorEastAsia" w:eastAsiaTheme="minorEastAsia" w:cstheme="minorEastAsia"/>
          <w:b/>
          <w:color w:val="auto"/>
          <w:sz w:val="22"/>
          <w:szCs w:val="22"/>
          <w:highlight w:val="none"/>
        </w:rPr>
        <w:t>合同份数</w:t>
      </w:r>
    </w:p>
    <w:p w14:paraId="7722E60F">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本合同一式</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份，甲方执</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份，乙方执</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份，均具有同等法律效力。</w:t>
      </w:r>
    </w:p>
    <w:p w14:paraId="69A4D17F">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合同订立时间：</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年</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月</w:t>
      </w:r>
      <w:r>
        <w:rPr>
          <w:rFonts w:hint="eastAsia" w:asciiTheme="minorEastAsia" w:hAnsiTheme="minorEastAsia" w:eastAsiaTheme="minorEastAsia" w:cstheme="minorEastAsia"/>
          <w:color w:val="auto"/>
          <w:sz w:val="22"/>
          <w:szCs w:val="22"/>
          <w:highlight w:val="none"/>
          <w:u w:val="single"/>
        </w:rPr>
        <w:t xml:space="preserve">      </w:t>
      </w:r>
      <w:r>
        <w:rPr>
          <w:rFonts w:hint="eastAsia" w:asciiTheme="minorEastAsia" w:hAnsiTheme="minorEastAsia" w:eastAsiaTheme="minorEastAsia" w:cstheme="minorEastAsia"/>
          <w:color w:val="auto"/>
          <w:sz w:val="22"/>
          <w:szCs w:val="22"/>
          <w:highlight w:val="none"/>
        </w:rPr>
        <w:t>日</w:t>
      </w:r>
    </w:p>
    <w:p w14:paraId="144AB22A">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合同订立地点：</w:t>
      </w:r>
      <w:r>
        <w:rPr>
          <w:rFonts w:hint="eastAsia" w:asciiTheme="minorEastAsia" w:hAnsiTheme="minorEastAsia" w:eastAsiaTheme="minorEastAsia" w:cstheme="minorEastAsia"/>
          <w:color w:val="auto"/>
          <w:sz w:val="22"/>
          <w:szCs w:val="22"/>
          <w:highlight w:val="none"/>
          <w:u w:val="single"/>
        </w:rPr>
        <w:t xml:space="preserve">                           </w:t>
      </w:r>
    </w:p>
    <w:p w14:paraId="1820A5D9">
      <w:pPr>
        <w:snapToGrid w:val="0"/>
        <w:spacing w:line="360" w:lineRule="auto"/>
        <w:ind w:firstLine="440" w:firstLineChars="20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附件：具体标的及其技术要求和商务要求、联合体协议 、分包意向协议等。</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48"/>
        <w:gridCol w:w="2612"/>
        <w:gridCol w:w="2143"/>
        <w:gridCol w:w="2292"/>
      </w:tblGrid>
      <w:tr w14:paraId="69931CC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822" w:hRule="atLeast"/>
        </w:trPr>
        <w:tc>
          <w:tcPr>
            <w:tcW w:w="4660" w:type="dxa"/>
            <w:gridSpan w:val="2"/>
            <w:tcBorders>
              <w:bottom w:val="single" w:color="auto" w:sz="2" w:space="0"/>
              <w:right w:val="single" w:color="auto" w:sz="2" w:space="0"/>
            </w:tcBorders>
            <w:noWrap w:val="0"/>
            <w:vAlign w:val="center"/>
          </w:tcPr>
          <w:p w14:paraId="7373E20B">
            <w:pPr>
              <w:snapToGrid w:val="0"/>
              <w:spacing w:line="300" w:lineRule="exact"/>
              <w:jc w:val="center"/>
              <w:rPr>
                <w:rFonts w:hint="eastAsia" w:asciiTheme="minorEastAsia" w:hAnsiTheme="minorEastAsia" w:eastAsiaTheme="minorEastAsia" w:cstheme="minorEastAsia"/>
                <w:color w:val="auto"/>
                <w:sz w:val="22"/>
                <w:szCs w:val="24"/>
                <w:highlight w:val="none"/>
              </w:rPr>
            </w:pPr>
            <w:r>
              <w:rPr>
                <w:rFonts w:hint="eastAsia" w:asciiTheme="minorEastAsia" w:hAnsiTheme="minorEastAsia" w:eastAsiaTheme="minorEastAsia" w:cstheme="minorEastAsia"/>
                <w:color w:val="auto"/>
                <w:sz w:val="22"/>
                <w:szCs w:val="22"/>
                <w:highlight w:val="none"/>
              </w:rPr>
              <w:t>甲方（采购人、受采购人委托签订合同的单位或采购文件约定的合同甲方）</w:t>
            </w:r>
          </w:p>
        </w:tc>
        <w:tc>
          <w:tcPr>
            <w:tcW w:w="4435" w:type="dxa"/>
            <w:gridSpan w:val="2"/>
            <w:tcBorders>
              <w:left w:val="single" w:color="auto" w:sz="2" w:space="0"/>
              <w:bottom w:val="single" w:color="auto" w:sz="2" w:space="0"/>
            </w:tcBorders>
            <w:noWrap w:val="0"/>
            <w:vAlign w:val="center"/>
          </w:tcPr>
          <w:p w14:paraId="753026F7">
            <w:pPr>
              <w:snapToGrid w:val="0"/>
              <w:spacing w:line="300" w:lineRule="exact"/>
              <w:jc w:val="center"/>
              <w:rPr>
                <w:rFonts w:hint="eastAsia" w:asciiTheme="minorEastAsia" w:hAnsiTheme="minorEastAsia" w:eastAsiaTheme="minorEastAsia" w:cstheme="minorEastAsia"/>
                <w:color w:val="auto"/>
                <w:sz w:val="22"/>
                <w:szCs w:val="24"/>
                <w:highlight w:val="none"/>
              </w:rPr>
            </w:pPr>
            <w:r>
              <w:rPr>
                <w:rFonts w:hint="eastAsia" w:asciiTheme="minorEastAsia" w:hAnsiTheme="minorEastAsia" w:eastAsiaTheme="minorEastAsia" w:cstheme="minorEastAsia"/>
                <w:color w:val="auto"/>
                <w:sz w:val="22"/>
                <w:szCs w:val="22"/>
                <w:highlight w:val="none"/>
              </w:rPr>
              <w:t>乙方（供应商）</w:t>
            </w:r>
          </w:p>
        </w:tc>
      </w:tr>
      <w:tr w14:paraId="33D80D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48" w:type="dxa"/>
            <w:tcBorders>
              <w:top w:val="single" w:color="auto" w:sz="2" w:space="0"/>
              <w:bottom w:val="single" w:color="auto" w:sz="2" w:space="0"/>
              <w:right w:val="single" w:color="auto" w:sz="2" w:space="0"/>
            </w:tcBorders>
            <w:noWrap w:val="0"/>
            <w:vAlign w:val="center"/>
          </w:tcPr>
          <w:p w14:paraId="0206755E">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单位名称（公章或合同章）</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3A5DB2C8">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2CDBEEAB">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单位名称（公章或合同章）</w:t>
            </w:r>
          </w:p>
        </w:tc>
        <w:tc>
          <w:tcPr>
            <w:tcW w:w="2292" w:type="dxa"/>
            <w:tcBorders>
              <w:top w:val="single" w:color="auto" w:sz="2" w:space="0"/>
              <w:left w:val="single" w:color="auto" w:sz="2" w:space="0"/>
              <w:bottom w:val="single" w:color="auto" w:sz="2" w:space="0"/>
            </w:tcBorders>
            <w:noWrap w:val="0"/>
            <w:vAlign w:val="center"/>
          </w:tcPr>
          <w:p w14:paraId="2F26871C">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44C00A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48" w:type="dxa"/>
            <w:vMerge w:val="restart"/>
            <w:tcBorders>
              <w:top w:val="single" w:color="auto" w:sz="2" w:space="0"/>
              <w:right w:val="single" w:color="auto" w:sz="2" w:space="0"/>
            </w:tcBorders>
            <w:noWrap w:val="0"/>
            <w:vAlign w:val="center"/>
          </w:tcPr>
          <w:p w14:paraId="5957B4DE">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法定代表人</w:t>
            </w:r>
          </w:p>
          <w:p w14:paraId="14B9BF28">
            <w:pPr>
              <w:snapToGrid w:val="0"/>
              <w:spacing w:line="300" w:lineRule="exact"/>
              <w:ind w:firstLine="105" w:firstLineChars="48"/>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或其委托代理人（签章）</w:t>
            </w:r>
          </w:p>
        </w:tc>
        <w:tc>
          <w:tcPr>
            <w:tcW w:w="2612" w:type="dxa"/>
            <w:vMerge w:val="restart"/>
            <w:tcBorders>
              <w:top w:val="single" w:color="auto" w:sz="2" w:space="0"/>
              <w:left w:val="single" w:color="auto" w:sz="2" w:space="0"/>
              <w:right w:val="single" w:color="auto" w:sz="2" w:space="0"/>
            </w:tcBorders>
            <w:noWrap w:val="0"/>
            <w:vAlign w:val="center"/>
          </w:tcPr>
          <w:p w14:paraId="0E40FB7B">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right w:val="single" w:color="auto" w:sz="2" w:space="0"/>
            </w:tcBorders>
            <w:noWrap w:val="0"/>
            <w:vAlign w:val="center"/>
          </w:tcPr>
          <w:p w14:paraId="582158D9">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法定代表人</w:t>
            </w:r>
          </w:p>
          <w:p w14:paraId="38E1F5DD">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或其委托代理人（签章）</w:t>
            </w:r>
          </w:p>
        </w:tc>
        <w:tc>
          <w:tcPr>
            <w:tcW w:w="2292" w:type="dxa"/>
            <w:tcBorders>
              <w:top w:val="single" w:color="auto" w:sz="2" w:space="0"/>
              <w:left w:val="single" w:color="auto" w:sz="2" w:space="0"/>
              <w:bottom w:val="single" w:color="auto" w:sz="2" w:space="0"/>
            </w:tcBorders>
            <w:noWrap w:val="0"/>
            <w:vAlign w:val="center"/>
          </w:tcPr>
          <w:p w14:paraId="54557B7B">
            <w:pPr>
              <w:snapToGrid w:val="0"/>
              <w:spacing w:line="300" w:lineRule="exact"/>
              <w:jc w:val="center"/>
              <w:rPr>
                <w:rFonts w:hint="eastAsia" w:asciiTheme="minorEastAsia" w:hAnsiTheme="minorEastAsia" w:eastAsiaTheme="minorEastAsia" w:cstheme="minorEastAsia"/>
                <w:color w:val="auto"/>
                <w:sz w:val="22"/>
                <w:szCs w:val="22"/>
                <w:highlight w:val="none"/>
              </w:rPr>
            </w:pPr>
          </w:p>
        </w:tc>
      </w:tr>
      <w:tr w14:paraId="195D898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vMerge w:val="continue"/>
            <w:tcBorders>
              <w:bottom w:val="single" w:color="auto" w:sz="2" w:space="0"/>
              <w:right w:val="single" w:color="auto" w:sz="2" w:space="0"/>
            </w:tcBorders>
            <w:noWrap w:val="0"/>
            <w:vAlign w:val="center"/>
          </w:tcPr>
          <w:p w14:paraId="4F0FC47B">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612" w:type="dxa"/>
            <w:vMerge w:val="continue"/>
            <w:tcBorders>
              <w:left w:val="single" w:color="auto" w:sz="2" w:space="0"/>
              <w:bottom w:val="single" w:color="auto" w:sz="2" w:space="0"/>
              <w:right w:val="single" w:color="auto" w:sz="2" w:space="0"/>
            </w:tcBorders>
            <w:noWrap w:val="0"/>
            <w:vAlign w:val="center"/>
          </w:tcPr>
          <w:p w14:paraId="4D64D2E5">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430854AB">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拥有者性别</w:t>
            </w:r>
          </w:p>
        </w:tc>
        <w:tc>
          <w:tcPr>
            <w:tcW w:w="2292" w:type="dxa"/>
            <w:tcBorders>
              <w:top w:val="single" w:color="auto" w:sz="2" w:space="0"/>
              <w:left w:val="single" w:color="auto" w:sz="2" w:space="0"/>
              <w:bottom w:val="single" w:color="auto" w:sz="2" w:space="0"/>
            </w:tcBorders>
            <w:noWrap w:val="0"/>
            <w:vAlign w:val="center"/>
          </w:tcPr>
          <w:p w14:paraId="59F3841A">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139D04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44E212FD">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住  所</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5F249F9D">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5A2BF9B6">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住  所</w:t>
            </w:r>
          </w:p>
        </w:tc>
        <w:tc>
          <w:tcPr>
            <w:tcW w:w="2292" w:type="dxa"/>
            <w:tcBorders>
              <w:top w:val="single" w:color="auto" w:sz="2" w:space="0"/>
              <w:left w:val="single" w:color="auto" w:sz="2" w:space="0"/>
              <w:bottom w:val="single" w:color="auto" w:sz="2" w:space="0"/>
            </w:tcBorders>
            <w:noWrap w:val="0"/>
            <w:vAlign w:val="center"/>
          </w:tcPr>
          <w:p w14:paraId="51B64496">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31E513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1134BC76">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联 系 人</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68D3B150">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31F598C8">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联 系 人</w:t>
            </w:r>
          </w:p>
        </w:tc>
        <w:tc>
          <w:tcPr>
            <w:tcW w:w="2292" w:type="dxa"/>
            <w:tcBorders>
              <w:top w:val="single" w:color="auto" w:sz="2" w:space="0"/>
              <w:left w:val="single" w:color="auto" w:sz="2" w:space="0"/>
              <w:bottom w:val="single" w:color="auto" w:sz="2" w:space="0"/>
            </w:tcBorders>
            <w:noWrap w:val="0"/>
            <w:vAlign w:val="center"/>
          </w:tcPr>
          <w:p w14:paraId="00D6D4B0">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3D14FD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13EAB31F">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联系电话</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75142D81">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2087B89B">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联系电话</w:t>
            </w:r>
          </w:p>
        </w:tc>
        <w:tc>
          <w:tcPr>
            <w:tcW w:w="2292" w:type="dxa"/>
            <w:tcBorders>
              <w:top w:val="single" w:color="auto" w:sz="2" w:space="0"/>
              <w:left w:val="single" w:color="auto" w:sz="2" w:space="0"/>
              <w:bottom w:val="single" w:color="auto" w:sz="2" w:space="0"/>
            </w:tcBorders>
            <w:noWrap w:val="0"/>
            <w:vAlign w:val="center"/>
          </w:tcPr>
          <w:p w14:paraId="291DFE9E">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6940307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1239F20B">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通信地址</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32AB8BB3">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24030538">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通信地址</w:t>
            </w:r>
          </w:p>
        </w:tc>
        <w:tc>
          <w:tcPr>
            <w:tcW w:w="2292" w:type="dxa"/>
            <w:tcBorders>
              <w:top w:val="single" w:color="auto" w:sz="2" w:space="0"/>
              <w:left w:val="single" w:color="auto" w:sz="2" w:space="0"/>
              <w:bottom w:val="single" w:color="auto" w:sz="2" w:space="0"/>
            </w:tcBorders>
            <w:noWrap w:val="0"/>
            <w:vAlign w:val="center"/>
          </w:tcPr>
          <w:p w14:paraId="0F0C9F78">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1E4B1F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56F521E3">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邮政编码</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4C17D8DD">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44587940">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邮政编码</w:t>
            </w:r>
          </w:p>
        </w:tc>
        <w:tc>
          <w:tcPr>
            <w:tcW w:w="2292" w:type="dxa"/>
            <w:tcBorders>
              <w:top w:val="single" w:color="auto" w:sz="2" w:space="0"/>
              <w:left w:val="single" w:color="auto" w:sz="2" w:space="0"/>
              <w:bottom w:val="single" w:color="auto" w:sz="2" w:space="0"/>
            </w:tcBorders>
            <w:noWrap w:val="0"/>
            <w:vAlign w:val="center"/>
          </w:tcPr>
          <w:p w14:paraId="5DC0B4D6">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76F25B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0F69CE21">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电子邮箱</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523B1025">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69C1D49C">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电子邮箱</w:t>
            </w:r>
          </w:p>
        </w:tc>
        <w:tc>
          <w:tcPr>
            <w:tcW w:w="2292" w:type="dxa"/>
            <w:tcBorders>
              <w:top w:val="single" w:color="auto" w:sz="2" w:space="0"/>
              <w:left w:val="single" w:color="auto" w:sz="2" w:space="0"/>
              <w:bottom w:val="single" w:color="auto" w:sz="2" w:space="0"/>
            </w:tcBorders>
            <w:noWrap w:val="0"/>
            <w:vAlign w:val="center"/>
          </w:tcPr>
          <w:p w14:paraId="6558AC30">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5CD4B1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2548714F">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统一社会信用代码</w:t>
            </w:r>
          </w:p>
        </w:tc>
        <w:tc>
          <w:tcPr>
            <w:tcW w:w="2612" w:type="dxa"/>
            <w:tcBorders>
              <w:top w:val="single" w:color="auto" w:sz="2" w:space="0"/>
              <w:left w:val="single" w:color="auto" w:sz="2" w:space="0"/>
              <w:bottom w:val="single" w:color="auto" w:sz="2" w:space="0"/>
              <w:right w:val="single" w:color="auto" w:sz="2" w:space="0"/>
            </w:tcBorders>
            <w:noWrap w:val="0"/>
            <w:vAlign w:val="center"/>
          </w:tcPr>
          <w:p w14:paraId="7FD2D36D">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5093BDEC">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统一社会信用代码</w:t>
            </w:r>
          </w:p>
        </w:tc>
        <w:tc>
          <w:tcPr>
            <w:tcW w:w="2292" w:type="dxa"/>
            <w:tcBorders>
              <w:top w:val="single" w:color="auto" w:sz="2" w:space="0"/>
              <w:left w:val="single" w:color="auto" w:sz="2" w:space="0"/>
              <w:bottom w:val="single" w:color="auto" w:sz="2" w:space="0"/>
            </w:tcBorders>
            <w:noWrap w:val="0"/>
            <w:vAlign w:val="center"/>
          </w:tcPr>
          <w:p w14:paraId="64FDFC57">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4E98AA1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2ADC8103">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612" w:type="dxa"/>
            <w:tcBorders>
              <w:top w:val="single" w:color="auto" w:sz="2" w:space="0"/>
              <w:left w:val="single" w:color="auto" w:sz="2" w:space="0"/>
              <w:bottom w:val="single" w:color="auto" w:sz="2" w:space="0"/>
              <w:right w:val="single" w:color="auto" w:sz="2" w:space="0"/>
            </w:tcBorders>
            <w:noWrap w:val="0"/>
            <w:vAlign w:val="center"/>
          </w:tcPr>
          <w:p w14:paraId="1A03057A">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4775FB1D">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开户名称</w:t>
            </w:r>
          </w:p>
        </w:tc>
        <w:tc>
          <w:tcPr>
            <w:tcW w:w="2292" w:type="dxa"/>
            <w:tcBorders>
              <w:top w:val="single" w:color="auto" w:sz="2" w:space="0"/>
              <w:left w:val="single" w:color="auto" w:sz="2" w:space="0"/>
              <w:bottom w:val="single" w:color="auto" w:sz="2" w:space="0"/>
            </w:tcBorders>
            <w:noWrap w:val="0"/>
            <w:vAlign w:val="center"/>
          </w:tcPr>
          <w:p w14:paraId="4C8DCBA5">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1E46CE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484049FC">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612" w:type="dxa"/>
            <w:tcBorders>
              <w:top w:val="single" w:color="auto" w:sz="2" w:space="0"/>
              <w:left w:val="single" w:color="auto" w:sz="2" w:space="0"/>
              <w:bottom w:val="single" w:color="auto" w:sz="2" w:space="0"/>
              <w:right w:val="single" w:color="auto" w:sz="2" w:space="0"/>
            </w:tcBorders>
            <w:noWrap w:val="0"/>
            <w:vAlign w:val="center"/>
          </w:tcPr>
          <w:p w14:paraId="63EB2E67">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5FA21EBA">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开户银行</w:t>
            </w:r>
          </w:p>
        </w:tc>
        <w:tc>
          <w:tcPr>
            <w:tcW w:w="2292" w:type="dxa"/>
            <w:tcBorders>
              <w:top w:val="single" w:color="auto" w:sz="2" w:space="0"/>
              <w:left w:val="single" w:color="auto" w:sz="2" w:space="0"/>
              <w:bottom w:val="single" w:color="auto" w:sz="2" w:space="0"/>
            </w:tcBorders>
            <w:noWrap w:val="0"/>
            <w:vAlign w:val="center"/>
          </w:tcPr>
          <w:p w14:paraId="16EA3CF5">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3C231A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48" w:type="dxa"/>
            <w:tcBorders>
              <w:top w:val="single" w:color="auto" w:sz="2" w:space="0"/>
              <w:bottom w:val="single" w:color="auto" w:sz="2" w:space="0"/>
              <w:right w:val="single" w:color="auto" w:sz="2" w:space="0"/>
            </w:tcBorders>
            <w:noWrap w:val="0"/>
            <w:vAlign w:val="center"/>
          </w:tcPr>
          <w:p w14:paraId="7486B726">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612" w:type="dxa"/>
            <w:tcBorders>
              <w:top w:val="single" w:color="auto" w:sz="2" w:space="0"/>
              <w:left w:val="single" w:color="auto" w:sz="2" w:space="0"/>
              <w:bottom w:val="single" w:color="auto" w:sz="2" w:space="0"/>
              <w:right w:val="single" w:color="auto" w:sz="2" w:space="0"/>
            </w:tcBorders>
            <w:noWrap w:val="0"/>
            <w:vAlign w:val="center"/>
          </w:tcPr>
          <w:p w14:paraId="5F81E96E">
            <w:pPr>
              <w:snapToGrid w:val="0"/>
              <w:spacing w:line="300" w:lineRule="exact"/>
              <w:jc w:val="center"/>
              <w:rPr>
                <w:rFonts w:hint="eastAsia" w:asciiTheme="minorEastAsia" w:hAnsiTheme="minorEastAsia" w:eastAsiaTheme="minorEastAsia" w:cstheme="minorEastAsia"/>
                <w:color w:val="auto"/>
                <w:sz w:val="22"/>
                <w:szCs w:val="22"/>
                <w:highlight w:val="none"/>
              </w:rPr>
            </w:pPr>
          </w:p>
        </w:tc>
        <w:tc>
          <w:tcPr>
            <w:tcW w:w="2143" w:type="dxa"/>
            <w:tcBorders>
              <w:top w:val="single" w:color="auto" w:sz="2" w:space="0"/>
              <w:left w:val="single" w:color="auto" w:sz="2" w:space="0"/>
              <w:bottom w:val="single" w:color="auto" w:sz="2" w:space="0"/>
              <w:right w:val="single" w:color="auto" w:sz="2" w:space="0"/>
            </w:tcBorders>
            <w:noWrap w:val="0"/>
            <w:vAlign w:val="center"/>
          </w:tcPr>
          <w:p w14:paraId="2BD60A2E">
            <w:pPr>
              <w:snapToGrid w:val="0"/>
              <w:spacing w:line="300" w:lineRule="exact"/>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银行账号</w:t>
            </w:r>
          </w:p>
        </w:tc>
        <w:tc>
          <w:tcPr>
            <w:tcW w:w="2292" w:type="dxa"/>
            <w:tcBorders>
              <w:top w:val="single" w:color="auto" w:sz="2" w:space="0"/>
              <w:left w:val="single" w:color="auto" w:sz="2" w:space="0"/>
              <w:bottom w:val="single" w:color="auto" w:sz="2" w:space="0"/>
            </w:tcBorders>
            <w:noWrap w:val="0"/>
            <w:vAlign w:val="center"/>
          </w:tcPr>
          <w:p w14:paraId="420A9C55">
            <w:pPr>
              <w:snapToGrid w:val="0"/>
              <w:spacing w:line="300" w:lineRule="exact"/>
              <w:jc w:val="center"/>
              <w:rPr>
                <w:rFonts w:hint="eastAsia" w:asciiTheme="minorEastAsia" w:hAnsiTheme="minorEastAsia" w:eastAsiaTheme="minorEastAsia" w:cstheme="minorEastAsia"/>
                <w:color w:val="auto"/>
                <w:spacing w:val="20"/>
                <w:sz w:val="22"/>
                <w:szCs w:val="22"/>
                <w:highlight w:val="none"/>
              </w:rPr>
            </w:pPr>
          </w:p>
        </w:tc>
      </w:tr>
      <w:tr w14:paraId="2A3E9E2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095" w:type="dxa"/>
            <w:gridSpan w:val="4"/>
            <w:tcBorders>
              <w:top w:val="single" w:color="auto" w:sz="2" w:space="0"/>
            </w:tcBorders>
            <w:noWrap w:val="0"/>
            <w:vAlign w:val="center"/>
          </w:tcPr>
          <w:p w14:paraId="6E3F2D93">
            <w:pPr>
              <w:pStyle w:val="9"/>
              <w:snapToGrid w:val="0"/>
              <w:spacing w:before="156" w:beforeLines="50" w:after="0" w:line="360" w:lineRule="auto"/>
              <w:ind w:left="0" w:leftChars="0"/>
              <w:rPr>
                <w:rFonts w:hint="eastAsia" w:asciiTheme="minorEastAsia" w:hAnsiTheme="minorEastAsia" w:eastAsiaTheme="minorEastAsia" w:cstheme="minorEastAsia"/>
                <w:color w:val="auto"/>
                <w:spacing w:val="20"/>
                <w:sz w:val="52"/>
                <w:szCs w:val="22"/>
                <w:highlight w:val="none"/>
              </w:rPr>
            </w:pPr>
            <w:r>
              <w:rPr>
                <w:rFonts w:hint="eastAsia" w:asciiTheme="minorEastAsia" w:hAnsiTheme="minorEastAsia" w:eastAsiaTheme="minorEastAsia" w:cstheme="minorEastAsia"/>
                <w:color w:val="auto"/>
                <w:sz w:val="32"/>
                <w:szCs w:val="15"/>
                <w:highlight w:val="none"/>
              </w:rPr>
              <w:t>注：涉及联合体或其他合同主体的信息应按上表格式加列。</w:t>
            </w:r>
          </w:p>
        </w:tc>
      </w:tr>
    </w:tbl>
    <w:p w14:paraId="1BB48C63">
      <w:pPr>
        <w:pStyle w:val="3"/>
        <w:numPr>
          <w:ilvl w:val="0"/>
          <w:numId w:val="0"/>
        </w:numPr>
        <w:snapToGrid w:val="0"/>
        <w:spacing w:before="0" w:after="0" w:line="360" w:lineRule="auto"/>
        <w:ind w:firstLine="440" w:firstLineChars="200"/>
        <w:jc w:val="center"/>
        <w:rPr>
          <w:rFonts w:hint="eastAsia" w:asciiTheme="minorEastAsia" w:hAnsiTheme="minorEastAsia" w:eastAsiaTheme="minorEastAsia" w:cstheme="minorEastAsia"/>
          <w:b w:val="0"/>
          <w:bCs w:val="0"/>
          <w:color w:val="auto"/>
          <w:sz w:val="28"/>
          <w:szCs w:val="28"/>
          <w:highlight w:val="none"/>
        </w:rPr>
      </w:pPr>
      <w:r>
        <w:rPr>
          <w:rFonts w:hint="eastAsia" w:asciiTheme="minorEastAsia" w:hAnsiTheme="minorEastAsia" w:eastAsiaTheme="minorEastAsia" w:cstheme="minorEastAsia"/>
          <w:color w:val="auto"/>
          <w:sz w:val="22"/>
          <w:szCs w:val="22"/>
          <w:highlight w:val="none"/>
          <w:u w:val="single"/>
        </w:rPr>
        <w:br w:type="page"/>
      </w:r>
      <w:bookmarkStart w:id="471" w:name="_Toc27624"/>
      <w:r>
        <w:rPr>
          <w:rFonts w:hint="eastAsia" w:asciiTheme="minorEastAsia" w:hAnsiTheme="minorEastAsia" w:eastAsiaTheme="minorEastAsia" w:cstheme="minorEastAsia"/>
          <w:b w:val="0"/>
          <w:bCs w:val="0"/>
          <w:color w:val="auto"/>
          <w:sz w:val="28"/>
          <w:szCs w:val="28"/>
          <w:highlight w:val="none"/>
        </w:rPr>
        <w:t>第二节 政府采购合同通用条款</w:t>
      </w:r>
      <w:bookmarkEnd w:id="471"/>
    </w:p>
    <w:p w14:paraId="243C36D0">
      <w:pPr>
        <w:pStyle w:val="3"/>
        <w:numPr>
          <w:ilvl w:val="0"/>
          <w:numId w:val="0"/>
        </w:numPr>
        <w:snapToGrid w:val="0"/>
        <w:spacing w:before="0" w:after="0" w:line="360" w:lineRule="auto"/>
        <w:ind w:firstLine="560" w:firstLineChars="200"/>
        <w:jc w:val="center"/>
        <w:rPr>
          <w:rFonts w:hint="eastAsia" w:asciiTheme="minorEastAsia" w:hAnsiTheme="minorEastAsia" w:eastAsiaTheme="minorEastAsia" w:cstheme="minorEastAsia"/>
          <w:b w:val="0"/>
          <w:bCs w:val="0"/>
          <w:color w:val="auto"/>
          <w:sz w:val="28"/>
          <w:szCs w:val="28"/>
          <w:highlight w:val="none"/>
        </w:rPr>
      </w:pPr>
      <w:bookmarkStart w:id="472" w:name="_Toc20313"/>
      <w:r>
        <w:rPr>
          <w:rFonts w:hint="eastAsia" w:asciiTheme="minorEastAsia" w:hAnsiTheme="minorEastAsia" w:eastAsiaTheme="minorEastAsia" w:cstheme="minorEastAsia"/>
          <w:b w:val="0"/>
          <w:bCs w:val="0"/>
          <w:color w:val="auto"/>
          <w:sz w:val="28"/>
          <w:szCs w:val="28"/>
          <w:highlight w:val="none"/>
        </w:rPr>
        <w:t>（略）</w:t>
      </w:r>
      <w:r>
        <w:rPr>
          <w:rFonts w:hint="eastAsia" w:asciiTheme="minorEastAsia" w:hAnsiTheme="minorEastAsia" w:eastAsiaTheme="minorEastAsia" w:cstheme="minorEastAsia"/>
          <w:b w:val="0"/>
          <w:bCs w:val="0"/>
          <w:color w:val="auto"/>
          <w:sz w:val="32"/>
          <w:szCs w:val="32"/>
          <w:highlight w:val="none"/>
        </w:rPr>
        <w:br w:type="page"/>
      </w:r>
      <w:r>
        <w:rPr>
          <w:rFonts w:hint="eastAsia" w:asciiTheme="minorEastAsia" w:hAnsiTheme="minorEastAsia" w:eastAsiaTheme="minorEastAsia" w:cstheme="minorEastAsia"/>
          <w:b w:val="0"/>
          <w:bCs w:val="0"/>
          <w:color w:val="auto"/>
          <w:sz w:val="28"/>
          <w:szCs w:val="28"/>
          <w:highlight w:val="none"/>
        </w:rPr>
        <w:t>第三节 政府采购合同专用条款</w:t>
      </w:r>
      <w:bookmarkEnd w:id="472"/>
    </w:p>
    <w:tbl>
      <w:tblPr>
        <w:tblStyle w:val="19"/>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6C115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946E1BF">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3A9D59C2">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第1.2（6）项</w:t>
            </w:r>
          </w:p>
        </w:tc>
        <w:tc>
          <w:tcPr>
            <w:tcW w:w="1742" w:type="dxa"/>
            <w:noWrap w:val="0"/>
            <w:vAlign w:val="center"/>
          </w:tcPr>
          <w:p w14:paraId="2CDE657C">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联合体具体要求</w:t>
            </w:r>
          </w:p>
        </w:tc>
        <w:tc>
          <w:tcPr>
            <w:tcW w:w="5170" w:type="dxa"/>
            <w:noWrap w:val="0"/>
            <w:vAlign w:val="center"/>
          </w:tcPr>
          <w:p w14:paraId="428974E9">
            <w:pPr>
              <w:snapToGrid w:val="0"/>
              <w:rPr>
                <w:rFonts w:hint="eastAsia" w:asciiTheme="minorEastAsia" w:hAnsiTheme="minorEastAsia" w:eastAsiaTheme="minorEastAsia" w:cstheme="minorEastAsia"/>
                <w:color w:val="auto"/>
                <w:sz w:val="22"/>
                <w:szCs w:val="22"/>
                <w:highlight w:val="none"/>
              </w:rPr>
            </w:pPr>
          </w:p>
        </w:tc>
      </w:tr>
      <w:tr w14:paraId="6592F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2F2F3902">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1924546">
            <w:pPr>
              <w:snapToGrid w:val="0"/>
              <w:jc w:val="center"/>
              <w:rPr>
                <w:rFonts w:hint="eastAsia" w:asciiTheme="minorEastAsia" w:hAnsiTheme="minorEastAsia" w:eastAsiaTheme="minorEastAsia" w:cstheme="minorEastAsia"/>
                <w:color w:val="auto"/>
                <w:kern w:val="2"/>
                <w:sz w:val="22"/>
                <w:szCs w:val="22"/>
                <w:highlight w:val="none"/>
              </w:rPr>
            </w:pPr>
            <w:r>
              <w:rPr>
                <w:rFonts w:hint="eastAsia" w:asciiTheme="minorEastAsia" w:hAnsiTheme="minorEastAsia" w:eastAsiaTheme="minorEastAsia" w:cstheme="minorEastAsia"/>
                <w:color w:val="auto"/>
                <w:sz w:val="22"/>
                <w:szCs w:val="22"/>
                <w:highlight w:val="none"/>
              </w:rPr>
              <w:t>第1.2（7）项</w:t>
            </w:r>
          </w:p>
        </w:tc>
        <w:tc>
          <w:tcPr>
            <w:tcW w:w="1742" w:type="dxa"/>
            <w:noWrap w:val="0"/>
            <w:vAlign w:val="center"/>
          </w:tcPr>
          <w:p w14:paraId="671FF5E3">
            <w:pPr>
              <w:snapToGrid w:val="0"/>
              <w:rPr>
                <w:rFonts w:hint="eastAsia" w:asciiTheme="minorEastAsia" w:hAnsiTheme="minorEastAsia" w:eastAsiaTheme="minorEastAsia" w:cstheme="minorEastAsia"/>
                <w:color w:val="auto"/>
                <w:kern w:val="2"/>
                <w:sz w:val="22"/>
                <w:szCs w:val="22"/>
                <w:highlight w:val="none"/>
              </w:rPr>
            </w:pPr>
            <w:r>
              <w:rPr>
                <w:rFonts w:hint="eastAsia" w:asciiTheme="minorEastAsia" w:hAnsiTheme="minorEastAsia" w:eastAsiaTheme="minorEastAsia" w:cstheme="minorEastAsia"/>
                <w:color w:val="auto"/>
                <w:sz w:val="22"/>
                <w:szCs w:val="22"/>
                <w:highlight w:val="none"/>
              </w:rPr>
              <w:t>其他术语解释</w:t>
            </w:r>
          </w:p>
        </w:tc>
        <w:tc>
          <w:tcPr>
            <w:tcW w:w="5170" w:type="dxa"/>
            <w:noWrap w:val="0"/>
            <w:vAlign w:val="center"/>
          </w:tcPr>
          <w:p w14:paraId="7854CAE5">
            <w:pPr>
              <w:snapToGrid w:val="0"/>
              <w:rPr>
                <w:rFonts w:hint="eastAsia" w:asciiTheme="minorEastAsia" w:hAnsiTheme="minorEastAsia" w:eastAsiaTheme="minorEastAsia" w:cstheme="minorEastAsia"/>
                <w:color w:val="auto"/>
                <w:kern w:val="2"/>
                <w:sz w:val="22"/>
                <w:szCs w:val="22"/>
                <w:highlight w:val="none"/>
              </w:rPr>
            </w:pPr>
          </w:p>
        </w:tc>
      </w:tr>
      <w:tr w14:paraId="5A0D8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56101750">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48C74767">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第4.4款</w:t>
            </w:r>
          </w:p>
        </w:tc>
        <w:tc>
          <w:tcPr>
            <w:tcW w:w="1742" w:type="dxa"/>
            <w:noWrap w:val="0"/>
            <w:vAlign w:val="center"/>
          </w:tcPr>
          <w:p w14:paraId="2999274B">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履约验收中甲方提出异议或作出说明的期限</w:t>
            </w:r>
          </w:p>
        </w:tc>
        <w:tc>
          <w:tcPr>
            <w:tcW w:w="5170" w:type="dxa"/>
            <w:noWrap w:val="0"/>
            <w:vAlign w:val="center"/>
          </w:tcPr>
          <w:p w14:paraId="1C40F358">
            <w:pPr>
              <w:snapToGrid w:val="0"/>
              <w:rPr>
                <w:rFonts w:hint="eastAsia" w:asciiTheme="minorEastAsia" w:hAnsiTheme="minorEastAsia" w:eastAsiaTheme="minorEastAsia" w:cstheme="minorEastAsia"/>
                <w:color w:val="auto"/>
                <w:kern w:val="2"/>
                <w:sz w:val="22"/>
                <w:szCs w:val="22"/>
                <w:highlight w:val="none"/>
              </w:rPr>
            </w:pPr>
          </w:p>
        </w:tc>
      </w:tr>
      <w:tr w14:paraId="18BB1D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35B853F">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051CB993">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第4.6款</w:t>
            </w:r>
          </w:p>
        </w:tc>
        <w:tc>
          <w:tcPr>
            <w:tcW w:w="1742" w:type="dxa"/>
            <w:noWrap w:val="0"/>
            <w:vAlign w:val="center"/>
          </w:tcPr>
          <w:p w14:paraId="5511BC9A">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约定甲方承担的其他义务和责任</w:t>
            </w:r>
          </w:p>
        </w:tc>
        <w:tc>
          <w:tcPr>
            <w:tcW w:w="5170" w:type="dxa"/>
            <w:noWrap w:val="0"/>
            <w:vAlign w:val="center"/>
          </w:tcPr>
          <w:p w14:paraId="4352060D">
            <w:pPr>
              <w:snapToGrid w:val="0"/>
              <w:rPr>
                <w:rFonts w:hint="eastAsia" w:asciiTheme="minorEastAsia" w:hAnsiTheme="minorEastAsia" w:eastAsiaTheme="minorEastAsia" w:cstheme="minorEastAsia"/>
                <w:color w:val="auto"/>
                <w:kern w:val="2"/>
                <w:sz w:val="22"/>
                <w:szCs w:val="22"/>
                <w:highlight w:val="none"/>
              </w:rPr>
            </w:pPr>
          </w:p>
        </w:tc>
      </w:tr>
      <w:tr w14:paraId="58767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F208435">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5C1D7F5B">
            <w:pPr>
              <w:snapToGrid w:val="0"/>
              <w:jc w:val="center"/>
              <w:rPr>
                <w:rFonts w:hint="eastAsia" w:asciiTheme="minorEastAsia" w:hAnsiTheme="minorEastAsia" w:eastAsiaTheme="minorEastAsia" w:cstheme="minorEastAsia"/>
                <w:color w:val="auto"/>
                <w:sz w:val="22"/>
                <w:szCs w:val="24"/>
                <w:highlight w:val="none"/>
              </w:rPr>
            </w:pPr>
            <w:r>
              <w:rPr>
                <w:rFonts w:hint="eastAsia" w:asciiTheme="minorEastAsia" w:hAnsiTheme="minorEastAsia" w:eastAsiaTheme="minorEastAsia" w:cstheme="minorEastAsia"/>
                <w:color w:val="auto"/>
                <w:sz w:val="22"/>
                <w:szCs w:val="22"/>
                <w:highlight w:val="none"/>
              </w:rPr>
              <w:t>第5.4款</w:t>
            </w:r>
          </w:p>
        </w:tc>
        <w:tc>
          <w:tcPr>
            <w:tcW w:w="1742" w:type="dxa"/>
            <w:noWrap w:val="0"/>
            <w:vAlign w:val="center"/>
          </w:tcPr>
          <w:p w14:paraId="0F622A8F">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约定乙方承担的其他义务和责任</w:t>
            </w:r>
          </w:p>
        </w:tc>
        <w:tc>
          <w:tcPr>
            <w:tcW w:w="5170" w:type="dxa"/>
            <w:noWrap w:val="0"/>
            <w:vAlign w:val="center"/>
          </w:tcPr>
          <w:p w14:paraId="2DDD0592">
            <w:pPr>
              <w:snapToGrid w:val="0"/>
              <w:rPr>
                <w:rFonts w:hint="eastAsia" w:asciiTheme="minorEastAsia" w:hAnsiTheme="minorEastAsia" w:eastAsiaTheme="minorEastAsia" w:cstheme="minorEastAsia"/>
                <w:color w:val="auto"/>
                <w:kern w:val="2"/>
                <w:sz w:val="22"/>
                <w:szCs w:val="22"/>
                <w:highlight w:val="none"/>
              </w:rPr>
            </w:pPr>
          </w:p>
        </w:tc>
      </w:tr>
      <w:tr w14:paraId="28D5F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B4C0ED5">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2CD52C48">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第6.1款</w:t>
            </w:r>
          </w:p>
        </w:tc>
        <w:tc>
          <w:tcPr>
            <w:tcW w:w="1742" w:type="dxa"/>
            <w:noWrap w:val="0"/>
            <w:vAlign w:val="center"/>
          </w:tcPr>
          <w:p w14:paraId="689B0FEA">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履行合同义务的顺序</w:t>
            </w:r>
          </w:p>
        </w:tc>
        <w:tc>
          <w:tcPr>
            <w:tcW w:w="5170" w:type="dxa"/>
            <w:noWrap w:val="0"/>
            <w:vAlign w:val="center"/>
          </w:tcPr>
          <w:p w14:paraId="4D6D41B4">
            <w:pPr>
              <w:snapToGrid w:val="0"/>
              <w:rPr>
                <w:rFonts w:hint="eastAsia" w:asciiTheme="minorEastAsia" w:hAnsiTheme="minorEastAsia" w:eastAsiaTheme="minorEastAsia" w:cstheme="minorEastAsia"/>
                <w:color w:val="auto"/>
                <w:kern w:val="2"/>
                <w:sz w:val="22"/>
                <w:szCs w:val="22"/>
                <w:highlight w:val="none"/>
              </w:rPr>
            </w:pPr>
          </w:p>
        </w:tc>
      </w:tr>
      <w:tr w14:paraId="1A4E6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2C819B5F">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B5D5C07">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第7.1款</w:t>
            </w:r>
          </w:p>
        </w:tc>
        <w:tc>
          <w:tcPr>
            <w:tcW w:w="1742" w:type="dxa"/>
            <w:noWrap w:val="0"/>
            <w:vAlign w:val="center"/>
          </w:tcPr>
          <w:p w14:paraId="3958A492">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包装特殊要求</w:t>
            </w:r>
          </w:p>
        </w:tc>
        <w:tc>
          <w:tcPr>
            <w:tcW w:w="5170" w:type="dxa"/>
            <w:noWrap w:val="0"/>
            <w:vAlign w:val="center"/>
          </w:tcPr>
          <w:p w14:paraId="525F1B9F">
            <w:pPr>
              <w:rPr>
                <w:rFonts w:hint="eastAsia" w:asciiTheme="minorEastAsia" w:hAnsiTheme="minorEastAsia" w:eastAsiaTheme="minorEastAsia" w:cstheme="minorEastAsia"/>
                <w:color w:val="auto"/>
                <w:sz w:val="22"/>
                <w:szCs w:val="24"/>
                <w:highlight w:val="none"/>
              </w:rPr>
            </w:pPr>
          </w:p>
        </w:tc>
      </w:tr>
      <w:tr w14:paraId="343F9B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70FC5B9E">
            <w:pPr>
              <w:snapToGrid w:val="0"/>
              <w:jc w:val="center"/>
              <w:rPr>
                <w:rFonts w:hint="eastAsia" w:asciiTheme="minorEastAsia" w:hAnsiTheme="minorEastAsia" w:eastAsiaTheme="minorEastAsia" w:cstheme="minorEastAsia"/>
                <w:color w:val="auto"/>
                <w:sz w:val="22"/>
                <w:szCs w:val="22"/>
                <w:highlight w:val="none"/>
              </w:rPr>
            </w:pPr>
          </w:p>
        </w:tc>
        <w:tc>
          <w:tcPr>
            <w:tcW w:w="1742" w:type="dxa"/>
            <w:noWrap w:val="0"/>
            <w:vAlign w:val="center"/>
          </w:tcPr>
          <w:p w14:paraId="1D67AA8A">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指定现场</w:t>
            </w:r>
          </w:p>
        </w:tc>
        <w:tc>
          <w:tcPr>
            <w:tcW w:w="5170" w:type="dxa"/>
            <w:noWrap w:val="0"/>
            <w:vAlign w:val="center"/>
          </w:tcPr>
          <w:p w14:paraId="55EB5E6B">
            <w:pPr>
              <w:rPr>
                <w:rFonts w:hint="eastAsia" w:asciiTheme="minorEastAsia" w:hAnsiTheme="minorEastAsia" w:eastAsiaTheme="minorEastAsia" w:cstheme="minorEastAsia"/>
                <w:color w:val="auto"/>
                <w:sz w:val="22"/>
                <w:szCs w:val="24"/>
                <w:highlight w:val="none"/>
              </w:rPr>
            </w:pPr>
          </w:p>
        </w:tc>
      </w:tr>
      <w:tr w14:paraId="39D762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06C6A901">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52DB271B">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第7.2款</w:t>
            </w:r>
          </w:p>
        </w:tc>
        <w:tc>
          <w:tcPr>
            <w:tcW w:w="1742" w:type="dxa"/>
            <w:noWrap w:val="0"/>
            <w:vAlign w:val="center"/>
          </w:tcPr>
          <w:p w14:paraId="30825D0A">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运输特殊要求</w:t>
            </w:r>
          </w:p>
        </w:tc>
        <w:tc>
          <w:tcPr>
            <w:tcW w:w="5170" w:type="dxa"/>
            <w:noWrap w:val="0"/>
            <w:vAlign w:val="center"/>
          </w:tcPr>
          <w:p w14:paraId="58A9242E">
            <w:pPr>
              <w:rPr>
                <w:rFonts w:hint="eastAsia" w:asciiTheme="minorEastAsia" w:hAnsiTheme="minorEastAsia" w:eastAsiaTheme="minorEastAsia" w:cstheme="minorEastAsia"/>
                <w:color w:val="auto"/>
                <w:sz w:val="22"/>
                <w:szCs w:val="24"/>
                <w:highlight w:val="none"/>
              </w:rPr>
            </w:pPr>
          </w:p>
        </w:tc>
      </w:tr>
      <w:tr w14:paraId="3D0965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4C0ED5DB">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6F47E276">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第7.3款</w:t>
            </w:r>
          </w:p>
        </w:tc>
        <w:tc>
          <w:tcPr>
            <w:tcW w:w="1742" w:type="dxa"/>
            <w:noWrap w:val="0"/>
            <w:vAlign w:val="center"/>
          </w:tcPr>
          <w:p w14:paraId="59608743">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保险要求</w:t>
            </w:r>
          </w:p>
        </w:tc>
        <w:tc>
          <w:tcPr>
            <w:tcW w:w="5170" w:type="dxa"/>
            <w:noWrap w:val="0"/>
            <w:vAlign w:val="center"/>
          </w:tcPr>
          <w:p w14:paraId="6F67981B">
            <w:pPr>
              <w:rPr>
                <w:rFonts w:hint="eastAsia" w:asciiTheme="minorEastAsia" w:hAnsiTheme="minorEastAsia" w:eastAsiaTheme="minorEastAsia" w:cstheme="minorEastAsia"/>
                <w:color w:val="auto"/>
                <w:sz w:val="22"/>
                <w:szCs w:val="24"/>
                <w:highlight w:val="none"/>
              </w:rPr>
            </w:pPr>
          </w:p>
        </w:tc>
      </w:tr>
      <w:tr w14:paraId="01DB12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3754D67">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4400423E">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第8.2（1）项</w:t>
            </w:r>
          </w:p>
        </w:tc>
        <w:tc>
          <w:tcPr>
            <w:tcW w:w="1742" w:type="dxa"/>
            <w:noWrap w:val="0"/>
            <w:vAlign w:val="center"/>
          </w:tcPr>
          <w:p w14:paraId="7B7BEDEA">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质量保证期</w:t>
            </w:r>
          </w:p>
        </w:tc>
        <w:tc>
          <w:tcPr>
            <w:tcW w:w="5170" w:type="dxa"/>
            <w:noWrap w:val="0"/>
            <w:vAlign w:val="center"/>
          </w:tcPr>
          <w:p w14:paraId="2217EE51">
            <w:pPr>
              <w:autoSpaceDE w:val="0"/>
              <w:autoSpaceDN w:val="0"/>
              <w:snapToGrid w:val="0"/>
              <w:ind w:firstLine="440" w:firstLineChars="200"/>
              <w:rPr>
                <w:rFonts w:hint="eastAsia" w:asciiTheme="minorEastAsia" w:hAnsiTheme="minorEastAsia" w:eastAsiaTheme="minorEastAsia" w:cstheme="minorEastAsia"/>
                <w:color w:val="auto"/>
                <w:sz w:val="22"/>
                <w:szCs w:val="22"/>
                <w:highlight w:val="none"/>
              </w:rPr>
            </w:pPr>
          </w:p>
        </w:tc>
      </w:tr>
      <w:tr w14:paraId="086C9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2811778">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AE6E14B">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第8.2（3）项</w:t>
            </w:r>
          </w:p>
        </w:tc>
        <w:tc>
          <w:tcPr>
            <w:tcW w:w="1742" w:type="dxa"/>
            <w:noWrap w:val="0"/>
            <w:vAlign w:val="center"/>
          </w:tcPr>
          <w:p w14:paraId="6A3727FD">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货物质量缺陷</w:t>
            </w:r>
          </w:p>
          <w:p w14:paraId="6DF19D70">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响应时间</w:t>
            </w:r>
          </w:p>
        </w:tc>
        <w:tc>
          <w:tcPr>
            <w:tcW w:w="5170" w:type="dxa"/>
            <w:noWrap w:val="0"/>
            <w:vAlign w:val="center"/>
          </w:tcPr>
          <w:p w14:paraId="22A26F59">
            <w:pPr>
              <w:snapToGrid w:val="0"/>
              <w:rPr>
                <w:rFonts w:hint="eastAsia" w:asciiTheme="minorEastAsia" w:hAnsiTheme="minorEastAsia" w:eastAsiaTheme="minorEastAsia" w:cstheme="minorEastAsia"/>
                <w:color w:val="auto"/>
                <w:sz w:val="22"/>
                <w:szCs w:val="22"/>
                <w:highlight w:val="none"/>
              </w:rPr>
            </w:pPr>
          </w:p>
        </w:tc>
      </w:tr>
      <w:tr w14:paraId="6B77F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2666AD05">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8CCB7D7">
            <w:pPr>
              <w:pStyle w:val="30"/>
              <w:ind w:firstLine="0" w:firstLineChars="0"/>
              <w:jc w:val="center"/>
              <w:rPr>
                <w:rFonts w:hint="eastAsia" w:asciiTheme="minorEastAsia" w:hAnsiTheme="minorEastAsia" w:eastAsiaTheme="minorEastAsia" w:cstheme="minorEastAsia"/>
                <w:color w:val="auto"/>
                <w:sz w:val="24"/>
                <w:szCs w:val="22"/>
                <w:highlight w:val="none"/>
              </w:rPr>
            </w:pPr>
            <w:r>
              <w:rPr>
                <w:rFonts w:hint="eastAsia" w:asciiTheme="minorEastAsia" w:hAnsiTheme="minorEastAsia" w:eastAsiaTheme="minorEastAsia" w:cstheme="minorEastAsia"/>
                <w:color w:val="auto"/>
                <w:sz w:val="24"/>
                <w:szCs w:val="22"/>
                <w:highlight w:val="none"/>
              </w:rPr>
              <w:t>第11.1款</w:t>
            </w:r>
          </w:p>
        </w:tc>
        <w:tc>
          <w:tcPr>
            <w:tcW w:w="1742" w:type="dxa"/>
            <w:noWrap w:val="0"/>
            <w:vAlign w:val="center"/>
          </w:tcPr>
          <w:p w14:paraId="5E95DD4F">
            <w:pPr>
              <w:snapToGrid w:val="0"/>
              <w:jc w:val="both"/>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其他应当保密的信息</w:t>
            </w:r>
          </w:p>
        </w:tc>
        <w:tc>
          <w:tcPr>
            <w:tcW w:w="5170" w:type="dxa"/>
            <w:noWrap w:val="0"/>
            <w:vAlign w:val="center"/>
          </w:tcPr>
          <w:p w14:paraId="7CD75138">
            <w:pPr>
              <w:snapToGrid w:val="0"/>
              <w:rPr>
                <w:rFonts w:hint="eastAsia" w:asciiTheme="minorEastAsia" w:hAnsiTheme="minorEastAsia" w:eastAsiaTheme="minorEastAsia" w:cstheme="minorEastAsia"/>
                <w:color w:val="auto"/>
                <w:sz w:val="22"/>
                <w:szCs w:val="22"/>
                <w:highlight w:val="none"/>
              </w:rPr>
            </w:pPr>
          </w:p>
        </w:tc>
      </w:tr>
      <w:tr w14:paraId="32008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72366FCD">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6E599D3F">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第12.2款</w:t>
            </w:r>
          </w:p>
        </w:tc>
        <w:tc>
          <w:tcPr>
            <w:tcW w:w="1742" w:type="dxa"/>
            <w:noWrap w:val="0"/>
            <w:vAlign w:val="center"/>
          </w:tcPr>
          <w:p w14:paraId="590F0814">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合同价款支付时间</w:t>
            </w:r>
          </w:p>
        </w:tc>
        <w:tc>
          <w:tcPr>
            <w:tcW w:w="5170" w:type="dxa"/>
            <w:noWrap w:val="0"/>
            <w:vAlign w:val="center"/>
          </w:tcPr>
          <w:p w14:paraId="151F7238">
            <w:pPr>
              <w:snapToGrid w:val="0"/>
              <w:rPr>
                <w:rFonts w:hint="eastAsia" w:asciiTheme="minorEastAsia" w:hAnsiTheme="minorEastAsia" w:eastAsiaTheme="minorEastAsia" w:cstheme="minorEastAsia"/>
                <w:color w:val="auto"/>
                <w:sz w:val="22"/>
                <w:szCs w:val="22"/>
                <w:highlight w:val="none"/>
              </w:rPr>
            </w:pPr>
          </w:p>
        </w:tc>
      </w:tr>
      <w:tr w14:paraId="21D769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7" w:hRule="atLeast"/>
        </w:trPr>
        <w:tc>
          <w:tcPr>
            <w:tcW w:w="1607" w:type="dxa"/>
            <w:noWrap w:val="0"/>
            <w:vAlign w:val="center"/>
          </w:tcPr>
          <w:p w14:paraId="1A3EBBD4">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1D5F8B3">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第13.2款</w:t>
            </w:r>
          </w:p>
        </w:tc>
        <w:tc>
          <w:tcPr>
            <w:tcW w:w="1742" w:type="dxa"/>
            <w:noWrap w:val="0"/>
            <w:vAlign w:val="center"/>
          </w:tcPr>
          <w:p w14:paraId="16E40DD4">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履约保证金不予退还的情形</w:t>
            </w:r>
          </w:p>
        </w:tc>
        <w:tc>
          <w:tcPr>
            <w:tcW w:w="5170" w:type="dxa"/>
            <w:noWrap w:val="0"/>
            <w:vAlign w:val="center"/>
          </w:tcPr>
          <w:p w14:paraId="31768E7A">
            <w:pPr>
              <w:snapToGrid w:val="0"/>
              <w:rPr>
                <w:rFonts w:hint="eastAsia" w:asciiTheme="minorEastAsia" w:hAnsiTheme="minorEastAsia" w:eastAsiaTheme="minorEastAsia" w:cstheme="minorEastAsia"/>
                <w:color w:val="auto"/>
                <w:sz w:val="22"/>
                <w:szCs w:val="22"/>
                <w:highlight w:val="none"/>
              </w:rPr>
            </w:pPr>
          </w:p>
        </w:tc>
      </w:tr>
      <w:tr w14:paraId="581062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2" w:hRule="atLeast"/>
        </w:trPr>
        <w:tc>
          <w:tcPr>
            <w:tcW w:w="1607" w:type="dxa"/>
            <w:noWrap w:val="0"/>
            <w:vAlign w:val="center"/>
          </w:tcPr>
          <w:p w14:paraId="57A0F809">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45A3EB11">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第13.3款</w:t>
            </w:r>
          </w:p>
        </w:tc>
        <w:tc>
          <w:tcPr>
            <w:tcW w:w="1742" w:type="dxa"/>
            <w:noWrap w:val="0"/>
            <w:vAlign w:val="center"/>
          </w:tcPr>
          <w:p w14:paraId="51B3691E">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履约保证金退还时间及逾期退还的违约金</w:t>
            </w:r>
          </w:p>
        </w:tc>
        <w:tc>
          <w:tcPr>
            <w:tcW w:w="5170" w:type="dxa"/>
            <w:noWrap w:val="0"/>
            <w:vAlign w:val="center"/>
          </w:tcPr>
          <w:p w14:paraId="30AD9F9F">
            <w:pPr>
              <w:snapToGrid w:val="0"/>
              <w:rPr>
                <w:rFonts w:hint="eastAsia" w:asciiTheme="minorEastAsia" w:hAnsiTheme="minorEastAsia" w:eastAsiaTheme="minorEastAsia" w:cstheme="minorEastAsia"/>
                <w:color w:val="auto"/>
                <w:sz w:val="22"/>
                <w:szCs w:val="22"/>
                <w:highlight w:val="none"/>
              </w:rPr>
            </w:pPr>
          </w:p>
        </w:tc>
      </w:tr>
      <w:tr w14:paraId="7B77A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6A718E91">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186582F">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第14.1（3）项</w:t>
            </w:r>
          </w:p>
        </w:tc>
        <w:tc>
          <w:tcPr>
            <w:tcW w:w="1742" w:type="dxa"/>
            <w:noWrap w:val="0"/>
            <w:vAlign w:val="center"/>
          </w:tcPr>
          <w:p w14:paraId="5D97426A">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运行监督、维修期限</w:t>
            </w:r>
          </w:p>
        </w:tc>
        <w:tc>
          <w:tcPr>
            <w:tcW w:w="5170" w:type="dxa"/>
            <w:noWrap w:val="0"/>
            <w:vAlign w:val="center"/>
          </w:tcPr>
          <w:p w14:paraId="00E981A9">
            <w:pPr>
              <w:snapToGrid w:val="0"/>
              <w:rPr>
                <w:rFonts w:hint="eastAsia" w:asciiTheme="minorEastAsia" w:hAnsiTheme="minorEastAsia" w:eastAsiaTheme="minorEastAsia" w:cstheme="minorEastAsia"/>
                <w:color w:val="auto"/>
                <w:sz w:val="22"/>
                <w:szCs w:val="22"/>
                <w:highlight w:val="none"/>
              </w:rPr>
            </w:pPr>
          </w:p>
        </w:tc>
      </w:tr>
      <w:tr w14:paraId="230FE7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781CCCD5">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1A8717BE">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第14.1（5）项</w:t>
            </w:r>
          </w:p>
        </w:tc>
        <w:tc>
          <w:tcPr>
            <w:tcW w:w="1742" w:type="dxa"/>
            <w:noWrap w:val="0"/>
            <w:vAlign w:val="center"/>
          </w:tcPr>
          <w:p w14:paraId="155C1874">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货物回收的约定</w:t>
            </w:r>
          </w:p>
        </w:tc>
        <w:tc>
          <w:tcPr>
            <w:tcW w:w="5170" w:type="dxa"/>
            <w:noWrap w:val="0"/>
            <w:vAlign w:val="center"/>
          </w:tcPr>
          <w:p w14:paraId="44EFF493">
            <w:pPr>
              <w:snapToGrid w:val="0"/>
              <w:rPr>
                <w:rFonts w:hint="eastAsia" w:asciiTheme="minorEastAsia" w:hAnsiTheme="minorEastAsia" w:eastAsiaTheme="minorEastAsia" w:cstheme="minorEastAsia"/>
                <w:color w:val="auto"/>
                <w:sz w:val="22"/>
                <w:szCs w:val="22"/>
                <w:highlight w:val="none"/>
              </w:rPr>
            </w:pPr>
          </w:p>
        </w:tc>
      </w:tr>
      <w:tr w14:paraId="40027A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78A74CB">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AAA89E4">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第14.1（6）项</w:t>
            </w:r>
          </w:p>
        </w:tc>
        <w:tc>
          <w:tcPr>
            <w:tcW w:w="1742" w:type="dxa"/>
            <w:noWrap w:val="0"/>
            <w:vAlign w:val="center"/>
          </w:tcPr>
          <w:p w14:paraId="0DDDF75A">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乙方提供的其他服务</w:t>
            </w:r>
          </w:p>
        </w:tc>
        <w:tc>
          <w:tcPr>
            <w:tcW w:w="5170" w:type="dxa"/>
            <w:noWrap w:val="0"/>
            <w:vAlign w:val="center"/>
          </w:tcPr>
          <w:p w14:paraId="689D488D">
            <w:pPr>
              <w:snapToGrid w:val="0"/>
              <w:rPr>
                <w:rFonts w:hint="eastAsia" w:asciiTheme="minorEastAsia" w:hAnsiTheme="minorEastAsia" w:eastAsiaTheme="minorEastAsia" w:cstheme="minorEastAsia"/>
                <w:color w:val="auto"/>
                <w:sz w:val="22"/>
                <w:szCs w:val="22"/>
                <w:highlight w:val="none"/>
              </w:rPr>
            </w:pPr>
          </w:p>
        </w:tc>
      </w:tr>
      <w:tr w14:paraId="60EAD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8422403">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6C4F762D">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第15.1款</w:t>
            </w:r>
          </w:p>
        </w:tc>
        <w:tc>
          <w:tcPr>
            <w:tcW w:w="1742" w:type="dxa"/>
            <w:noWrap w:val="0"/>
            <w:vAlign w:val="center"/>
          </w:tcPr>
          <w:p w14:paraId="0809F7B2">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修理、重作、更换相关具体规定</w:t>
            </w:r>
          </w:p>
        </w:tc>
        <w:tc>
          <w:tcPr>
            <w:tcW w:w="5170" w:type="dxa"/>
            <w:noWrap w:val="0"/>
            <w:vAlign w:val="center"/>
          </w:tcPr>
          <w:p w14:paraId="59731381">
            <w:pPr>
              <w:snapToGrid w:val="0"/>
              <w:rPr>
                <w:rFonts w:hint="eastAsia" w:asciiTheme="minorEastAsia" w:hAnsiTheme="minorEastAsia" w:eastAsiaTheme="minorEastAsia" w:cstheme="minorEastAsia"/>
                <w:color w:val="auto"/>
                <w:sz w:val="22"/>
                <w:szCs w:val="22"/>
                <w:highlight w:val="none"/>
              </w:rPr>
            </w:pPr>
          </w:p>
        </w:tc>
      </w:tr>
      <w:tr w14:paraId="0851E8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9691324">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10D22806">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第15.2（2）项</w:t>
            </w:r>
          </w:p>
        </w:tc>
        <w:tc>
          <w:tcPr>
            <w:tcW w:w="1742" w:type="dxa"/>
            <w:noWrap w:val="0"/>
            <w:vAlign w:val="center"/>
          </w:tcPr>
          <w:p w14:paraId="7EED6CFD">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迟延交货赔偿费</w:t>
            </w:r>
          </w:p>
        </w:tc>
        <w:tc>
          <w:tcPr>
            <w:tcW w:w="5170" w:type="dxa"/>
            <w:noWrap w:val="0"/>
            <w:vAlign w:val="center"/>
          </w:tcPr>
          <w:p w14:paraId="57BB6EAD">
            <w:pPr>
              <w:snapToGrid w:val="0"/>
              <w:rPr>
                <w:rFonts w:hint="eastAsia" w:asciiTheme="minorEastAsia" w:hAnsiTheme="minorEastAsia" w:eastAsiaTheme="minorEastAsia" w:cstheme="minorEastAsia"/>
                <w:color w:val="auto"/>
                <w:sz w:val="22"/>
                <w:szCs w:val="22"/>
                <w:highlight w:val="none"/>
                <w:u w:val="single"/>
              </w:rPr>
            </w:pPr>
          </w:p>
        </w:tc>
      </w:tr>
      <w:tr w14:paraId="225447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E967C93">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1BF7ECE">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第15.3款</w:t>
            </w:r>
          </w:p>
        </w:tc>
        <w:tc>
          <w:tcPr>
            <w:tcW w:w="1742" w:type="dxa"/>
            <w:noWrap w:val="0"/>
            <w:vAlign w:val="center"/>
          </w:tcPr>
          <w:p w14:paraId="62C99BA7">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逾期付款利息</w:t>
            </w:r>
          </w:p>
        </w:tc>
        <w:tc>
          <w:tcPr>
            <w:tcW w:w="5170" w:type="dxa"/>
            <w:noWrap w:val="0"/>
            <w:vAlign w:val="center"/>
          </w:tcPr>
          <w:p w14:paraId="59D37C56">
            <w:pPr>
              <w:snapToGrid w:val="0"/>
              <w:rPr>
                <w:rFonts w:hint="eastAsia" w:asciiTheme="minorEastAsia" w:hAnsiTheme="minorEastAsia" w:eastAsiaTheme="minorEastAsia" w:cstheme="minorEastAsia"/>
                <w:color w:val="auto"/>
                <w:sz w:val="22"/>
                <w:szCs w:val="22"/>
                <w:highlight w:val="none"/>
                <w:u w:val="single"/>
              </w:rPr>
            </w:pPr>
          </w:p>
        </w:tc>
      </w:tr>
      <w:tr w14:paraId="112A24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18572003">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2AB84DCA">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第15.4款</w:t>
            </w:r>
          </w:p>
        </w:tc>
        <w:tc>
          <w:tcPr>
            <w:tcW w:w="1742" w:type="dxa"/>
            <w:tcBorders>
              <w:left w:val="single" w:color="auto" w:sz="2" w:space="0"/>
              <w:bottom w:val="single" w:color="auto" w:sz="2" w:space="0"/>
              <w:right w:val="single" w:color="auto" w:sz="2" w:space="0"/>
            </w:tcBorders>
            <w:noWrap w:val="0"/>
            <w:vAlign w:val="center"/>
          </w:tcPr>
          <w:p w14:paraId="171989A1">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其他违约责任</w:t>
            </w:r>
          </w:p>
        </w:tc>
        <w:tc>
          <w:tcPr>
            <w:tcW w:w="5170" w:type="dxa"/>
            <w:tcBorders>
              <w:left w:val="single" w:color="auto" w:sz="2" w:space="0"/>
              <w:bottom w:val="single" w:color="auto" w:sz="2" w:space="0"/>
            </w:tcBorders>
            <w:noWrap w:val="0"/>
            <w:vAlign w:val="center"/>
          </w:tcPr>
          <w:p w14:paraId="20FF897C">
            <w:pPr>
              <w:snapToGrid w:val="0"/>
              <w:rPr>
                <w:rFonts w:hint="eastAsia" w:asciiTheme="minorEastAsia" w:hAnsiTheme="minorEastAsia" w:eastAsiaTheme="minorEastAsia" w:cstheme="minorEastAsia"/>
                <w:color w:val="auto"/>
                <w:sz w:val="22"/>
                <w:szCs w:val="22"/>
                <w:highlight w:val="none"/>
                <w:u w:val="single"/>
              </w:rPr>
            </w:pPr>
          </w:p>
        </w:tc>
      </w:tr>
      <w:tr w14:paraId="322435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28530DB4">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7CF9FFF4">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第19.2款</w:t>
            </w:r>
          </w:p>
        </w:tc>
        <w:tc>
          <w:tcPr>
            <w:tcW w:w="1742" w:type="dxa"/>
            <w:tcBorders>
              <w:top w:val="single" w:color="auto" w:sz="2" w:space="0"/>
              <w:left w:val="single" w:color="auto" w:sz="2" w:space="0"/>
              <w:right w:val="single" w:color="auto" w:sz="2" w:space="0"/>
            </w:tcBorders>
            <w:noWrap w:val="0"/>
            <w:vAlign w:val="center"/>
          </w:tcPr>
          <w:p w14:paraId="78620108">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解决争议的方法</w:t>
            </w:r>
          </w:p>
        </w:tc>
        <w:tc>
          <w:tcPr>
            <w:tcW w:w="5170" w:type="dxa"/>
            <w:tcBorders>
              <w:top w:val="single" w:color="auto" w:sz="2" w:space="0"/>
              <w:left w:val="single" w:color="auto" w:sz="2" w:space="0"/>
            </w:tcBorders>
            <w:noWrap w:val="0"/>
            <w:vAlign w:val="center"/>
          </w:tcPr>
          <w:p w14:paraId="3A5FBFEA">
            <w:pPr>
              <w:autoSpaceDE w:val="0"/>
              <w:autoSpaceDN w:val="0"/>
              <w:snapToGrid w:val="0"/>
              <w:spacing w:line="400" w:lineRule="exact"/>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iCs/>
                <w:color w:val="auto"/>
                <w:sz w:val="22"/>
                <w:szCs w:val="22"/>
                <w:highlight w:val="none"/>
              </w:rPr>
              <w:t>因本合同及合同有关事项发生的争议，按下列第</w:t>
            </w:r>
            <w:r>
              <w:rPr>
                <w:rFonts w:hint="eastAsia" w:asciiTheme="minorEastAsia" w:hAnsiTheme="minorEastAsia" w:eastAsiaTheme="minorEastAsia" w:cstheme="minorEastAsia"/>
                <w:iCs/>
                <w:color w:val="auto"/>
                <w:sz w:val="22"/>
                <w:szCs w:val="22"/>
                <w:highlight w:val="none"/>
                <w:u w:val="single"/>
              </w:rPr>
              <w:t xml:space="preserve">   </w:t>
            </w:r>
            <w:r>
              <w:rPr>
                <w:rFonts w:hint="eastAsia" w:asciiTheme="minorEastAsia" w:hAnsiTheme="minorEastAsia" w:eastAsiaTheme="minorEastAsia" w:cstheme="minorEastAsia"/>
                <w:iCs/>
                <w:color w:val="auto"/>
                <w:sz w:val="22"/>
                <w:szCs w:val="22"/>
                <w:highlight w:val="none"/>
              </w:rPr>
              <w:t>种方式解决：</w:t>
            </w:r>
          </w:p>
          <w:p w14:paraId="45BAD535">
            <w:pPr>
              <w:autoSpaceDE w:val="0"/>
              <w:autoSpaceDN w:val="0"/>
              <w:snapToGrid w:val="0"/>
              <w:spacing w:line="400" w:lineRule="exact"/>
              <w:rPr>
                <w:rFonts w:hint="eastAsia" w:asciiTheme="minorEastAsia" w:hAnsiTheme="minorEastAsia" w:eastAsiaTheme="minorEastAsia" w:cstheme="minorEastAsia"/>
                <w:iCs/>
                <w:color w:val="auto"/>
                <w:sz w:val="22"/>
                <w:szCs w:val="22"/>
                <w:highlight w:val="none"/>
              </w:rPr>
            </w:pPr>
            <w:r>
              <w:rPr>
                <w:rFonts w:hint="eastAsia" w:asciiTheme="minorEastAsia" w:hAnsiTheme="minorEastAsia" w:eastAsiaTheme="minorEastAsia" w:cstheme="minorEastAsia"/>
                <w:iCs/>
                <w:color w:val="auto"/>
                <w:sz w:val="22"/>
                <w:szCs w:val="22"/>
                <w:highlight w:val="none"/>
              </w:rPr>
              <w:t>（1）向</w:t>
            </w:r>
            <w:r>
              <w:rPr>
                <w:rFonts w:hint="eastAsia" w:asciiTheme="minorEastAsia" w:hAnsiTheme="minorEastAsia" w:eastAsiaTheme="minorEastAsia" w:cstheme="minorEastAsia"/>
                <w:iCs/>
                <w:color w:val="auto"/>
                <w:sz w:val="22"/>
                <w:szCs w:val="22"/>
                <w:highlight w:val="none"/>
                <w:u w:val="single"/>
              </w:rPr>
              <w:t xml:space="preserve">                    </w:t>
            </w:r>
            <w:r>
              <w:rPr>
                <w:rFonts w:hint="eastAsia" w:asciiTheme="minorEastAsia" w:hAnsiTheme="minorEastAsia" w:eastAsiaTheme="minorEastAsia" w:cstheme="minorEastAsia"/>
                <w:iCs/>
                <w:color w:val="auto"/>
                <w:sz w:val="22"/>
                <w:szCs w:val="22"/>
                <w:highlight w:val="none"/>
              </w:rPr>
              <w:t>仲裁委员会申请仲裁，仲裁地点为</w:t>
            </w:r>
            <w:r>
              <w:rPr>
                <w:rFonts w:hint="eastAsia" w:asciiTheme="minorEastAsia" w:hAnsiTheme="minorEastAsia" w:eastAsiaTheme="minorEastAsia" w:cstheme="minorEastAsia"/>
                <w:iCs/>
                <w:color w:val="auto"/>
                <w:sz w:val="22"/>
                <w:szCs w:val="22"/>
                <w:highlight w:val="none"/>
                <w:u w:val="single"/>
              </w:rPr>
              <w:t xml:space="preserve">           </w:t>
            </w:r>
            <w:r>
              <w:rPr>
                <w:rFonts w:hint="eastAsia" w:asciiTheme="minorEastAsia" w:hAnsiTheme="minorEastAsia" w:eastAsiaTheme="minorEastAsia" w:cstheme="minorEastAsia"/>
                <w:iCs/>
                <w:color w:val="auto"/>
                <w:sz w:val="22"/>
                <w:szCs w:val="22"/>
                <w:highlight w:val="none"/>
              </w:rPr>
              <w:t>；</w:t>
            </w:r>
          </w:p>
          <w:p w14:paraId="79029F3E">
            <w:pPr>
              <w:snapToGrid w:val="0"/>
              <w:rPr>
                <w:rFonts w:hint="eastAsia" w:asciiTheme="minorEastAsia" w:hAnsiTheme="minorEastAsia" w:eastAsiaTheme="minorEastAsia" w:cstheme="minorEastAsia"/>
                <w:color w:val="auto"/>
                <w:sz w:val="22"/>
                <w:szCs w:val="22"/>
                <w:highlight w:val="none"/>
                <w:u w:val="single"/>
              </w:rPr>
            </w:pPr>
            <w:r>
              <w:rPr>
                <w:rFonts w:hint="eastAsia" w:asciiTheme="minorEastAsia" w:hAnsiTheme="minorEastAsia" w:eastAsiaTheme="minorEastAsia" w:cstheme="minorEastAsia"/>
                <w:iCs/>
                <w:color w:val="auto"/>
                <w:sz w:val="22"/>
                <w:szCs w:val="22"/>
                <w:highlight w:val="none"/>
              </w:rPr>
              <w:t>（2）向</w:t>
            </w:r>
            <w:r>
              <w:rPr>
                <w:rFonts w:hint="eastAsia" w:asciiTheme="minorEastAsia" w:hAnsiTheme="minorEastAsia" w:eastAsiaTheme="minorEastAsia" w:cstheme="minorEastAsia"/>
                <w:iCs/>
                <w:color w:val="auto"/>
                <w:sz w:val="22"/>
                <w:szCs w:val="22"/>
                <w:highlight w:val="none"/>
                <w:u w:val="single"/>
              </w:rPr>
              <w:t xml:space="preserve">                    </w:t>
            </w:r>
            <w:r>
              <w:rPr>
                <w:rFonts w:hint="eastAsia" w:asciiTheme="minorEastAsia" w:hAnsiTheme="minorEastAsia" w:eastAsiaTheme="minorEastAsia" w:cstheme="minorEastAsia"/>
                <w:iCs/>
                <w:color w:val="auto"/>
                <w:sz w:val="22"/>
                <w:szCs w:val="22"/>
                <w:highlight w:val="none"/>
              </w:rPr>
              <w:t>人民法院起诉。</w:t>
            </w:r>
          </w:p>
        </w:tc>
      </w:tr>
      <w:tr w14:paraId="09EC7B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73A0E853">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第二节</w:t>
            </w:r>
          </w:p>
          <w:p w14:paraId="46AEB1ED">
            <w:pPr>
              <w:snapToGrid w:val="0"/>
              <w:jc w:val="center"/>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color w:val="auto"/>
                <w:sz w:val="22"/>
                <w:szCs w:val="22"/>
                <w:highlight w:val="none"/>
              </w:rPr>
              <w:t>第23.1款</w:t>
            </w:r>
          </w:p>
        </w:tc>
        <w:tc>
          <w:tcPr>
            <w:tcW w:w="1742" w:type="dxa"/>
            <w:noWrap w:val="0"/>
            <w:vAlign w:val="center"/>
          </w:tcPr>
          <w:p w14:paraId="700580C0">
            <w:pPr>
              <w:snapToGrid w:val="0"/>
              <w:rPr>
                <w:rFonts w:hint="eastAsia" w:asciiTheme="minorEastAsia" w:hAnsiTheme="minorEastAsia" w:eastAsiaTheme="minorEastAsia" w:cstheme="minorEastAsia"/>
                <w:color w:val="auto"/>
                <w:sz w:val="22"/>
                <w:szCs w:val="22"/>
                <w:highlight w:val="none"/>
              </w:rPr>
            </w:pPr>
            <w:r>
              <w:rPr>
                <w:rFonts w:hint="eastAsia" w:asciiTheme="minorEastAsia" w:hAnsiTheme="minorEastAsia" w:eastAsiaTheme="minorEastAsia" w:cstheme="minorEastAsia"/>
                <w:bCs/>
                <w:color w:val="auto"/>
                <w:sz w:val="22"/>
                <w:szCs w:val="22"/>
                <w:highlight w:val="none"/>
              </w:rPr>
              <w:t>其他专用条款</w:t>
            </w:r>
          </w:p>
        </w:tc>
        <w:tc>
          <w:tcPr>
            <w:tcW w:w="5170" w:type="dxa"/>
            <w:noWrap w:val="0"/>
            <w:vAlign w:val="center"/>
          </w:tcPr>
          <w:p w14:paraId="7ED3541D">
            <w:pPr>
              <w:tabs>
                <w:tab w:val="left" w:pos="8280"/>
              </w:tabs>
              <w:spacing w:line="360" w:lineRule="auto"/>
              <w:jc w:val="both"/>
              <w:rPr>
                <w:rFonts w:hint="eastAsia" w:asciiTheme="minorEastAsia" w:hAnsiTheme="minorEastAsia" w:eastAsiaTheme="minorEastAsia" w:cstheme="minorEastAsia"/>
                <w:color w:val="auto"/>
                <w:sz w:val="22"/>
                <w:szCs w:val="24"/>
                <w:highlight w:val="none"/>
              </w:rPr>
            </w:pPr>
            <w:r>
              <w:rPr>
                <w:rFonts w:hint="eastAsia" w:asciiTheme="minorEastAsia" w:hAnsiTheme="minorEastAsia" w:eastAsiaTheme="minorEastAsia" w:cstheme="minorEastAsia"/>
                <w:color w:val="auto"/>
                <w:sz w:val="22"/>
                <w:szCs w:val="24"/>
                <w:highlight w:val="none"/>
              </w:rPr>
              <w:t>针对甲方因政策变化、规范调整而不履行合同约定，造成乙方合法利益受损的情形，甲方应当视情况给予一定补偿救济。</w:t>
            </w:r>
          </w:p>
        </w:tc>
      </w:tr>
    </w:tbl>
    <w:p w14:paraId="19DFFF30">
      <w:pPr>
        <w:spacing w:line="360" w:lineRule="auto"/>
        <w:jc w:val="left"/>
        <w:rPr>
          <w:rFonts w:hint="eastAsia" w:asciiTheme="minorEastAsia" w:hAnsiTheme="minorEastAsia" w:eastAsiaTheme="minorEastAsia" w:cstheme="minorEastAsia"/>
          <w:color w:val="auto"/>
          <w:kern w:val="0"/>
          <w:sz w:val="22"/>
          <w:szCs w:val="22"/>
          <w:highlight w:val="none"/>
        </w:rPr>
      </w:pPr>
    </w:p>
    <w:p w14:paraId="3F8884A2">
      <w:pPr>
        <w:spacing w:line="360" w:lineRule="auto"/>
        <w:jc w:val="left"/>
        <w:rPr>
          <w:rFonts w:hint="eastAsia" w:asciiTheme="minorEastAsia" w:hAnsiTheme="minorEastAsia" w:eastAsiaTheme="minorEastAsia" w:cstheme="minorEastAsia"/>
          <w:color w:val="auto"/>
          <w:kern w:val="0"/>
          <w:sz w:val="22"/>
          <w:szCs w:val="22"/>
          <w:highlight w:val="none"/>
        </w:rPr>
      </w:pPr>
    </w:p>
    <w:p w14:paraId="4770C659">
      <w:pPr>
        <w:spacing w:line="360" w:lineRule="auto"/>
        <w:jc w:val="center"/>
        <w:outlineLvl w:val="0"/>
        <w:rPr>
          <w:rFonts w:hint="eastAsia" w:asciiTheme="minorEastAsia" w:hAnsiTheme="minorEastAsia" w:eastAsiaTheme="minorEastAsia" w:cstheme="minorEastAsia"/>
          <w:b/>
          <w:bCs/>
          <w:color w:val="auto"/>
          <w:sz w:val="30"/>
          <w:szCs w:val="32"/>
          <w:highlight w:val="none"/>
          <w:shd w:val="clear" w:color="auto" w:fill="FFFFFF"/>
        </w:rPr>
      </w:pPr>
      <w:bookmarkStart w:id="473" w:name="_Toc176358372"/>
      <w:r>
        <w:rPr>
          <w:rFonts w:hint="eastAsia" w:asciiTheme="minorEastAsia" w:hAnsiTheme="minorEastAsia" w:eastAsiaTheme="minorEastAsia" w:cstheme="minorEastAsia"/>
          <w:b/>
          <w:bCs/>
          <w:color w:val="auto"/>
          <w:sz w:val="32"/>
          <w:szCs w:val="36"/>
          <w:highlight w:val="none"/>
          <w:shd w:val="clear" w:color="auto" w:fill="FFFFFF"/>
        </w:rPr>
        <w:br w:type="page"/>
      </w:r>
      <w:r>
        <w:rPr>
          <w:rFonts w:hint="eastAsia" w:asciiTheme="minorEastAsia" w:hAnsiTheme="minorEastAsia" w:eastAsiaTheme="minorEastAsia" w:cstheme="minorEastAsia"/>
          <w:b/>
          <w:bCs/>
          <w:color w:val="auto"/>
          <w:sz w:val="30"/>
          <w:szCs w:val="32"/>
          <w:highlight w:val="none"/>
          <w:shd w:val="clear" w:color="auto" w:fill="FFFFFF"/>
        </w:rPr>
        <w:t>第六章</w:t>
      </w:r>
      <w:r>
        <w:rPr>
          <w:rFonts w:hint="eastAsia" w:asciiTheme="minorEastAsia" w:hAnsiTheme="minorEastAsia" w:eastAsiaTheme="minorEastAsia" w:cstheme="minorEastAsia"/>
          <w:b/>
          <w:bCs/>
          <w:color w:val="auto"/>
          <w:sz w:val="30"/>
          <w:szCs w:val="32"/>
          <w:highlight w:val="none"/>
          <w:shd w:val="clear" w:color="auto" w:fill="FFFFFF"/>
        </w:rPr>
        <w:tab/>
      </w:r>
      <w:r>
        <w:rPr>
          <w:rFonts w:hint="eastAsia" w:asciiTheme="minorEastAsia" w:hAnsiTheme="minorEastAsia" w:eastAsiaTheme="minorEastAsia" w:cstheme="minorEastAsia"/>
          <w:b/>
          <w:bCs/>
          <w:color w:val="auto"/>
          <w:sz w:val="30"/>
          <w:szCs w:val="32"/>
          <w:highlight w:val="none"/>
          <w:shd w:val="clear" w:color="auto" w:fill="FFFFFF"/>
        </w:rPr>
        <w:t>投标文件格式</w:t>
      </w:r>
      <w:bookmarkEnd w:id="466"/>
      <w:bookmarkEnd w:id="467"/>
      <w:bookmarkEnd w:id="468"/>
      <w:bookmarkEnd w:id="473"/>
    </w:p>
    <w:p w14:paraId="61E580FD">
      <w:pPr>
        <w:spacing w:line="360" w:lineRule="auto"/>
        <w:jc w:val="left"/>
        <w:rPr>
          <w:rFonts w:hint="eastAsia" w:asciiTheme="minorEastAsia" w:hAnsiTheme="minorEastAsia" w:eastAsiaTheme="minorEastAsia" w:cstheme="minorEastAsia"/>
          <w:color w:val="auto"/>
          <w:kern w:val="0"/>
          <w:sz w:val="20"/>
          <w:szCs w:val="20"/>
          <w:highlight w:val="none"/>
          <w:lang w:bidi="ar"/>
        </w:rPr>
      </w:pPr>
    </w:p>
    <w:p w14:paraId="2D38683A">
      <w:pPr>
        <w:spacing w:line="500" w:lineRule="exact"/>
        <w:jc w:val="center"/>
        <w:rPr>
          <w:rFonts w:hint="eastAsia" w:asciiTheme="minorEastAsia" w:hAnsiTheme="minorEastAsia" w:eastAsiaTheme="minorEastAsia" w:cstheme="minorEastAsia"/>
          <w:b/>
          <w:bCs/>
          <w:color w:val="auto"/>
          <w:sz w:val="32"/>
          <w:szCs w:val="32"/>
          <w:highlight w:val="none"/>
          <w:shd w:val="clear" w:color="auto" w:fill="FFFFFF"/>
          <w:lang w:bidi="ar"/>
        </w:rPr>
      </w:pPr>
    </w:p>
    <w:p w14:paraId="1EF5F5E7">
      <w:pPr>
        <w:spacing w:line="500" w:lineRule="exact"/>
        <w:jc w:val="center"/>
        <w:rPr>
          <w:rFonts w:hint="eastAsia" w:asciiTheme="minorEastAsia" w:hAnsiTheme="minorEastAsia" w:eastAsiaTheme="minorEastAsia" w:cstheme="minorEastAsia"/>
          <w:b/>
          <w:bCs/>
          <w:color w:val="auto"/>
          <w:sz w:val="32"/>
          <w:szCs w:val="32"/>
          <w:highlight w:val="none"/>
          <w:shd w:val="clear" w:color="auto" w:fill="FFFFFF"/>
          <w:lang w:bidi="ar"/>
        </w:rPr>
      </w:pPr>
      <w:r>
        <w:rPr>
          <w:rFonts w:hint="eastAsia" w:asciiTheme="minorEastAsia" w:hAnsiTheme="minorEastAsia" w:eastAsiaTheme="minorEastAsia" w:cstheme="minorEastAsia"/>
          <w:b/>
          <w:bCs/>
          <w:color w:val="auto"/>
          <w:sz w:val="32"/>
          <w:szCs w:val="32"/>
          <w:highlight w:val="none"/>
          <w:u w:val="single"/>
          <w:shd w:val="clear" w:color="auto" w:fill="FFFFFF"/>
          <w:lang w:bidi="ar"/>
        </w:rPr>
        <w:t xml:space="preserve">     （项目名称）</w:t>
      </w:r>
    </w:p>
    <w:p w14:paraId="4AF43ED7">
      <w:pPr>
        <w:spacing w:line="480" w:lineRule="auto"/>
        <w:ind w:firstLine="480" w:firstLineChars="200"/>
        <w:rPr>
          <w:rFonts w:hint="eastAsia" w:asciiTheme="minorEastAsia" w:hAnsiTheme="minorEastAsia" w:eastAsiaTheme="minorEastAsia" w:cstheme="minorEastAsia"/>
          <w:color w:val="auto"/>
          <w:sz w:val="24"/>
          <w:szCs w:val="24"/>
          <w:highlight w:val="none"/>
          <w:lang w:bidi="ar"/>
        </w:rPr>
      </w:pPr>
    </w:p>
    <w:p w14:paraId="782F7C14">
      <w:pPr>
        <w:spacing w:line="500" w:lineRule="exact"/>
        <w:jc w:val="center"/>
        <w:rPr>
          <w:rFonts w:hint="eastAsia" w:asciiTheme="minorEastAsia" w:hAnsiTheme="minorEastAsia" w:eastAsiaTheme="minorEastAsia" w:cstheme="minorEastAsia"/>
          <w:b/>
          <w:bCs/>
          <w:color w:val="auto"/>
          <w:sz w:val="48"/>
          <w:szCs w:val="48"/>
          <w:highlight w:val="none"/>
          <w:shd w:val="clear" w:color="auto" w:fill="FFFFFF"/>
          <w:lang w:bidi="ar"/>
        </w:rPr>
      </w:pPr>
    </w:p>
    <w:p w14:paraId="7947C958">
      <w:pPr>
        <w:spacing w:line="500" w:lineRule="exact"/>
        <w:jc w:val="center"/>
        <w:rPr>
          <w:rFonts w:hint="eastAsia" w:asciiTheme="minorEastAsia" w:hAnsiTheme="minorEastAsia" w:eastAsiaTheme="minorEastAsia" w:cstheme="minorEastAsia"/>
          <w:b/>
          <w:bCs/>
          <w:color w:val="auto"/>
          <w:sz w:val="48"/>
          <w:szCs w:val="48"/>
          <w:highlight w:val="none"/>
          <w:shd w:val="clear" w:color="auto" w:fill="FFFFFF"/>
          <w:lang w:bidi="ar"/>
        </w:rPr>
      </w:pPr>
      <w:r>
        <w:rPr>
          <w:rFonts w:hint="eastAsia" w:asciiTheme="minorEastAsia" w:hAnsiTheme="minorEastAsia" w:eastAsiaTheme="minorEastAsia" w:cstheme="minorEastAsia"/>
          <w:b/>
          <w:bCs/>
          <w:color w:val="auto"/>
          <w:sz w:val="48"/>
          <w:szCs w:val="48"/>
          <w:highlight w:val="none"/>
          <w:shd w:val="clear" w:color="auto" w:fill="FFFFFF"/>
          <w:lang w:bidi="ar"/>
        </w:rPr>
        <w:t>投标文件</w:t>
      </w:r>
    </w:p>
    <w:p w14:paraId="56E5B836">
      <w:pPr>
        <w:spacing w:line="500" w:lineRule="exact"/>
        <w:jc w:val="center"/>
        <w:rPr>
          <w:rFonts w:hint="eastAsia" w:asciiTheme="minorEastAsia" w:hAnsiTheme="minorEastAsia" w:eastAsiaTheme="minorEastAsia" w:cstheme="minorEastAsia"/>
          <w:b/>
          <w:bCs/>
          <w:color w:val="auto"/>
          <w:sz w:val="24"/>
          <w:szCs w:val="28"/>
          <w:highlight w:val="none"/>
          <w:shd w:val="clear" w:color="auto" w:fill="FFFFFF"/>
          <w:lang w:bidi="ar"/>
        </w:rPr>
      </w:pPr>
    </w:p>
    <w:p w14:paraId="465501BB">
      <w:pPr>
        <w:spacing w:line="500" w:lineRule="exact"/>
        <w:jc w:val="center"/>
        <w:rPr>
          <w:rFonts w:hint="eastAsia" w:asciiTheme="minorEastAsia" w:hAnsiTheme="minorEastAsia" w:eastAsiaTheme="minorEastAsia" w:cstheme="minorEastAsia"/>
          <w:b/>
          <w:bCs/>
          <w:color w:val="auto"/>
          <w:sz w:val="24"/>
          <w:szCs w:val="28"/>
          <w:highlight w:val="none"/>
          <w:shd w:val="clear" w:color="auto" w:fill="FFFFFF"/>
          <w:lang w:bidi="ar"/>
        </w:rPr>
      </w:pPr>
      <w:r>
        <w:rPr>
          <w:rFonts w:hint="eastAsia" w:asciiTheme="minorEastAsia" w:hAnsiTheme="minorEastAsia" w:eastAsiaTheme="minorEastAsia" w:cstheme="minorEastAsia"/>
          <w:b/>
          <w:bCs/>
          <w:color w:val="auto"/>
          <w:sz w:val="24"/>
          <w:szCs w:val="28"/>
          <w:highlight w:val="none"/>
          <w:shd w:val="clear" w:color="auto" w:fill="FFFFFF"/>
          <w:lang w:bidi="ar"/>
        </w:rPr>
        <w:t>项目编号：</w:t>
      </w:r>
    </w:p>
    <w:p w14:paraId="4EBD16A1">
      <w:pPr>
        <w:spacing w:line="500" w:lineRule="exact"/>
        <w:jc w:val="center"/>
        <w:rPr>
          <w:rFonts w:hint="eastAsia" w:asciiTheme="minorEastAsia" w:hAnsiTheme="minorEastAsia" w:eastAsiaTheme="minorEastAsia" w:cstheme="minorEastAsia"/>
          <w:b/>
          <w:bCs/>
          <w:color w:val="auto"/>
          <w:sz w:val="24"/>
          <w:szCs w:val="28"/>
          <w:highlight w:val="none"/>
          <w:shd w:val="clear" w:color="auto" w:fill="FFFFFF"/>
          <w:lang w:val="en-US" w:eastAsia="zh-CN" w:bidi="ar"/>
        </w:rPr>
      </w:pPr>
      <w:r>
        <w:rPr>
          <w:rFonts w:hint="eastAsia" w:asciiTheme="minorEastAsia" w:hAnsiTheme="minorEastAsia" w:eastAsiaTheme="minorEastAsia" w:cstheme="minorEastAsia"/>
          <w:b/>
          <w:bCs/>
          <w:color w:val="auto"/>
          <w:sz w:val="24"/>
          <w:szCs w:val="28"/>
          <w:highlight w:val="none"/>
          <w:shd w:val="clear" w:color="auto" w:fill="FFFFFF"/>
          <w:lang w:val="en-US" w:eastAsia="zh-CN" w:bidi="ar"/>
        </w:rPr>
        <w:t>包号：</w:t>
      </w:r>
    </w:p>
    <w:p w14:paraId="75377445">
      <w:pPr>
        <w:spacing w:line="500" w:lineRule="exact"/>
        <w:rPr>
          <w:rFonts w:hint="eastAsia" w:asciiTheme="minorEastAsia" w:hAnsiTheme="minorEastAsia" w:eastAsiaTheme="minorEastAsia" w:cstheme="minorEastAsia"/>
          <w:b/>
          <w:bCs/>
          <w:color w:val="auto"/>
          <w:sz w:val="32"/>
          <w:szCs w:val="32"/>
          <w:highlight w:val="none"/>
          <w:shd w:val="clear" w:color="auto" w:fill="FFFFFF"/>
          <w:lang w:bidi="ar"/>
        </w:rPr>
      </w:pPr>
    </w:p>
    <w:p w14:paraId="322D3A74">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1305B920">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093D8CEF">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2B17712A">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4FFC6283">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187D088A">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5FD65FD7">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69A60ECC">
      <w:pPr>
        <w:spacing w:line="360" w:lineRule="auto"/>
        <w:ind w:firstLine="607" w:firstLineChars="252"/>
        <w:rPr>
          <w:rFonts w:hint="eastAsia" w:asciiTheme="minorEastAsia" w:hAnsiTheme="minorEastAsia" w:eastAsiaTheme="minorEastAsia" w:cstheme="minorEastAsia"/>
          <w:b/>
          <w:bCs/>
          <w:color w:val="auto"/>
          <w:sz w:val="24"/>
          <w:szCs w:val="28"/>
          <w:highlight w:val="none"/>
          <w:shd w:val="clear" w:color="auto" w:fill="FFFFFF"/>
          <w:lang w:bidi="ar"/>
        </w:rPr>
      </w:pPr>
      <w:r>
        <w:rPr>
          <w:rFonts w:hint="eastAsia" w:asciiTheme="minorEastAsia" w:hAnsiTheme="minorEastAsia" w:eastAsiaTheme="minorEastAsia" w:cstheme="minorEastAsia"/>
          <w:b/>
          <w:bCs/>
          <w:color w:val="auto"/>
          <w:sz w:val="24"/>
          <w:szCs w:val="28"/>
          <w:highlight w:val="none"/>
          <w:shd w:val="clear" w:color="auto" w:fill="FFFFFF"/>
          <w:lang w:bidi="ar"/>
        </w:rPr>
        <w:t xml:space="preserve">供应商名称： </w:t>
      </w:r>
      <w:r>
        <w:rPr>
          <w:rFonts w:hint="eastAsia" w:asciiTheme="minorEastAsia" w:hAnsiTheme="minorEastAsia" w:eastAsiaTheme="minorEastAsia" w:cstheme="minorEastAsia"/>
          <w:b/>
          <w:bCs/>
          <w:color w:val="auto"/>
          <w:sz w:val="24"/>
          <w:szCs w:val="28"/>
          <w:highlight w:val="none"/>
          <w:u w:val="single"/>
          <w:shd w:val="clear" w:color="auto" w:fill="FFFFFF"/>
          <w:lang w:bidi="ar"/>
        </w:rPr>
        <w:t xml:space="preserve">                     </w:t>
      </w:r>
      <w:r>
        <w:rPr>
          <w:rFonts w:hint="eastAsia" w:asciiTheme="minorEastAsia" w:hAnsiTheme="minorEastAsia" w:eastAsiaTheme="minorEastAsia" w:cstheme="minorEastAsia"/>
          <w:b/>
          <w:bCs/>
          <w:color w:val="auto"/>
          <w:sz w:val="24"/>
          <w:szCs w:val="28"/>
          <w:highlight w:val="none"/>
          <w:shd w:val="clear" w:color="auto" w:fill="FFFFFF"/>
          <w:lang w:bidi="ar"/>
        </w:rPr>
        <w:t>（盖单位公章）</w:t>
      </w:r>
    </w:p>
    <w:p w14:paraId="37662ED2">
      <w:pPr>
        <w:spacing w:line="360" w:lineRule="auto"/>
        <w:ind w:firstLine="607" w:firstLineChars="252"/>
        <w:rPr>
          <w:rFonts w:hint="eastAsia" w:asciiTheme="minorEastAsia" w:hAnsiTheme="minorEastAsia" w:eastAsiaTheme="minorEastAsia" w:cstheme="minorEastAsia"/>
          <w:b/>
          <w:bCs/>
          <w:color w:val="auto"/>
          <w:sz w:val="24"/>
          <w:szCs w:val="28"/>
          <w:highlight w:val="none"/>
          <w:shd w:val="clear" w:color="auto" w:fill="FFFFFF"/>
          <w:lang w:bidi="ar"/>
        </w:rPr>
      </w:pPr>
      <w:r>
        <w:rPr>
          <w:rFonts w:hint="eastAsia" w:asciiTheme="minorEastAsia" w:hAnsiTheme="minorEastAsia" w:eastAsiaTheme="minorEastAsia" w:cstheme="minorEastAsia"/>
          <w:b/>
          <w:bCs/>
          <w:color w:val="auto"/>
          <w:sz w:val="24"/>
          <w:szCs w:val="28"/>
          <w:highlight w:val="none"/>
          <w:shd w:val="clear" w:color="auto" w:fill="FFFFFF"/>
          <w:lang w:bidi="ar"/>
        </w:rPr>
        <w:t xml:space="preserve">法定代表人或其委托代理人： </w:t>
      </w:r>
      <w:r>
        <w:rPr>
          <w:rFonts w:hint="eastAsia" w:asciiTheme="minorEastAsia" w:hAnsiTheme="minorEastAsia" w:eastAsiaTheme="minorEastAsia" w:cstheme="minorEastAsia"/>
          <w:b/>
          <w:bCs/>
          <w:color w:val="auto"/>
          <w:sz w:val="24"/>
          <w:szCs w:val="28"/>
          <w:highlight w:val="none"/>
          <w:u w:val="single"/>
          <w:shd w:val="clear" w:color="auto" w:fill="FFFFFF"/>
          <w:lang w:bidi="ar"/>
        </w:rPr>
        <w:t xml:space="preserve">                 </w:t>
      </w:r>
      <w:r>
        <w:rPr>
          <w:rFonts w:hint="eastAsia" w:asciiTheme="minorEastAsia" w:hAnsiTheme="minorEastAsia" w:eastAsiaTheme="minorEastAsia" w:cstheme="minorEastAsia"/>
          <w:b/>
          <w:bCs/>
          <w:color w:val="auto"/>
          <w:sz w:val="24"/>
          <w:szCs w:val="28"/>
          <w:highlight w:val="none"/>
          <w:shd w:val="clear" w:color="auto" w:fill="FFFFFF"/>
          <w:lang w:bidi="ar"/>
        </w:rPr>
        <w:t>（电子签章）</w:t>
      </w:r>
    </w:p>
    <w:p w14:paraId="0940A50D">
      <w:pPr>
        <w:spacing w:line="360" w:lineRule="auto"/>
        <w:ind w:firstLine="607" w:firstLineChars="252"/>
        <w:rPr>
          <w:rFonts w:hint="eastAsia" w:asciiTheme="minorEastAsia" w:hAnsiTheme="minorEastAsia" w:eastAsiaTheme="minorEastAsia" w:cstheme="minorEastAsia"/>
          <w:color w:val="auto"/>
          <w:sz w:val="24"/>
          <w:szCs w:val="28"/>
          <w:highlight w:val="none"/>
          <w:shd w:val="clear" w:color="auto" w:fill="FFFFFF"/>
          <w:lang w:bidi="ar"/>
        </w:rPr>
      </w:pPr>
      <w:r>
        <w:rPr>
          <w:rFonts w:hint="eastAsia" w:asciiTheme="minorEastAsia" w:hAnsiTheme="minorEastAsia" w:eastAsiaTheme="minorEastAsia" w:cstheme="minorEastAsia"/>
          <w:b/>
          <w:bCs/>
          <w:color w:val="auto"/>
          <w:sz w:val="24"/>
          <w:szCs w:val="28"/>
          <w:highlight w:val="none"/>
          <w:shd w:val="clear" w:color="auto" w:fill="FFFFFF"/>
          <w:lang w:bidi="ar"/>
        </w:rPr>
        <w:t>日</w:t>
      </w:r>
      <w:r>
        <w:rPr>
          <w:rFonts w:hint="eastAsia" w:asciiTheme="minorEastAsia" w:hAnsiTheme="minorEastAsia" w:eastAsiaTheme="minorEastAsia" w:cstheme="minorEastAsia"/>
          <w:b/>
          <w:bCs/>
          <w:color w:val="auto"/>
          <w:sz w:val="24"/>
          <w:szCs w:val="28"/>
          <w:highlight w:val="none"/>
          <w:shd w:val="clear" w:color="auto" w:fill="FFFFFF"/>
          <w:lang w:bidi="ar"/>
        </w:rPr>
        <w:tab/>
      </w:r>
      <w:r>
        <w:rPr>
          <w:rFonts w:hint="eastAsia" w:asciiTheme="minorEastAsia" w:hAnsiTheme="minorEastAsia" w:eastAsiaTheme="minorEastAsia" w:cstheme="minorEastAsia"/>
          <w:b/>
          <w:bCs/>
          <w:color w:val="auto"/>
          <w:sz w:val="24"/>
          <w:szCs w:val="28"/>
          <w:highlight w:val="none"/>
          <w:shd w:val="clear" w:color="auto" w:fill="FFFFFF"/>
          <w:lang w:bidi="ar"/>
        </w:rPr>
        <w:t xml:space="preserve">    期：</w:t>
      </w:r>
      <w:r>
        <w:rPr>
          <w:rFonts w:hint="eastAsia" w:asciiTheme="minorEastAsia" w:hAnsiTheme="minorEastAsia" w:eastAsiaTheme="minorEastAsia" w:cstheme="minorEastAsia"/>
          <w:b/>
          <w:bCs/>
          <w:color w:val="auto"/>
          <w:sz w:val="24"/>
          <w:szCs w:val="28"/>
          <w:highlight w:val="none"/>
          <w:u w:val="single"/>
          <w:shd w:val="clear" w:color="auto" w:fill="FFFFFF"/>
          <w:lang w:bidi="ar"/>
        </w:rPr>
        <w:t xml:space="preserve">            </w:t>
      </w:r>
      <w:r>
        <w:rPr>
          <w:rFonts w:hint="eastAsia" w:asciiTheme="minorEastAsia" w:hAnsiTheme="minorEastAsia" w:eastAsiaTheme="minorEastAsia" w:cstheme="minorEastAsia"/>
          <w:b/>
          <w:bCs/>
          <w:color w:val="auto"/>
          <w:sz w:val="24"/>
          <w:szCs w:val="28"/>
          <w:highlight w:val="none"/>
          <w:shd w:val="clear" w:color="auto" w:fill="FFFFFF"/>
          <w:lang w:bidi="ar"/>
        </w:rPr>
        <w:t>年</w:t>
      </w:r>
      <w:r>
        <w:rPr>
          <w:rFonts w:hint="eastAsia" w:asciiTheme="minorEastAsia" w:hAnsiTheme="minorEastAsia" w:eastAsiaTheme="minorEastAsia" w:cstheme="minorEastAsia"/>
          <w:b/>
          <w:bCs/>
          <w:color w:val="auto"/>
          <w:sz w:val="24"/>
          <w:szCs w:val="28"/>
          <w:highlight w:val="none"/>
          <w:u w:val="single"/>
          <w:shd w:val="clear" w:color="auto" w:fill="FFFFFF"/>
          <w:lang w:bidi="ar"/>
        </w:rPr>
        <w:t xml:space="preserve">       </w:t>
      </w:r>
      <w:r>
        <w:rPr>
          <w:rFonts w:hint="eastAsia" w:asciiTheme="minorEastAsia" w:hAnsiTheme="minorEastAsia" w:eastAsiaTheme="minorEastAsia" w:cstheme="minorEastAsia"/>
          <w:b/>
          <w:bCs/>
          <w:color w:val="auto"/>
          <w:sz w:val="24"/>
          <w:szCs w:val="28"/>
          <w:highlight w:val="none"/>
          <w:shd w:val="clear" w:color="auto" w:fill="FFFFFF"/>
          <w:lang w:bidi="ar"/>
        </w:rPr>
        <w:t>月</w:t>
      </w:r>
      <w:r>
        <w:rPr>
          <w:rFonts w:hint="eastAsia" w:asciiTheme="minorEastAsia" w:hAnsiTheme="minorEastAsia" w:eastAsiaTheme="minorEastAsia" w:cstheme="minorEastAsia"/>
          <w:b/>
          <w:bCs/>
          <w:color w:val="auto"/>
          <w:sz w:val="24"/>
          <w:szCs w:val="28"/>
          <w:highlight w:val="none"/>
          <w:u w:val="single"/>
          <w:shd w:val="clear" w:color="auto" w:fill="FFFFFF"/>
          <w:lang w:bidi="ar"/>
        </w:rPr>
        <w:t xml:space="preserve">      </w:t>
      </w:r>
      <w:r>
        <w:rPr>
          <w:rFonts w:hint="eastAsia" w:asciiTheme="minorEastAsia" w:hAnsiTheme="minorEastAsia" w:eastAsiaTheme="minorEastAsia" w:cstheme="minorEastAsia"/>
          <w:b/>
          <w:bCs/>
          <w:color w:val="auto"/>
          <w:sz w:val="24"/>
          <w:szCs w:val="28"/>
          <w:highlight w:val="none"/>
          <w:shd w:val="clear" w:color="auto" w:fill="FFFFFF"/>
          <w:lang w:bidi="ar"/>
        </w:rPr>
        <w:t>日</w:t>
      </w:r>
    </w:p>
    <w:p w14:paraId="4F4DF6DD">
      <w:pPr>
        <w:spacing w:line="360" w:lineRule="auto"/>
        <w:jc w:val="center"/>
        <w:rPr>
          <w:rFonts w:hint="eastAsia" w:asciiTheme="minorEastAsia" w:hAnsiTheme="minorEastAsia" w:eastAsiaTheme="minorEastAsia" w:cstheme="minorEastAsia"/>
          <w:b/>
          <w:bCs/>
          <w:color w:val="auto"/>
          <w:sz w:val="36"/>
          <w:szCs w:val="36"/>
          <w:highlight w:val="none"/>
        </w:rPr>
      </w:pPr>
      <w:bookmarkStart w:id="474" w:name="_Toc176358373"/>
      <w:r>
        <w:rPr>
          <w:rFonts w:hint="eastAsia" w:asciiTheme="minorEastAsia" w:hAnsiTheme="minorEastAsia" w:eastAsiaTheme="minorEastAsia" w:cstheme="minorEastAsia"/>
          <w:b/>
          <w:bCs/>
          <w:color w:val="auto"/>
          <w:sz w:val="24"/>
          <w:szCs w:val="32"/>
          <w:highlight w:val="none"/>
          <w:lang w:val="zh-CN" w:bidi="zh-CN"/>
        </w:rPr>
        <w:br w:type="page"/>
      </w:r>
      <w:r>
        <w:rPr>
          <w:rFonts w:hint="eastAsia" w:asciiTheme="minorEastAsia" w:hAnsiTheme="minorEastAsia" w:eastAsiaTheme="minorEastAsia" w:cstheme="minorEastAsia"/>
          <w:b/>
          <w:bCs/>
          <w:color w:val="auto"/>
          <w:sz w:val="36"/>
          <w:szCs w:val="36"/>
          <w:highlight w:val="none"/>
        </w:rPr>
        <w:t>目  录</w:t>
      </w:r>
    </w:p>
    <w:p w14:paraId="0522AF4A">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bidi="zh-CN"/>
        </w:rPr>
      </w:pPr>
      <w:r>
        <w:rPr>
          <w:rFonts w:hint="eastAsia" w:asciiTheme="minorEastAsia" w:hAnsiTheme="minorEastAsia" w:eastAsiaTheme="minorEastAsia" w:cstheme="minorEastAsia"/>
          <w:b/>
          <w:bCs/>
          <w:color w:val="auto"/>
          <w:sz w:val="24"/>
          <w:szCs w:val="32"/>
          <w:highlight w:val="none"/>
          <w:lang w:bidi="zh-CN"/>
        </w:rPr>
        <w:t>格式自拟</w:t>
      </w:r>
    </w:p>
    <w:p w14:paraId="02E83016">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r>
        <w:rPr>
          <w:rFonts w:hint="eastAsia" w:asciiTheme="minorEastAsia" w:hAnsiTheme="minorEastAsia" w:eastAsiaTheme="minorEastAsia" w:cstheme="minorEastAsia"/>
          <w:b/>
          <w:bCs/>
          <w:color w:val="auto"/>
          <w:sz w:val="24"/>
          <w:szCs w:val="32"/>
          <w:highlight w:val="none"/>
          <w:lang w:val="zh-CN" w:bidi="zh-CN"/>
        </w:rPr>
        <w:br w:type="page"/>
      </w:r>
      <w:r>
        <w:rPr>
          <w:rFonts w:hint="eastAsia" w:asciiTheme="minorEastAsia" w:hAnsiTheme="minorEastAsia" w:eastAsiaTheme="minorEastAsia" w:cstheme="minorEastAsia"/>
          <w:b/>
          <w:bCs/>
          <w:color w:val="auto"/>
          <w:sz w:val="24"/>
          <w:szCs w:val="32"/>
          <w:highlight w:val="none"/>
          <w:lang w:val="zh-CN" w:bidi="zh-CN"/>
        </w:rPr>
        <w:t>一、投标函</w:t>
      </w:r>
      <w:bookmarkEnd w:id="474"/>
    </w:p>
    <w:p w14:paraId="2A027015">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致</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u w:val="single"/>
          <w:shd w:val="clear" w:color="auto" w:fill="FFFFFF"/>
          <w:lang w:bidi="ar"/>
        </w:rPr>
        <w:tab/>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（采购人）    </w:t>
      </w:r>
      <w:r>
        <w:rPr>
          <w:rFonts w:hint="eastAsia" w:asciiTheme="minorEastAsia" w:hAnsiTheme="minorEastAsia" w:eastAsiaTheme="minorEastAsia" w:cstheme="minorEastAsia"/>
          <w:color w:val="auto"/>
          <w:sz w:val="24"/>
          <w:szCs w:val="24"/>
          <w:highlight w:val="none"/>
          <w:u w:val="single"/>
          <w:shd w:val="clear" w:color="auto" w:fill="FFFFFF"/>
          <w:lang w:bidi="ar"/>
        </w:rPr>
        <w:tab/>
      </w:r>
      <w:r>
        <w:rPr>
          <w:rFonts w:hint="eastAsia" w:asciiTheme="minorEastAsia" w:hAnsiTheme="minorEastAsia" w:eastAsiaTheme="minorEastAsia" w:cstheme="minorEastAsia"/>
          <w:color w:val="auto"/>
          <w:sz w:val="24"/>
          <w:szCs w:val="24"/>
          <w:highlight w:val="none"/>
          <w:shd w:val="clear" w:color="auto" w:fill="FFFFFF"/>
          <w:lang w:bidi="ar"/>
        </w:rPr>
        <w:t>：</w:t>
      </w:r>
    </w:p>
    <w:p w14:paraId="0170E7AF">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根据已收到贵方的</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u w:val="single"/>
          <w:shd w:val="clear" w:color="auto" w:fill="FFFFFF"/>
          <w:lang w:bidi="ar"/>
        </w:rPr>
        <w:tab/>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（项目名称）</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（项目编号</w:t>
      </w:r>
      <w:r>
        <w:rPr>
          <w:rFonts w:hint="eastAsia" w:asciiTheme="minorEastAsia" w:hAnsiTheme="minorEastAsia" w:eastAsiaTheme="minorEastAsia" w:cstheme="minorEastAsia"/>
          <w:color w:val="auto"/>
          <w:sz w:val="24"/>
          <w:szCs w:val="24"/>
          <w:highlight w:val="none"/>
          <w:shd w:val="clear" w:color="auto" w:fill="FFFFFF"/>
          <w:lang w:eastAsia="zh-CN" w:bidi="ar"/>
        </w:rPr>
        <w:t>、</w:t>
      </w:r>
      <w:r>
        <w:rPr>
          <w:rFonts w:hint="eastAsia" w:asciiTheme="minorEastAsia" w:hAnsiTheme="minorEastAsia" w:eastAsiaTheme="minorEastAsia" w:cstheme="minorEastAsia"/>
          <w:color w:val="auto"/>
          <w:sz w:val="24"/>
          <w:szCs w:val="24"/>
          <w:highlight w:val="none"/>
          <w:shd w:val="clear" w:color="auto" w:fill="FFFFFF"/>
          <w:lang w:val="en-US" w:eastAsia="zh-CN" w:bidi="ar"/>
        </w:rPr>
        <w:t>包号</w:t>
      </w:r>
      <w:r>
        <w:rPr>
          <w:rFonts w:hint="eastAsia" w:asciiTheme="minorEastAsia" w:hAnsiTheme="minorEastAsia" w:eastAsiaTheme="minorEastAsia" w:cstheme="minorEastAsia"/>
          <w:color w:val="auto"/>
          <w:sz w:val="24"/>
          <w:szCs w:val="24"/>
          <w:highlight w:val="none"/>
          <w:shd w:val="clear" w:color="auto" w:fill="FFFFFF"/>
          <w:lang w:bidi="ar"/>
        </w:rPr>
        <w:t>）的招标文件，遵照法律、法规等有关规定，我单位经研究上述招标文件的投标须知、合同条款、技术参数及其它有关文件后，我方愿以人民币（大写）：</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（小写：</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）的投标报价；合同履行期限（交货期）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,质量要求</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w:t>
      </w:r>
      <w:r>
        <w:rPr>
          <w:rFonts w:hint="eastAsia" w:asciiTheme="minorEastAsia" w:hAnsiTheme="minorEastAsia" w:eastAsiaTheme="minorEastAsia" w:cstheme="minorEastAsia"/>
          <w:color w:val="auto"/>
          <w:sz w:val="24"/>
          <w:szCs w:val="24"/>
          <w:highlight w:val="none"/>
          <w:shd w:val="clear" w:color="auto" w:fill="FFFFFF"/>
          <w:lang w:eastAsia="zh-CN" w:bidi="ar"/>
        </w:rPr>
        <w:t>质保期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,承包上述项目的采购及安装、调试、验收、培训、</w:t>
      </w:r>
      <w:r>
        <w:rPr>
          <w:rFonts w:hint="eastAsia" w:asciiTheme="minorEastAsia" w:hAnsiTheme="minorEastAsia" w:eastAsiaTheme="minorEastAsia" w:cstheme="minorEastAsia"/>
          <w:color w:val="auto"/>
          <w:sz w:val="24"/>
          <w:szCs w:val="24"/>
          <w:highlight w:val="none"/>
          <w:shd w:val="clear" w:color="auto" w:fill="FFFFFF"/>
          <w:lang w:eastAsia="zh-CN" w:bidi="ar"/>
        </w:rPr>
        <w:t>质保期</w:t>
      </w:r>
      <w:r>
        <w:rPr>
          <w:rFonts w:hint="eastAsia" w:asciiTheme="minorEastAsia" w:hAnsiTheme="minorEastAsia" w:eastAsiaTheme="minorEastAsia" w:cstheme="minorEastAsia"/>
          <w:color w:val="auto"/>
          <w:sz w:val="24"/>
          <w:szCs w:val="24"/>
          <w:highlight w:val="none"/>
          <w:shd w:val="clear" w:color="auto" w:fill="FFFFFF"/>
          <w:lang w:bidi="ar"/>
        </w:rPr>
        <w:t>服务、与货物有关的运输和保险及其他伴随服务。</w:t>
      </w:r>
    </w:p>
    <w:p w14:paraId="32C26E86">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1.我方已详细审核全部招标文件，包括修改文件（如有）及有关附件，已充分理解并掌握了本招标项目的全部有关情况，认为招标文件符合法律、法规的要求，充分体现了公开、公平、公正和诚实信用原则，我方对招标文件没有任何异议。同意接受招标文件的全部内容和条件。</w:t>
      </w:r>
    </w:p>
    <w:p w14:paraId="398FF126">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2.我方承认投标函附表是我方投标函的组成部分。</w:t>
      </w:r>
    </w:p>
    <w:p w14:paraId="1271A89B">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3.如我方中标，我方承诺在收到中标通知书后，在中标通知书规定的期限内，根据招标文件、我方的投标文件及有关澄清承诺书的要求，与采购人订立书面合同，并按照合同约定承担完成合同的责任和义务。</w:t>
      </w:r>
    </w:p>
    <w:p w14:paraId="3BC7050F">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4.我方同意自本项目招标文件中规定的投标有效期内有效，并承诺在投标有效期内不修改、撤销投标文件。</w:t>
      </w:r>
    </w:p>
    <w:p w14:paraId="1185D397">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5.我方完全理解贵方不一定接受投标报价最低的供应商为中标供应商的行为。</w:t>
      </w:r>
    </w:p>
    <w:p w14:paraId="26CAB4CA">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6.我方愿按招标文件“供应商须知”第5条规定向招标代理机构足额交纳招标代理服务费。</w:t>
      </w:r>
    </w:p>
    <w:p w14:paraId="7B64C27C">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7.我方在此声明，所递交的投标文件及有关资料内容完整、真实和准确。</w:t>
      </w:r>
    </w:p>
    <w:p w14:paraId="1E30EEC4">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8.我方具备《政府采购法》第二十二条规定的条件；承诺如下：</w:t>
      </w:r>
    </w:p>
    <w:p w14:paraId="0A80C120">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8.1. 供应商应具有合法有效的营业执照（可使用电子营业执照）。</w:t>
      </w:r>
    </w:p>
    <w:p w14:paraId="4F61CCFF">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8.2. 我方已依法缴纳了各项税费及社会保险费用，如有需要，可随时向采购人提供近三个月内的相关缴费证明，以便核查。</w:t>
      </w:r>
    </w:p>
    <w:p w14:paraId="1B8F3BC3">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8.3. 我方已依法建立健全的财务会计制度，如有需要，可随时向采购人提供相关证明材料，以便核查。</w:t>
      </w:r>
    </w:p>
    <w:p w14:paraId="08AABBC3">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8.4. 参加政府采购活动前三年内，在经营活动中没有重大违法记录。</w:t>
      </w:r>
    </w:p>
    <w:p w14:paraId="16E0A0A4">
      <w:pPr>
        <w:spacing w:line="360" w:lineRule="auto"/>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8.5. 符合法律、行政法规规定的其他条件。</w:t>
      </w:r>
    </w:p>
    <w:p w14:paraId="35AF69DD">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5A8314BD">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0AC68E88">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地址：</w:t>
      </w:r>
    </w:p>
    <w:p w14:paraId="023E8015">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 xml:space="preserve">开户银行：                        </w:t>
      </w:r>
    </w:p>
    <w:p w14:paraId="7DAB6A62">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 xml:space="preserve">开户名称：                        </w:t>
      </w:r>
    </w:p>
    <w:p w14:paraId="0BF345DA">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 xml:space="preserve">开户账号：                        </w:t>
      </w:r>
    </w:p>
    <w:p w14:paraId="403A3743">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邮编：</w:t>
      </w:r>
    </w:p>
    <w:p w14:paraId="509307F6">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电话：</w:t>
      </w:r>
    </w:p>
    <w:p w14:paraId="616E9C7E">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7363DE5E">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bookmarkStart w:id="475" w:name="_Toc151210167"/>
      <w:bookmarkStart w:id="476" w:name="_Toc176358375"/>
      <w:r>
        <w:rPr>
          <w:rFonts w:hint="eastAsia" w:asciiTheme="minorEastAsia" w:hAnsiTheme="minorEastAsia" w:eastAsiaTheme="minorEastAsia" w:cstheme="minorEastAsia"/>
          <w:color w:val="auto"/>
          <w:sz w:val="24"/>
          <w:szCs w:val="24"/>
          <w:highlight w:val="none"/>
          <w:shd w:val="clear" w:color="auto" w:fill="FFFFFF"/>
          <w:lang w:val="zh-CN" w:bidi="ar"/>
        </w:rPr>
        <w:br w:type="page"/>
      </w:r>
      <w:r>
        <w:rPr>
          <w:rFonts w:hint="eastAsia" w:asciiTheme="minorEastAsia" w:hAnsiTheme="minorEastAsia" w:eastAsiaTheme="minorEastAsia" w:cstheme="minorEastAsia"/>
          <w:b/>
          <w:bCs/>
          <w:color w:val="auto"/>
          <w:sz w:val="24"/>
          <w:szCs w:val="30"/>
          <w:highlight w:val="none"/>
          <w:lang w:bidi="zh-CN"/>
        </w:rPr>
        <w:t>二、</w:t>
      </w:r>
      <w:r>
        <w:rPr>
          <w:rFonts w:hint="eastAsia" w:asciiTheme="minorEastAsia" w:hAnsiTheme="minorEastAsia" w:eastAsiaTheme="minorEastAsia" w:cstheme="minorEastAsia"/>
          <w:b/>
          <w:bCs/>
          <w:color w:val="auto"/>
          <w:sz w:val="24"/>
          <w:szCs w:val="30"/>
          <w:highlight w:val="none"/>
          <w:lang w:val="zh-CN" w:bidi="zh-CN"/>
        </w:rPr>
        <w:t>投标函附录</w:t>
      </w:r>
      <w:bookmarkEnd w:id="475"/>
      <w:bookmarkEnd w:id="476"/>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2"/>
        <w:gridCol w:w="6604"/>
      </w:tblGrid>
      <w:tr w14:paraId="4EB7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jc w:val="center"/>
        </w:trPr>
        <w:tc>
          <w:tcPr>
            <w:tcW w:w="2012" w:type="dxa"/>
            <w:vAlign w:val="center"/>
          </w:tcPr>
          <w:p w14:paraId="430E53E6">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项目名称</w:t>
            </w:r>
          </w:p>
        </w:tc>
        <w:tc>
          <w:tcPr>
            <w:tcW w:w="6604" w:type="dxa"/>
            <w:vAlign w:val="center"/>
          </w:tcPr>
          <w:p w14:paraId="5CB08936">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p>
        </w:tc>
      </w:tr>
      <w:tr w14:paraId="583E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2012" w:type="dxa"/>
            <w:vAlign w:val="center"/>
          </w:tcPr>
          <w:p w14:paraId="0D676312">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项目负责人及联系方式（手机）</w:t>
            </w:r>
          </w:p>
        </w:tc>
        <w:tc>
          <w:tcPr>
            <w:tcW w:w="6604" w:type="dxa"/>
            <w:vAlign w:val="center"/>
          </w:tcPr>
          <w:p w14:paraId="430C8185">
            <w:pPr>
              <w:spacing w:line="500" w:lineRule="exact"/>
              <w:ind w:firstLine="480" w:firstLineChars="200"/>
              <w:jc w:val="center"/>
              <w:rPr>
                <w:rFonts w:hint="eastAsia" w:asciiTheme="minorEastAsia" w:hAnsiTheme="minorEastAsia" w:eastAsiaTheme="minorEastAsia" w:cstheme="minorEastAsia"/>
                <w:color w:val="auto"/>
                <w:sz w:val="24"/>
                <w:szCs w:val="24"/>
                <w:highlight w:val="none"/>
                <w:shd w:val="clear" w:color="auto" w:fill="FFFFFF"/>
                <w:lang w:bidi="ar"/>
              </w:rPr>
            </w:pPr>
          </w:p>
        </w:tc>
      </w:tr>
      <w:tr w14:paraId="312FB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012" w:type="dxa"/>
            <w:vAlign w:val="center"/>
          </w:tcPr>
          <w:p w14:paraId="07E5E59A">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供应商名称</w:t>
            </w:r>
          </w:p>
        </w:tc>
        <w:tc>
          <w:tcPr>
            <w:tcW w:w="6604" w:type="dxa"/>
            <w:vAlign w:val="center"/>
          </w:tcPr>
          <w:p w14:paraId="660C128D">
            <w:pPr>
              <w:spacing w:line="500" w:lineRule="exact"/>
              <w:ind w:firstLine="480" w:firstLineChars="200"/>
              <w:jc w:val="center"/>
              <w:rPr>
                <w:rFonts w:hint="eastAsia" w:asciiTheme="minorEastAsia" w:hAnsiTheme="minorEastAsia" w:eastAsiaTheme="minorEastAsia" w:cstheme="minorEastAsia"/>
                <w:color w:val="auto"/>
                <w:sz w:val="24"/>
                <w:szCs w:val="24"/>
                <w:highlight w:val="none"/>
                <w:shd w:val="clear" w:color="auto" w:fill="FFFFFF"/>
                <w:lang w:bidi="ar"/>
              </w:rPr>
            </w:pPr>
          </w:p>
        </w:tc>
      </w:tr>
      <w:tr w14:paraId="6358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2012" w:type="dxa"/>
            <w:vAlign w:val="center"/>
          </w:tcPr>
          <w:p w14:paraId="4D7908EF">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投标报价</w:t>
            </w:r>
          </w:p>
        </w:tc>
        <w:tc>
          <w:tcPr>
            <w:tcW w:w="6604" w:type="dxa"/>
            <w:vAlign w:val="center"/>
          </w:tcPr>
          <w:p w14:paraId="50DDF96B">
            <w:pPr>
              <w:spacing w:line="500" w:lineRule="exact"/>
              <w:ind w:firstLine="2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人民币（大写）：</w:t>
            </w:r>
          </w:p>
          <w:p w14:paraId="4B06958C">
            <w:pPr>
              <w:spacing w:line="500" w:lineRule="exact"/>
              <w:ind w:firstLine="960" w:firstLineChars="400"/>
              <w:jc w:val="lef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（小写）：</w:t>
            </w:r>
          </w:p>
        </w:tc>
      </w:tr>
      <w:tr w14:paraId="4759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2012" w:type="dxa"/>
            <w:vAlign w:val="center"/>
          </w:tcPr>
          <w:p w14:paraId="7B713C05">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质量要求</w:t>
            </w:r>
          </w:p>
        </w:tc>
        <w:tc>
          <w:tcPr>
            <w:tcW w:w="6604" w:type="dxa"/>
            <w:vAlign w:val="center"/>
          </w:tcPr>
          <w:p w14:paraId="12B36746">
            <w:pPr>
              <w:spacing w:line="500" w:lineRule="exact"/>
              <w:ind w:firstLine="480" w:firstLineChars="200"/>
              <w:jc w:val="center"/>
              <w:rPr>
                <w:rFonts w:hint="eastAsia" w:asciiTheme="minorEastAsia" w:hAnsiTheme="minorEastAsia" w:eastAsiaTheme="minorEastAsia" w:cstheme="minorEastAsia"/>
                <w:color w:val="auto"/>
                <w:sz w:val="24"/>
                <w:szCs w:val="24"/>
                <w:highlight w:val="none"/>
                <w:shd w:val="clear" w:color="auto" w:fill="FFFFFF"/>
                <w:lang w:bidi="ar"/>
              </w:rPr>
            </w:pPr>
          </w:p>
        </w:tc>
      </w:tr>
      <w:tr w14:paraId="7B77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2012" w:type="dxa"/>
            <w:vAlign w:val="center"/>
          </w:tcPr>
          <w:p w14:paraId="47005A14">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合同履行期限</w:t>
            </w:r>
          </w:p>
          <w:p w14:paraId="695D1EB0">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（交货期）</w:t>
            </w:r>
          </w:p>
        </w:tc>
        <w:tc>
          <w:tcPr>
            <w:tcW w:w="6604" w:type="dxa"/>
            <w:vAlign w:val="center"/>
          </w:tcPr>
          <w:p w14:paraId="024B3A2D">
            <w:pPr>
              <w:spacing w:line="500" w:lineRule="exact"/>
              <w:ind w:firstLine="480" w:firstLineChars="200"/>
              <w:jc w:val="center"/>
              <w:rPr>
                <w:rFonts w:hint="eastAsia" w:asciiTheme="minorEastAsia" w:hAnsiTheme="minorEastAsia" w:eastAsiaTheme="minorEastAsia" w:cstheme="minorEastAsia"/>
                <w:color w:val="auto"/>
                <w:sz w:val="24"/>
                <w:szCs w:val="24"/>
                <w:highlight w:val="none"/>
                <w:shd w:val="clear" w:color="auto" w:fill="FFFFFF"/>
                <w:lang w:bidi="ar"/>
              </w:rPr>
            </w:pPr>
          </w:p>
        </w:tc>
      </w:tr>
      <w:tr w14:paraId="0226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2012" w:type="dxa"/>
            <w:vAlign w:val="center"/>
          </w:tcPr>
          <w:p w14:paraId="023D3C5B">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质保期</w:t>
            </w:r>
          </w:p>
        </w:tc>
        <w:tc>
          <w:tcPr>
            <w:tcW w:w="6604" w:type="dxa"/>
            <w:vAlign w:val="center"/>
          </w:tcPr>
          <w:p w14:paraId="6AC9DEA1">
            <w:pPr>
              <w:spacing w:line="500" w:lineRule="exact"/>
              <w:ind w:firstLine="480" w:firstLineChars="200"/>
              <w:jc w:val="center"/>
              <w:rPr>
                <w:rFonts w:hint="eastAsia" w:asciiTheme="minorEastAsia" w:hAnsiTheme="minorEastAsia" w:eastAsiaTheme="minorEastAsia" w:cstheme="minorEastAsia"/>
                <w:color w:val="auto"/>
                <w:sz w:val="24"/>
                <w:szCs w:val="24"/>
                <w:highlight w:val="none"/>
                <w:shd w:val="clear" w:color="auto" w:fill="FFFFFF"/>
                <w:lang w:bidi="ar"/>
              </w:rPr>
            </w:pPr>
          </w:p>
        </w:tc>
      </w:tr>
      <w:tr w14:paraId="69A8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2012" w:type="dxa"/>
            <w:vAlign w:val="center"/>
          </w:tcPr>
          <w:p w14:paraId="542F7286">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投标有效期</w:t>
            </w:r>
          </w:p>
        </w:tc>
        <w:tc>
          <w:tcPr>
            <w:tcW w:w="6604" w:type="dxa"/>
            <w:vAlign w:val="center"/>
          </w:tcPr>
          <w:p w14:paraId="4A0B64EF">
            <w:pPr>
              <w:spacing w:line="500" w:lineRule="exact"/>
              <w:ind w:firstLine="199" w:firstLineChars="83"/>
              <w:jc w:val="left"/>
              <w:rPr>
                <w:rFonts w:hint="eastAsia" w:asciiTheme="minorEastAsia" w:hAnsiTheme="minorEastAsia" w:eastAsiaTheme="minorEastAsia" w:cstheme="minorEastAsia"/>
                <w:color w:val="auto"/>
                <w:sz w:val="24"/>
                <w:szCs w:val="24"/>
                <w:highlight w:val="none"/>
                <w:shd w:val="clear" w:color="auto" w:fill="FFFFFF"/>
                <w:lang w:bidi="ar"/>
              </w:rPr>
            </w:pPr>
          </w:p>
        </w:tc>
      </w:tr>
      <w:tr w14:paraId="6002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012" w:type="dxa"/>
            <w:vAlign w:val="center"/>
          </w:tcPr>
          <w:p w14:paraId="4D84A5C5">
            <w:pPr>
              <w:spacing w:line="500" w:lineRule="exact"/>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备</w:t>
            </w:r>
            <w:r>
              <w:rPr>
                <w:rFonts w:hint="eastAsia" w:asciiTheme="minorEastAsia" w:hAnsiTheme="minorEastAsia" w:eastAsiaTheme="minorEastAsia" w:cstheme="minorEastAsia"/>
                <w:color w:val="auto"/>
                <w:sz w:val="24"/>
                <w:szCs w:val="24"/>
                <w:highlight w:val="none"/>
                <w:shd w:val="clear" w:color="auto" w:fill="FFFFFF"/>
                <w:lang w:bidi="ar"/>
              </w:rPr>
              <w:tab/>
            </w:r>
            <w:r>
              <w:rPr>
                <w:rFonts w:hint="eastAsia" w:asciiTheme="minorEastAsia" w:hAnsiTheme="minorEastAsia" w:eastAsiaTheme="minorEastAsia" w:cstheme="minorEastAsia"/>
                <w:color w:val="auto"/>
                <w:sz w:val="24"/>
                <w:szCs w:val="24"/>
                <w:highlight w:val="none"/>
                <w:shd w:val="clear" w:color="auto" w:fill="FFFFFF"/>
                <w:lang w:bidi="ar"/>
              </w:rPr>
              <w:t>注</w:t>
            </w:r>
          </w:p>
        </w:tc>
        <w:tc>
          <w:tcPr>
            <w:tcW w:w="6604" w:type="dxa"/>
            <w:vAlign w:val="center"/>
          </w:tcPr>
          <w:p w14:paraId="37C5A75B">
            <w:pPr>
              <w:spacing w:line="500" w:lineRule="exact"/>
              <w:ind w:firstLine="480" w:firstLineChars="200"/>
              <w:jc w:val="center"/>
              <w:rPr>
                <w:rFonts w:hint="eastAsia" w:asciiTheme="minorEastAsia" w:hAnsiTheme="minorEastAsia" w:eastAsiaTheme="minorEastAsia" w:cstheme="minorEastAsia"/>
                <w:color w:val="auto"/>
                <w:sz w:val="24"/>
                <w:szCs w:val="24"/>
                <w:highlight w:val="none"/>
                <w:shd w:val="clear" w:color="auto" w:fill="FFFFFF"/>
                <w:lang w:bidi="ar"/>
              </w:rPr>
            </w:pPr>
          </w:p>
        </w:tc>
      </w:tr>
    </w:tbl>
    <w:p w14:paraId="01C47D71">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064A8CE4">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21BB1175">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       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32B51F2A">
      <w:pPr>
        <w:rPr>
          <w:rFonts w:hint="eastAsia" w:asciiTheme="minorEastAsia" w:hAnsiTheme="minorEastAsia" w:eastAsiaTheme="minorEastAsia" w:cstheme="minorEastAsia"/>
          <w:b/>
          <w:bCs/>
          <w:color w:val="auto"/>
          <w:sz w:val="24"/>
          <w:szCs w:val="32"/>
          <w:highlight w:val="none"/>
          <w:lang w:val="zh-CN" w:bidi="zh-CN"/>
        </w:rPr>
      </w:pPr>
      <w:bookmarkStart w:id="477" w:name="_Toc176358376"/>
      <w:r>
        <w:rPr>
          <w:rFonts w:hint="eastAsia" w:asciiTheme="minorEastAsia" w:hAnsiTheme="minorEastAsia" w:eastAsiaTheme="minorEastAsia" w:cstheme="minorEastAsia"/>
          <w:b/>
          <w:bCs/>
          <w:color w:val="auto"/>
          <w:sz w:val="24"/>
          <w:szCs w:val="32"/>
          <w:highlight w:val="none"/>
          <w:lang w:val="zh-CN" w:bidi="zh-CN"/>
        </w:rPr>
        <w:br w:type="page"/>
      </w:r>
    </w:p>
    <w:p w14:paraId="22899CB8">
      <w:pPr>
        <w:spacing w:line="517" w:lineRule="exact"/>
        <w:outlineLvl w:val="1"/>
        <w:rPr>
          <w:rFonts w:hint="eastAsia" w:asciiTheme="minorEastAsia" w:hAnsiTheme="minorEastAsia" w:eastAsiaTheme="minorEastAsia" w:cstheme="minorEastAsia"/>
          <w:b/>
          <w:bCs/>
          <w:color w:val="auto"/>
          <w:sz w:val="24"/>
          <w:szCs w:val="32"/>
          <w:highlight w:val="none"/>
          <w:lang w:val="zh-CN" w:bidi="zh-CN"/>
        </w:rPr>
      </w:pPr>
      <w:r>
        <w:rPr>
          <w:rFonts w:hint="eastAsia" w:asciiTheme="minorEastAsia" w:hAnsiTheme="minorEastAsia" w:eastAsiaTheme="minorEastAsia" w:cstheme="minorEastAsia"/>
          <w:b/>
          <w:bCs/>
          <w:color w:val="auto"/>
          <w:sz w:val="24"/>
          <w:szCs w:val="32"/>
          <w:highlight w:val="none"/>
          <w:lang w:val="en-US" w:bidi="zh-CN"/>
        </w:rPr>
        <w:t>2.1</w:t>
      </w:r>
      <w:r>
        <w:rPr>
          <w:rFonts w:hint="eastAsia" w:asciiTheme="minorEastAsia" w:hAnsiTheme="minorEastAsia" w:eastAsiaTheme="minorEastAsia" w:cstheme="minorEastAsia"/>
          <w:b/>
          <w:bCs/>
          <w:color w:val="auto"/>
          <w:sz w:val="24"/>
          <w:szCs w:val="32"/>
          <w:highlight w:val="none"/>
          <w:lang w:val="zh-CN" w:bidi="zh-CN"/>
        </w:rPr>
        <w:t>投标报价明细表</w:t>
      </w:r>
    </w:p>
    <w:p w14:paraId="4D9305D1">
      <w:pPr>
        <w:spacing w:line="517" w:lineRule="exact"/>
        <w:outlineLvl w:val="1"/>
        <w:rPr>
          <w:rFonts w:hint="eastAsia" w:asciiTheme="minorEastAsia" w:hAnsiTheme="minorEastAsia" w:eastAsiaTheme="minorEastAsia" w:cstheme="minorEastAsia"/>
          <w:color w:val="auto"/>
          <w:sz w:val="24"/>
          <w:szCs w:val="32"/>
          <w:highlight w:val="none"/>
          <w:lang w:val="zh-CN" w:bidi="zh-CN"/>
        </w:rPr>
      </w:pPr>
      <w:r>
        <w:rPr>
          <w:rFonts w:hint="eastAsia" w:asciiTheme="minorEastAsia" w:hAnsiTheme="minorEastAsia" w:eastAsiaTheme="minorEastAsia" w:cstheme="minorEastAsia"/>
          <w:color w:val="auto"/>
          <w:sz w:val="24"/>
          <w:szCs w:val="32"/>
          <w:highlight w:val="none"/>
          <w:lang w:val="zh-CN" w:bidi="zh-CN"/>
        </w:rPr>
        <w:t>项目编号、</w:t>
      </w:r>
      <w:r>
        <w:rPr>
          <w:rFonts w:hint="eastAsia" w:asciiTheme="minorEastAsia" w:hAnsiTheme="minorEastAsia" w:eastAsiaTheme="minorEastAsia" w:cstheme="minorEastAsia"/>
          <w:color w:val="auto"/>
          <w:sz w:val="24"/>
          <w:szCs w:val="32"/>
          <w:highlight w:val="none"/>
          <w:lang w:val="en-US" w:bidi="zh-CN"/>
        </w:rPr>
        <w:t>包号</w:t>
      </w:r>
      <w:r>
        <w:rPr>
          <w:rFonts w:hint="eastAsia" w:asciiTheme="minorEastAsia" w:hAnsiTheme="minorEastAsia" w:eastAsiaTheme="minorEastAsia" w:cstheme="minorEastAsia"/>
          <w:color w:val="auto"/>
          <w:sz w:val="24"/>
          <w:szCs w:val="32"/>
          <w:highlight w:val="none"/>
          <w:lang w:val="zh-CN" w:bidi="zh-CN"/>
        </w:rPr>
        <w:t>：</w:t>
      </w:r>
    </w:p>
    <w:p w14:paraId="358C4EFD">
      <w:pPr>
        <w:spacing w:line="517" w:lineRule="exact"/>
        <w:outlineLvl w:val="1"/>
        <w:rPr>
          <w:rFonts w:hint="eastAsia" w:asciiTheme="minorEastAsia" w:hAnsiTheme="minorEastAsia" w:eastAsiaTheme="minorEastAsia" w:cstheme="minorEastAsia"/>
          <w:color w:val="auto"/>
          <w:sz w:val="24"/>
          <w:szCs w:val="32"/>
          <w:highlight w:val="none"/>
          <w:lang w:val="zh-CN" w:bidi="zh-CN"/>
        </w:rPr>
      </w:pPr>
      <w:r>
        <w:rPr>
          <w:rFonts w:hint="eastAsia" w:asciiTheme="minorEastAsia" w:hAnsiTheme="minorEastAsia" w:eastAsiaTheme="minorEastAsia" w:cstheme="minorEastAsia"/>
          <w:color w:val="auto"/>
          <w:sz w:val="24"/>
          <w:szCs w:val="32"/>
          <w:highlight w:val="none"/>
          <w:lang w:val="zh-CN" w:bidi="zh-CN"/>
        </w:rPr>
        <w:t>项目名称：</w:t>
      </w:r>
    </w:p>
    <w:tbl>
      <w:tblPr>
        <w:tblStyle w:val="1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258"/>
        <w:gridCol w:w="841"/>
        <w:gridCol w:w="981"/>
        <w:gridCol w:w="841"/>
        <w:gridCol w:w="842"/>
        <w:gridCol w:w="1130"/>
        <w:gridCol w:w="1130"/>
        <w:gridCol w:w="1120"/>
      </w:tblGrid>
      <w:tr w14:paraId="183A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14:paraId="2BC71BE4">
            <w:pPr>
              <w:spacing w:line="276"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1276" w:type="dxa"/>
            <w:vAlign w:val="center"/>
          </w:tcPr>
          <w:p w14:paraId="72F089A7">
            <w:pPr>
              <w:spacing w:line="276"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名称</w:t>
            </w:r>
          </w:p>
        </w:tc>
        <w:tc>
          <w:tcPr>
            <w:tcW w:w="850" w:type="dxa"/>
            <w:vAlign w:val="center"/>
          </w:tcPr>
          <w:p w14:paraId="2481D2C4">
            <w:pPr>
              <w:spacing w:line="276" w:lineRule="auto"/>
              <w:jc w:val="center"/>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bidi="ar"/>
              </w:rPr>
              <w:t>品牌</w:t>
            </w:r>
            <w:r>
              <w:rPr>
                <w:rFonts w:hint="eastAsia" w:asciiTheme="minorEastAsia" w:hAnsiTheme="minorEastAsia" w:eastAsiaTheme="minorEastAsia" w:cstheme="minorEastAsia"/>
                <w:color w:val="auto"/>
                <w:kern w:val="0"/>
                <w:sz w:val="24"/>
                <w:szCs w:val="24"/>
                <w:highlight w:val="none"/>
                <w:lang w:val="en-US" w:eastAsia="zh-CN" w:bidi="ar"/>
              </w:rPr>
              <w:t>及型号</w:t>
            </w:r>
          </w:p>
        </w:tc>
        <w:tc>
          <w:tcPr>
            <w:tcW w:w="993" w:type="dxa"/>
            <w:vAlign w:val="center"/>
          </w:tcPr>
          <w:p w14:paraId="4A7D07E7">
            <w:pPr>
              <w:spacing w:line="276"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制造商</w:t>
            </w:r>
          </w:p>
        </w:tc>
        <w:tc>
          <w:tcPr>
            <w:tcW w:w="850" w:type="dxa"/>
            <w:vAlign w:val="center"/>
          </w:tcPr>
          <w:p w14:paraId="3600739F">
            <w:pPr>
              <w:spacing w:line="276"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数量</w:t>
            </w:r>
          </w:p>
        </w:tc>
        <w:tc>
          <w:tcPr>
            <w:tcW w:w="851" w:type="dxa"/>
            <w:vAlign w:val="center"/>
          </w:tcPr>
          <w:p w14:paraId="5C403D33">
            <w:pPr>
              <w:spacing w:line="276"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单位</w:t>
            </w:r>
          </w:p>
        </w:tc>
        <w:tc>
          <w:tcPr>
            <w:tcW w:w="1134" w:type="dxa"/>
            <w:vAlign w:val="center"/>
          </w:tcPr>
          <w:p w14:paraId="544B5D74">
            <w:pPr>
              <w:spacing w:line="276"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单价（元）</w:t>
            </w:r>
          </w:p>
        </w:tc>
        <w:tc>
          <w:tcPr>
            <w:tcW w:w="1134" w:type="dxa"/>
            <w:vAlign w:val="center"/>
          </w:tcPr>
          <w:p w14:paraId="116CB2B5">
            <w:pPr>
              <w:spacing w:line="276"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合价（元）</w:t>
            </w:r>
          </w:p>
        </w:tc>
        <w:tc>
          <w:tcPr>
            <w:tcW w:w="1134" w:type="dxa"/>
            <w:vAlign w:val="center"/>
          </w:tcPr>
          <w:p w14:paraId="69F694A2">
            <w:pPr>
              <w:spacing w:line="276" w:lineRule="auto"/>
              <w:jc w:val="center"/>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val="en-US" w:eastAsia="zh-CN" w:bidi="ar"/>
              </w:rPr>
              <w:t>质保期</w:t>
            </w:r>
          </w:p>
        </w:tc>
      </w:tr>
      <w:tr w14:paraId="47F6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14:paraId="42B2E69A">
            <w:pPr>
              <w:spacing w:line="360"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1</w:t>
            </w:r>
          </w:p>
        </w:tc>
        <w:tc>
          <w:tcPr>
            <w:tcW w:w="1276" w:type="dxa"/>
            <w:vAlign w:val="center"/>
          </w:tcPr>
          <w:p w14:paraId="1F480E6F">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4B40EE77">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993" w:type="dxa"/>
            <w:vAlign w:val="center"/>
          </w:tcPr>
          <w:p w14:paraId="4B956A4A">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3074CB84">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1" w:type="dxa"/>
            <w:vAlign w:val="center"/>
          </w:tcPr>
          <w:p w14:paraId="5283BDD9">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681508D6">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3A12D479">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16C36D91">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r>
      <w:tr w14:paraId="287E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14:paraId="5E6DBE58">
            <w:pPr>
              <w:spacing w:line="360"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2</w:t>
            </w:r>
          </w:p>
        </w:tc>
        <w:tc>
          <w:tcPr>
            <w:tcW w:w="1276" w:type="dxa"/>
            <w:vAlign w:val="center"/>
          </w:tcPr>
          <w:p w14:paraId="24D85338">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1FE19145">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993" w:type="dxa"/>
            <w:vAlign w:val="center"/>
          </w:tcPr>
          <w:p w14:paraId="24317713">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62FC7143">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1" w:type="dxa"/>
            <w:vAlign w:val="center"/>
          </w:tcPr>
          <w:p w14:paraId="212BF897">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17F1ED89">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53A286AF">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5106C721">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r>
      <w:tr w14:paraId="707B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14:paraId="6D272A29">
            <w:pPr>
              <w:spacing w:line="360"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3</w:t>
            </w:r>
          </w:p>
        </w:tc>
        <w:tc>
          <w:tcPr>
            <w:tcW w:w="1276" w:type="dxa"/>
            <w:vAlign w:val="center"/>
          </w:tcPr>
          <w:p w14:paraId="5FD8D71C">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2EB5BD40">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993" w:type="dxa"/>
            <w:vAlign w:val="center"/>
          </w:tcPr>
          <w:p w14:paraId="4B58465C">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2F23FE7C">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1" w:type="dxa"/>
            <w:vAlign w:val="center"/>
          </w:tcPr>
          <w:p w14:paraId="2A12026A">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40FD9C92">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5CBC4628">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192D286B">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r>
      <w:tr w14:paraId="6CFC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14:paraId="26D1051B">
            <w:pPr>
              <w:spacing w:line="360"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4</w:t>
            </w:r>
          </w:p>
        </w:tc>
        <w:tc>
          <w:tcPr>
            <w:tcW w:w="1276" w:type="dxa"/>
            <w:vAlign w:val="center"/>
          </w:tcPr>
          <w:p w14:paraId="37718EC5">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57521AD1">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993" w:type="dxa"/>
            <w:vAlign w:val="center"/>
          </w:tcPr>
          <w:p w14:paraId="40E789D3">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7040D67C">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1" w:type="dxa"/>
            <w:vAlign w:val="center"/>
          </w:tcPr>
          <w:p w14:paraId="1754132D">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028B5EEC">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38BB7BAD">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77E26D9D">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r>
      <w:tr w14:paraId="575A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14:paraId="42A81D5C">
            <w:pPr>
              <w:spacing w:line="360" w:lineRule="auto"/>
              <w:jc w:val="center"/>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5</w:t>
            </w:r>
          </w:p>
        </w:tc>
        <w:tc>
          <w:tcPr>
            <w:tcW w:w="1276" w:type="dxa"/>
            <w:vAlign w:val="center"/>
          </w:tcPr>
          <w:p w14:paraId="6FFC6038">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41FC551F">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993" w:type="dxa"/>
            <w:vAlign w:val="center"/>
          </w:tcPr>
          <w:p w14:paraId="711B2E3C">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183F6CE9">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1" w:type="dxa"/>
            <w:vAlign w:val="center"/>
          </w:tcPr>
          <w:p w14:paraId="6CE0D1F5">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5AB847E9">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1189882A">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5984FCE3">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r>
      <w:tr w14:paraId="434C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817" w:type="dxa"/>
            <w:vAlign w:val="center"/>
          </w:tcPr>
          <w:p w14:paraId="649E63B7">
            <w:pPr>
              <w:spacing w:line="360" w:lineRule="auto"/>
              <w:ind w:firstLine="200"/>
              <w:jc w:val="left"/>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w:t>
            </w:r>
          </w:p>
        </w:tc>
        <w:tc>
          <w:tcPr>
            <w:tcW w:w="1276" w:type="dxa"/>
            <w:vAlign w:val="center"/>
          </w:tcPr>
          <w:p w14:paraId="30F42CBD">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57C75E15">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993" w:type="dxa"/>
            <w:vAlign w:val="center"/>
          </w:tcPr>
          <w:p w14:paraId="16A77958">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0" w:type="dxa"/>
            <w:vAlign w:val="center"/>
          </w:tcPr>
          <w:p w14:paraId="4A3DA6D8">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851" w:type="dxa"/>
            <w:vAlign w:val="center"/>
          </w:tcPr>
          <w:p w14:paraId="23E5FC81">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15442D5C">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0D6869E9">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c>
          <w:tcPr>
            <w:tcW w:w="1134" w:type="dxa"/>
            <w:vAlign w:val="center"/>
          </w:tcPr>
          <w:p w14:paraId="071143FE">
            <w:pPr>
              <w:spacing w:line="360" w:lineRule="auto"/>
              <w:jc w:val="center"/>
              <w:rPr>
                <w:rFonts w:hint="eastAsia" w:asciiTheme="minorEastAsia" w:hAnsiTheme="minorEastAsia" w:eastAsiaTheme="minorEastAsia" w:cstheme="minorEastAsia"/>
                <w:color w:val="auto"/>
                <w:kern w:val="0"/>
                <w:sz w:val="24"/>
                <w:szCs w:val="24"/>
                <w:highlight w:val="none"/>
                <w:lang w:bidi="ar"/>
              </w:rPr>
            </w:pPr>
          </w:p>
        </w:tc>
      </w:tr>
      <w:tr w14:paraId="79FD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2093" w:type="dxa"/>
            <w:gridSpan w:val="2"/>
            <w:vAlign w:val="center"/>
          </w:tcPr>
          <w:p w14:paraId="10203B95">
            <w:pPr>
              <w:spacing w:line="360" w:lineRule="auto"/>
              <w:ind w:firstLine="199" w:firstLineChars="83"/>
              <w:jc w:val="left"/>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 xml:space="preserve">合计（元）                     </w:t>
            </w:r>
          </w:p>
        </w:tc>
        <w:tc>
          <w:tcPr>
            <w:tcW w:w="6946" w:type="dxa"/>
            <w:gridSpan w:val="7"/>
            <w:vAlign w:val="center"/>
          </w:tcPr>
          <w:p w14:paraId="12BAED4B">
            <w:pPr>
              <w:spacing w:line="360" w:lineRule="auto"/>
              <w:jc w:val="left"/>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大写：</w:t>
            </w:r>
          </w:p>
          <w:p w14:paraId="5712527C">
            <w:pPr>
              <w:spacing w:line="360" w:lineRule="auto"/>
              <w:jc w:val="left"/>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小写：</w:t>
            </w:r>
          </w:p>
        </w:tc>
      </w:tr>
    </w:tbl>
    <w:p w14:paraId="590E4597">
      <w:pPr>
        <w:ind w:firstLine="480" w:firstLineChars="200"/>
        <w:jc w:val="left"/>
        <w:rPr>
          <w:rFonts w:hint="eastAsia" w:asciiTheme="minorEastAsia" w:hAnsiTheme="minorEastAsia" w:eastAsiaTheme="minorEastAsia" w:cstheme="minorEastAsia"/>
          <w:color w:val="auto"/>
          <w:sz w:val="24"/>
          <w:szCs w:val="24"/>
          <w:highlight w:val="none"/>
          <w:lang w:bidi="ar"/>
        </w:rPr>
      </w:pPr>
      <w:r>
        <w:rPr>
          <w:rFonts w:hint="eastAsia" w:asciiTheme="minorEastAsia" w:hAnsiTheme="minorEastAsia" w:eastAsiaTheme="minorEastAsia" w:cstheme="minorEastAsia"/>
          <w:color w:val="auto"/>
          <w:sz w:val="24"/>
          <w:szCs w:val="24"/>
          <w:highlight w:val="none"/>
          <w:lang w:bidi="ar"/>
        </w:rPr>
        <w:t>注：1.所有价格以人民币表示。2.若总价与单价不符，以单价为准。3.供应商根据需要可在本表中自行增加更为详细的报价说明。包含设备价、备品备件价、包装费、装卸费、运输费、税金（含关税、增值税）、安装费、检测验收费、培训费及其他所有费用，均包含在投标报价中。</w:t>
      </w:r>
    </w:p>
    <w:p w14:paraId="0A16325D">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7EB673A4">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1BF75E1F">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5E08AC21">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       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290C8A91">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r>
        <w:rPr>
          <w:rFonts w:hint="eastAsia" w:asciiTheme="minorEastAsia" w:hAnsiTheme="minorEastAsia" w:eastAsiaTheme="minorEastAsia" w:cstheme="minorEastAsia"/>
          <w:b/>
          <w:bCs/>
          <w:color w:val="auto"/>
          <w:sz w:val="24"/>
          <w:szCs w:val="32"/>
          <w:highlight w:val="none"/>
          <w:lang w:val="zh-CN" w:bidi="zh-CN"/>
        </w:rPr>
        <w:br w:type="page"/>
      </w:r>
      <w:bookmarkEnd w:id="477"/>
      <w:bookmarkStart w:id="478" w:name="_Toc176358377"/>
      <w:r>
        <w:rPr>
          <w:rFonts w:hint="eastAsia" w:asciiTheme="minorEastAsia" w:hAnsiTheme="minorEastAsia" w:eastAsiaTheme="minorEastAsia" w:cstheme="minorEastAsia"/>
          <w:b/>
          <w:bCs/>
          <w:color w:val="auto"/>
          <w:sz w:val="24"/>
          <w:szCs w:val="32"/>
          <w:highlight w:val="none"/>
          <w:lang w:val="zh-CN" w:bidi="zh-CN"/>
        </w:rPr>
        <w:t>三、法定代表人身份证明</w:t>
      </w:r>
      <w:bookmarkEnd w:id="478"/>
    </w:p>
    <w:p w14:paraId="46E6DE91">
      <w:pPr>
        <w:spacing w:line="600" w:lineRule="exact"/>
        <w:rPr>
          <w:rFonts w:hint="eastAsia" w:asciiTheme="minorEastAsia" w:hAnsiTheme="minorEastAsia" w:eastAsiaTheme="minorEastAsia" w:cstheme="minorEastAsia"/>
          <w:color w:val="auto"/>
          <w:sz w:val="24"/>
          <w:szCs w:val="28"/>
          <w:highlight w:val="none"/>
          <w:shd w:val="clear" w:color="auto" w:fill="FFFFFF"/>
          <w:lang w:bidi="ar"/>
        </w:rPr>
      </w:pPr>
    </w:p>
    <w:p w14:paraId="697FF5CF">
      <w:pPr>
        <w:spacing w:line="600" w:lineRule="exact"/>
        <w:ind w:firstLine="566" w:firstLineChars="236"/>
        <w:rPr>
          <w:rFonts w:hint="eastAsia" w:asciiTheme="minorEastAsia" w:hAnsiTheme="minorEastAsia" w:eastAsiaTheme="minorEastAsia" w:cstheme="minorEastAsia"/>
          <w:color w:val="auto"/>
          <w:sz w:val="24"/>
          <w:szCs w:val="24"/>
          <w:highlight w:val="none"/>
          <w:u w:val="singl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单位名称：</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p>
    <w:p w14:paraId="4B077CC6">
      <w:pPr>
        <w:spacing w:line="600" w:lineRule="exact"/>
        <w:ind w:firstLine="566" w:firstLineChars="236"/>
        <w:rPr>
          <w:rFonts w:hint="eastAsia" w:asciiTheme="minorEastAsia" w:hAnsiTheme="minorEastAsia" w:eastAsiaTheme="minorEastAsia" w:cstheme="minorEastAsia"/>
          <w:color w:val="auto"/>
          <w:sz w:val="24"/>
          <w:szCs w:val="24"/>
          <w:highlight w:val="none"/>
          <w:u w:val="singl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单位性质：</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p>
    <w:p w14:paraId="4FB806B4">
      <w:pPr>
        <w:spacing w:line="600" w:lineRule="exact"/>
        <w:ind w:firstLine="566" w:firstLineChars="236"/>
        <w:rPr>
          <w:rFonts w:hint="eastAsia" w:asciiTheme="minorEastAsia" w:hAnsiTheme="minorEastAsia" w:eastAsiaTheme="minorEastAsia" w:cstheme="minorEastAsia"/>
          <w:color w:val="auto"/>
          <w:sz w:val="24"/>
          <w:szCs w:val="24"/>
          <w:highlight w:val="none"/>
          <w:u w:val="singl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 xml:space="preserve">地址：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u w:val="single"/>
          <w:shd w:val="clear" w:color="auto" w:fill="FFFFFF"/>
          <w:lang w:bidi="ar"/>
        </w:rPr>
        <w:tab/>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p>
    <w:p w14:paraId="6E734351">
      <w:pPr>
        <w:spacing w:line="600" w:lineRule="exact"/>
        <w:ind w:firstLine="566" w:firstLineChars="236"/>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成立时间：</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年</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6256DD25">
      <w:pPr>
        <w:spacing w:line="600" w:lineRule="exact"/>
        <w:ind w:firstLine="566" w:firstLineChars="236"/>
        <w:rPr>
          <w:rFonts w:hint="eastAsia" w:asciiTheme="minorEastAsia" w:hAnsiTheme="minorEastAsia" w:eastAsiaTheme="minorEastAsia" w:cstheme="minorEastAsia"/>
          <w:color w:val="auto"/>
          <w:sz w:val="24"/>
          <w:szCs w:val="24"/>
          <w:highlight w:val="none"/>
          <w:u w:val="singl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经营期限：</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u w:val="single"/>
          <w:shd w:val="clear" w:color="auto" w:fill="FFFFFF"/>
          <w:lang w:bidi="ar"/>
        </w:rPr>
        <w:tab/>
      </w:r>
    </w:p>
    <w:p w14:paraId="1B3CBABD">
      <w:pPr>
        <w:spacing w:line="600" w:lineRule="exact"/>
        <w:ind w:firstLine="566" w:firstLineChars="236"/>
        <w:rPr>
          <w:rFonts w:hint="eastAsia" w:asciiTheme="minorEastAsia" w:hAnsiTheme="minorEastAsia" w:eastAsiaTheme="minorEastAsia" w:cstheme="minorEastAsia"/>
          <w:color w:val="auto"/>
          <w:sz w:val="24"/>
          <w:szCs w:val="24"/>
          <w:highlight w:val="none"/>
          <w:u w:val="singl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姓</w:t>
      </w:r>
      <w:r>
        <w:rPr>
          <w:rFonts w:hint="eastAsia" w:asciiTheme="minorEastAsia" w:hAnsiTheme="minorEastAsia" w:eastAsiaTheme="minorEastAsia" w:cstheme="minorEastAsia"/>
          <w:color w:val="auto"/>
          <w:sz w:val="24"/>
          <w:szCs w:val="24"/>
          <w:highlight w:val="none"/>
          <w:shd w:val="clear" w:color="auto" w:fill="FFFFFF"/>
          <w:lang w:bidi="ar"/>
        </w:rPr>
        <w:tab/>
      </w:r>
      <w:r>
        <w:rPr>
          <w:rFonts w:hint="eastAsia" w:asciiTheme="minorEastAsia" w:hAnsiTheme="minorEastAsia" w:eastAsiaTheme="minorEastAsia" w:cstheme="minorEastAsia"/>
          <w:color w:val="auto"/>
          <w:sz w:val="24"/>
          <w:szCs w:val="24"/>
          <w:highlight w:val="none"/>
          <w:shd w:val="clear" w:color="auto" w:fill="FFFFFF"/>
          <w:lang w:bidi="ar"/>
        </w:rPr>
        <w:t>名：</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性别：</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年龄：</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职务：</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p>
    <w:p w14:paraId="27F25024">
      <w:pPr>
        <w:spacing w:line="600" w:lineRule="exact"/>
        <w:ind w:firstLine="566" w:firstLineChars="236"/>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系</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u w:val="single"/>
          <w:shd w:val="clear" w:color="auto" w:fill="FFFFFF"/>
          <w:lang w:bidi="ar"/>
        </w:rPr>
        <w:tab/>
      </w:r>
      <w:r>
        <w:rPr>
          <w:rFonts w:hint="eastAsia" w:asciiTheme="minorEastAsia" w:hAnsiTheme="minorEastAsia" w:eastAsiaTheme="minorEastAsia" w:cstheme="minorEastAsia"/>
          <w:color w:val="auto"/>
          <w:sz w:val="24"/>
          <w:szCs w:val="24"/>
          <w:highlight w:val="none"/>
          <w:u w:val="single"/>
          <w:shd w:val="clear" w:color="auto" w:fill="FFFFFF"/>
          <w:lang w:bidi="ar"/>
        </w:rPr>
        <w:t>（供应商单位名称）</w:t>
      </w:r>
      <w:r>
        <w:rPr>
          <w:rFonts w:hint="eastAsia" w:asciiTheme="minorEastAsia" w:hAnsiTheme="minorEastAsia" w:eastAsiaTheme="minorEastAsia" w:cstheme="minorEastAsia"/>
          <w:color w:val="auto"/>
          <w:sz w:val="24"/>
          <w:szCs w:val="24"/>
          <w:highlight w:val="none"/>
          <w:u w:val="single"/>
          <w:shd w:val="clear" w:color="auto" w:fill="FFFFFF"/>
          <w:lang w:bidi="ar"/>
        </w:rPr>
        <w:tab/>
      </w:r>
      <w:r>
        <w:rPr>
          <w:rFonts w:hint="eastAsia" w:asciiTheme="minorEastAsia" w:hAnsiTheme="minorEastAsia" w:eastAsiaTheme="minorEastAsia" w:cstheme="minorEastAsia"/>
          <w:color w:val="auto"/>
          <w:sz w:val="24"/>
          <w:szCs w:val="24"/>
          <w:highlight w:val="none"/>
          <w:shd w:val="clear" w:color="auto" w:fill="FFFFFF"/>
          <w:lang w:bidi="ar"/>
        </w:rPr>
        <w:t>的法定代表人。</w:t>
      </w:r>
    </w:p>
    <w:p w14:paraId="4A655236">
      <w:pPr>
        <w:spacing w:line="600" w:lineRule="exact"/>
        <w:ind w:firstLine="566" w:firstLineChars="236"/>
        <w:rPr>
          <w:rFonts w:hint="eastAsia" w:asciiTheme="minorEastAsia" w:hAnsiTheme="minorEastAsia" w:eastAsiaTheme="minorEastAsia" w:cstheme="minorEastAsia"/>
          <w:color w:val="auto"/>
          <w:sz w:val="24"/>
          <w:szCs w:val="24"/>
          <w:highlight w:val="none"/>
          <w:shd w:val="clear" w:color="auto" w:fill="FFFFFF"/>
          <w:lang w:bidi="ar"/>
        </w:rPr>
      </w:pPr>
    </w:p>
    <w:p w14:paraId="0F456F2E">
      <w:pPr>
        <w:spacing w:line="600" w:lineRule="exact"/>
        <w:ind w:firstLine="566" w:firstLineChars="236"/>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特此证明。</w:t>
      </w:r>
    </w:p>
    <w:p w14:paraId="680AD0EB">
      <w:pPr>
        <w:spacing w:line="600" w:lineRule="exact"/>
        <w:ind w:firstLine="566" w:firstLineChars="236"/>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（后附法定代表人身份证正反面扫描件）</w:t>
      </w:r>
    </w:p>
    <w:p w14:paraId="7DA3C482">
      <w:pPr>
        <w:spacing w:line="600" w:lineRule="exact"/>
        <w:ind w:firstLine="566" w:firstLineChars="236"/>
        <w:rPr>
          <w:rFonts w:hint="eastAsia" w:asciiTheme="minorEastAsia" w:hAnsiTheme="minorEastAsia" w:eastAsiaTheme="minorEastAsia" w:cstheme="minorEastAsia"/>
          <w:color w:val="auto"/>
          <w:sz w:val="24"/>
          <w:szCs w:val="24"/>
          <w:highlight w:val="none"/>
          <w:shd w:val="clear" w:color="auto" w:fill="FFFFFF"/>
          <w:lang w:bidi="ar"/>
        </w:rPr>
      </w:pPr>
    </w:p>
    <w:p w14:paraId="2B981325">
      <w:pPr>
        <w:spacing w:line="460" w:lineRule="exact"/>
        <w:ind w:firstLine="3400" w:firstLineChars="1417"/>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(电子签章) </w:t>
      </w:r>
    </w:p>
    <w:p w14:paraId="5EFD41DB">
      <w:pPr>
        <w:spacing w:line="600" w:lineRule="exact"/>
        <w:ind w:firstLine="5244" w:firstLineChars="2185"/>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日期：     年</w:t>
      </w:r>
      <w:r>
        <w:rPr>
          <w:rFonts w:hint="eastAsia" w:asciiTheme="minorEastAsia" w:hAnsiTheme="minorEastAsia" w:eastAsiaTheme="minorEastAsia" w:cstheme="minorEastAsia"/>
          <w:color w:val="auto"/>
          <w:sz w:val="24"/>
          <w:szCs w:val="24"/>
          <w:highlight w:val="none"/>
          <w:shd w:val="clear" w:color="auto" w:fill="FFFFFF"/>
          <w:lang w:bidi="ar"/>
        </w:rPr>
        <w:tab/>
      </w:r>
      <w:r>
        <w:rPr>
          <w:rFonts w:hint="eastAsia" w:asciiTheme="minorEastAsia" w:hAnsiTheme="minorEastAsia" w:eastAsiaTheme="minorEastAsia" w:cstheme="minorEastAsia"/>
          <w:color w:val="auto"/>
          <w:sz w:val="24"/>
          <w:szCs w:val="24"/>
          <w:highlight w:val="none"/>
          <w:shd w:val="clear" w:color="auto" w:fill="FFFFFF"/>
          <w:lang w:bidi="ar"/>
        </w:rPr>
        <w:t>月   日</w:t>
      </w:r>
    </w:p>
    <w:p w14:paraId="5E89E8B4">
      <w:pPr>
        <w:spacing w:line="600" w:lineRule="exact"/>
        <w:ind w:firstLine="566" w:firstLineChars="236"/>
        <w:jc w:val="right"/>
        <w:rPr>
          <w:rFonts w:hint="eastAsia" w:asciiTheme="minorEastAsia" w:hAnsiTheme="minorEastAsia" w:eastAsiaTheme="minorEastAsia" w:cstheme="minorEastAsia"/>
          <w:color w:val="auto"/>
          <w:sz w:val="24"/>
          <w:szCs w:val="24"/>
          <w:highlight w:val="none"/>
          <w:shd w:val="clear" w:color="auto" w:fill="FFFFFF"/>
          <w:lang w:bidi="ar"/>
        </w:rPr>
      </w:pPr>
    </w:p>
    <w:p w14:paraId="3D07D8BA">
      <w:pPr>
        <w:spacing w:line="600" w:lineRule="exact"/>
        <w:ind w:firstLine="566" w:firstLineChars="236"/>
        <w:rPr>
          <w:rFonts w:hint="eastAsia" w:asciiTheme="minorEastAsia" w:hAnsiTheme="minorEastAsia" w:eastAsiaTheme="minorEastAsia" w:cstheme="minorEastAsia"/>
          <w:color w:val="auto"/>
          <w:sz w:val="24"/>
          <w:szCs w:val="24"/>
          <w:highlight w:val="none"/>
          <w:shd w:val="clear" w:color="auto" w:fill="FFFFFF"/>
          <w:lang w:bidi="ar"/>
        </w:rPr>
      </w:pPr>
    </w:p>
    <w:p w14:paraId="3479E3C6">
      <w:pPr>
        <w:spacing w:line="600" w:lineRule="exact"/>
        <w:rPr>
          <w:rFonts w:hint="eastAsia" w:asciiTheme="minorEastAsia" w:hAnsiTheme="minorEastAsia" w:eastAsiaTheme="minorEastAsia" w:cstheme="minorEastAsia"/>
          <w:color w:val="auto"/>
          <w:sz w:val="24"/>
          <w:szCs w:val="24"/>
          <w:highlight w:val="none"/>
          <w:shd w:val="clear" w:color="auto" w:fill="FFFFFF"/>
          <w:lang w:bidi="ar"/>
        </w:rPr>
      </w:pPr>
    </w:p>
    <w:p w14:paraId="3EF8EE6E">
      <w:pPr>
        <w:spacing w:line="480" w:lineRule="auto"/>
        <w:ind w:firstLine="480" w:firstLineChars="200"/>
        <w:jc w:val="left"/>
        <w:rPr>
          <w:rFonts w:hint="eastAsia" w:asciiTheme="minorEastAsia" w:hAnsiTheme="minorEastAsia" w:eastAsiaTheme="minorEastAsia" w:cstheme="minorEastAsia"/>
          <w:color w:val="auto"/>
          <w:sz w:val="24"/>
          <w:szCs w:val="24"/>
          <w:highlight w:val="none"/>
          <w:lang w:bidi="ar"/>
        </w:rPr>
      </w:pPr>
    </w:p>
    <w:p w14:paraId="631D7DA2">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lang w:bidi="ar"/>
        </w:rPr>
      </w:pPr>
    </w:p>
    <w:p w14:paraId="0DA2E44B">
      <w:pPr>
        <w:spacing w:line="500" w:lineRule="exact"/>
        <w:rPr>
          <w:rFonts w:hint="eastAsia" w:asciiTheme="minorEastAsia" w:hAnsiTheme="minorEastAsia" w:eastAsiaTheme="minorEastAsia" w:cstheme="minorEastAsia"/>
          <w:color w:val="auto"/>
          <w:sz w:val="24"/>
          <w:szCs w:val="28"/>
          <w:highlight w:val="none"/>
          <w:shd w:val="clear" w:color="auto" w:fill="FFFFFF"/>
          <w:lang w:bidi="ar"/>
        </w:rPr>
      </w:pPr>
    </w:p>
    <w:p w14:paraId="09B0158D">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bookmarkStart w:id="479" w:name="_Toc508873163"/>
      <w:bookmarkStart w:id="480" w:name="_Toc479341614"/>
      <w:bookmarkStart w:id="481" w:name="_Toc508113564"/>
      <w:bookmarkStart w:id="482" w:name="_Toc525836332"/>
      <w:bookmarkStart w:id="483" w:name="_Toc517338638"/>
      <w:r>
        <w:rPr>
          <w:rFonts w:hint="eastAsia" w:asciiTheme="minorEastAsia" w:hAnsiTheme="minorEastAsia" w:eastAsiaTheme="minorEastAsia" w:cstheme="minorEastAsia"/>
          <w:b/>
          <w:bCs/>
          <w:color w:val="auto"/>
          <w:sz w:val="24"/>
          <w:szCs w:val="32"/>
          <w:highlight w:val="none"/>
          <w:lang w:val="zh-CN" w:bidi="zh-CN"/>
        </w:rPr>
        <w:br w:type="page"/>
      </w:r>
      <w:bookmarkStart w:id="484" w:name="_Toc176358378"/>
      <w:r>
        <w:rPr>
          <w:rFonts w:hint="eastAsia" w:asciiTheme="minorEastAsia" w:hAnsiTheme="minorEastAsia" w:eastAsiaTheme="minorEastAsia" w:cstheme="minorEastAsia"/>
          <w:b/>
          <w:bCs/>
          <w:color w:val="auto"/>
          <w:sz w:val="24"/>
          <w:szCs w:val="32"/>
          <w:highlight w:val="none"/>
          <w:lang w:val="zh-CN" w:bidi="zh-CN"/>
        </w:rPr>
        <w:t>四、法定代表人授权委托书</w:t>
      </w:r>
      <w:bookmarkEnd w:id="479"/>
      <w:bookmarkEnd w:id="480"/>
      <w:bookmarkEnd w:id="481"/>
      <w:bookmarkEnd w:id="482"/>
      <w:bookmarkEnd w:id="483"/>
      <w:bookmarkEnd w:id="484"/>
    </w:p>
    <w:p w14:paraId="302A0C29">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本人</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（姓名）系</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w:t>
      </w:r>
      <w:r>
        <w:rPr>
          <w:rFonts w:hint="eastAsia" w:asciiTheme="minorEastAsia" w:hAnsiTheme="minorEastAsia" w:eastAsiaTheme="minorEastAsia" w:cstheme="minorEastAsia"/>
          <w:color w:val="auto"/>
          <w:sz w:val="24"/>
          <w:szCs w:val="24"/>
          <w:highlight w:val="none"/>
        </w:rPr>
        <w:t>投标供应商</w:t>
      </w:r>
      <w:r>
        <w:rPr>
          <w:rFonts w:hint="eastAsia" w:asciiTheme="minorEastAsia" w:hAnsiTheme="minorEastAsia" w:eastAsiaTheme="minorEastAsia" w:cstheme="minorEastAsia"/>
          <w:color w:val="auto"/>
          <w:kern w:val="0"/>
          <w:sz w:val="24"/>
          <w:szCs w:val="24"/>
          <w:highlight w:val="none"/>
        </w:rPr>
        <w:t>名称）的法定代表人，现授权委托</w:t>
      </w:r>
    </w:p>
    <w:p w14:paraId="5227D24D">
      <w:pPr>
        <w:widowControl/>
        <w:snapToGrid w:val="0"/>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（单位名称）的</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（姓名）为我公司代理人，以本公司的名义参加</w:t>
      </w:r>
    </w:p>
    <w:p w14:paraId="0FCA7271">
      <w:pPr>
        <w:widowControl/>
        <w:snapToGrid w:val="0"/>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（项目名称）的投标活动。代理人在开标、评标、签订合同过程中所签署的一切文件和处理与之有关的一切事务，其法律后果由我方承担。</w:t>
      </w:r>
    </w:p>
    <w:p w14:paraId="614AA608">
      <w:pPr>
        <w:widowControl/>
        <w:snapToGrid w:val="0"/>
        <w:spacing w:line="360" w:lineRule="auto"/>
        <w:ind w:firstLine="624"/>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委托期限：</w:t>
      </w:r>
      <w:r>
        <w:rPr>
          <w:rFonts w:hint="eastAsia" w:asciiTheme="minorEastAsia" w:hAnsiTheme="minorEastAsia" w:eastAsiaTheme="minorEastAsia" w:cstheme="minorEastAsia"/>
          <w:color w:val="auto"/>
          <w:kern w:val="0"/>
          <w:sz w:val="24"/>
          <w:szCs w:val="24"/>
          <w:highlight w:val="none"/>
          <w:u w:val="single"/>
        </w:rPr>
        <w:t xml:space="preserve">                      </w:t>
      </w:r>
    </w:p>
    <w:p w14:paraId="5A9D777C">
      <w:pPr>
        <w:widowControl/>
        <w:snapToGrid w:val="0"/>
        <w:spacing w:line="360" w:lineRule="auto"/>
        <w:ind w:firstLine="624"/>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代理人无转委托权，特此证明。</w:t>
      </w:r>
    </w:p>
    <w:p w14:paraId="630C43DD">
      <w:pPr>
        <w:widowControl/>
        <w:snapToGrid w:val="0"/>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附：法定代表人及委托代理人身份证明</w:t>
      </w:r>
    </w:p>
    <w:p w14:paraId="0280157D">
      <w:pPr>
        <w:spacing w:line="360" w:lineRule="auto"/>
        <w:rPr>
          <w:rFonts w:hint="eastAsia" w:asciiTheme="minorEastAsia" w:hAnsiTheme="minorEastAsia" w:eastAsiaTheme="minorEastAsia" w:cstheme="minorEastAsia"/>
          <w:b/>
          <w:bCs/>
          <w:color w:val="auto"/>
          <w:sz w:val="24"/>
          <w:szCs w:val="24"/>
          <w:highlight w:val="none"/>
        </w:rPr>
      </w:pPr>
    </w:p>
    <w:p w14:paraId="39A1E556">
      <w:pPr>
        <w:spacing w:line="360" w:lineRule="auto"/>
        <w:ind w:firstLine="2834" w:firstLineChars="1181"/>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（电子签章）</w:t>
      </w:r>
    </w:p>
    <w:p w14:paraId="47BFEE6A">
      <w:pPr>
        <w:spacing w:line="360" w:lineRule="auto"/>
        <w:ind w:firstLine="2834" w:firstLineChars="1181"/>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（电子签章）</w:t>
      </w:r>
    </w:p>
    <w:p w14:paraId="572AF18E">
      <w:pPr>
        <w:spacing w:line="360" w:lineRule="auto"/>
        <w:ind w:firstLine="2834" w:firstLineChars="1181"/>
        <w:textAlignment w:val="center"/>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委托代理人：</w:t>
      </w:r>
      <w:r>
        <w:rPr>
          <w:rFonts w:hint="eastAsia" w:asciiTheme="minorEastAsia" w:hAnsiTheme="minorEastAsia" w:eastAsiaTheme="minorEastAsia" w:cstheme="minorEastAsia"/>
          <w:color w:val="auto"/>
          <w:sz w:val="24"/>
          <w:szCs w:val="24"/>
          <w:highlight w:val="none"/>
          <w:u w:val="single"/>
        </w:rPr>
        <w:t xml:space="preserve">              （签字或盖章）</w:t>
      </w:r>
    </w:p>
    <w:p w14:paraId="090DD6B9">
      <w:pPr>
        <w:spacing w:line="360" w:lineRule="auto"/>
        <w:ind w:firstLine="2834" w:firstLineChars="1181"/>
        <w:textAlignment w:val="center"/>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委托代理人联系电话（手机）：</w:t>
      </w:r>
      <w:r>
        <w:rPr>
          <w:rFonts w:hint="eastAsia" w:asciiTheme="minorEastAsia" w:hAnsiTheme="minorEastAsia" w:eastAsiaTheme="minorEastAsia" w:cstheme="minorEastAsia"/>
          <w:color w:val="auto"/>
          <w:sz w:val="24"/>
          <w:szCs w:val="24"/>
          <w:highlight w:val="none"/>
          <w:u w:val="single"/>
        </w:rPr>
        <w:t xml:space="preserve">                   </w:t>
      </w:r>
    </w:p>
    <w:p w14:paraId="6E26FC0E">
      <w:pPr>
        <w:spacing w:line="360" w:lineRule="auto"/>
        <w:ind w:firstLine="2834" w:firstLineChars="1181"/>
        <w:jc w:val="right"/>
        <w:textAlignment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日</w:t>
      </w:r>
    </w:p>
    <w:p w14:paraId="65AE015E">
      <w:pPr>
        <w:spacing w:line="360" w:lineRule="auto"/>
        <w:ind w:firstLine="3600" w:firstLineChars="15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法定代表人身份证扫描件</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08"/>
        <w:gridCol w:w="4308"/>
      </w:tblGrid>
      <w:tr w14:paraId="6C0F6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4372" w:type="dxa"/>
            <w:tcBorders>
              <w:top w:val="single" w:color="000000" w:sz="4" w:space="0"/>
              <w:left w:val="single" w:color="000000" w:sz="4" w:space="0"/>
              <w:bottom w:val="single" w:color="000000" w:sz="4" w:space="0"/>
              <w:right w:val="single" w:color="000000" w:sz="4" w:space="0"/>
            </w:tcBorders>
            <w:vAlign w:val="center"/>
          </w:tcPr>
          <w:p w14:paraId="0E09CD7B">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正面</w:t>
            </w:r>
          </w:p>
        </w:tc>
        <w:tc>
          <w:tcPr>
            <w:tcW w:w="4372" w:type="dxa"/>
            <w:tcBorders>
              <w:top w:val="single" w:color="000000" w:sz="4" w:space="0"/>
              <w:left w:val="single" w:color="000000" w:sz="4" w:space="0"/>
              <w:bottom w:val="single" w:color="000000" w:sz="4" w:space="0"/>
              <w:right w:val="single" w:color="000000" w:sz="4" w:space="0"/>
            </w:tcBorders>
            <w:vAlign w:val="center"/>
          </w:tcPr>
          <w:p w14:paraId="4E6D1CD8">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背面</w:t>
            </w:r>
          </w:p>
        </w:tc>
      </w:tr>
    </w:tbl>
    <w:p w14:paraId="0FCB67C8">
      <w:pPr>
        <w:spacing w:line="360" w:lineRule="auto"/>
        <w:ind w:firstLine="3600" w:firstLineChars="15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委托代理人身份证扫描件</w:t>
      </w:r>
    </w:p>
    <w:tbl>
      <w:tblPr>
        <w:tblStyle w:val="1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08"/>
        <w:gridCol w:w="4308"/>
      </w:tblGrid>
      <w:tr w14:paraId="52666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4360" w:type="dxa"/>
            <w:tcBorders>
              <w:top w:val="single" w:color="000000" w:sz="4" w:space="0"/>
              <w:left w:val="single" w:color="000000" w:sz="4" w:space="0"/>
              <w:bottom w:val="single" w:color="000000" w:sz="4" w:space="0"/>
              <w:right w:val="single" w:color="000000" w:sz="4" w:space="0"/>
            </w:tcBorders>
            <w:vAlign w:val="center"/>
          </w:tcPr>
          <w:p w14:paraId="4D83F676">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正面</w:t>
            </w:r>
          </w:p>
        </w:tc>
        <w:tc>
          <w:tcPr>
            <w:tcW w:w="4360" w:type="dxa"/>
            <w:tcBorders>
              <w:top w:val="single" w:color="000000" w:sz="4" w:space="0"/>
              <w:left w:val="single" w:color="000000" w:sz="4" w:space="0"/>
              <w:bottom w:val="single" w:color="000000" w:sz="4" w:space="0"/>
              <w:right w:val="single" w:color="000000" w:sz="4" w:space="0"/>
            </w:tcBorders>
            <w:vAlign w:val="center"/>
          </w:tcPr>
          <w:p w14:paraId="535DBCCE">
            <w:pPr>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背面</w:t>
            </w:r>
          </w:p>
        </w:tc>
      </w:tr>
    </w:tbl>
    <w:p w14:paraId="7AF42180">
      <w:pPr>
        <w:rPr>
          <w:rFonts w:hint="eastAsia" w:asciiTheme="minorEastAsia" w:hAnsiTheme="minorEastAsia" w:eastAsiaTheme="minorEastAsia" w:cstheme="minorEastAsia"/>
          <w:b/>
          <w:bCs/>
          <w:color w:val="auto"/>
          <w:sz w:val="24"/>
          <w:szCs w:val="32"/>
          <w:highlight w:val="none"/>
          <w:lang w:val="zh-CN" w:bidi="zh-CN"/>
        </w:rPr>
      </w:pPr>
      <w:bookmarkStart w:id="485" w:name="_Toc525836337"/>
      <w:bookmarkStart w:id="486" w:name="_Toc176358379"/>
      <w:r>
        <w:rPr>
          <w:rFonts w:hint="eastAsia" w:asciiTheme="minorEastAsia" w:hAnsiTheme="minorEastAsia" w:eastAsiaTheme="minorEastAsia" w:cstheme="minorEastAsia"/>
          <w:b/>
          <w:bCs/>
          <w:color w:val="auto"/>
          <w:sz w:val="24"/>
          <w:szCs w:val="32"/>
          <w:highlight w:val="none"/>
          <w:lang w:val="zh-CN" w:bidi="zh-CN"/>
        </w:rPr>
        <w:br w:type="page"/>
      </w:r>
    </w:p>
    <w:p w14:paraId="2150CE6D">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r>
        <w:rPr>
          <w:rFonts w:hint="eastAsia" w:asciiTheme="minorEastAsia" w:hAnsiTheme="minorEastAsia" w:eastAsiaTheme="minorEastAsia" w:cstheme="minorEastAsia"/>
          <w:b/>
          <w:bCs/>
          <w:color w:val="auto"/>
          <w:sz w:val="24"/>
          <w:szCs w:val="32"/>
          <w:highlight w:val="none"/>
          <w:lang w:val="en-US" w:bidi="zh-CN"/>
        </w:rPr>
        <w:t>五、</w:t>
      </w:r>
      <w:r>
        <w:rPr>
          <w:rFonts w:hint="eastAsia" w:asciiTheme="minorEastAsia" w:hAnsiTheme="minorEastAsia" w:eastAsiaTheme="minorEastAsia" w:cstheme="minorEastAsia"/>
          <w:b/>
          <w:bCs/>
          <w:color w:val="auto"/>
          <w:sz w:val="24"/>
          <w:szCs w:val="32"/>
          <w:highlight w:val="none"/>
          <w:lang w:val="zh-CN" w:bidi="zh-CN"/>
        </w:rPr>
        <w:t>投标承诺函</w:t>
      </w:r>
    </w:p>
    <w:p w14:paraId="0C104BA1">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u w:val="single"/>
        </w:rPr>
        <w:t xml:space="preserve">   （采购人名称）    </w:t>
      </w:r>
      <w:r>
        <w:rPr>
          <w:rFonts w:hint="eastAsia" w:asciiTheme="minorEastAsia" w:hAnsiTheme="minorEastAsia" w:eastAsiaTheme="minorEastAsia" w:cstheme="minorEastAsia"/>
          <w:color w:val="auto"/>
          <w:kern w:val="0"/>
          <w:sz w:val="24"/>
          <w:szCs w:val="24"/>
          <w:highlight w:val="none"/>
        </w:rPr>
        <w:t>：</w:t>
      </w:r>
    </w:p>
    <w:p w14:paraId="21DE8971">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我单位</w:t>
      </w:r>
      <w:r>
        <w:rPr>
          <w:rFonts w:hint="eastAsia" w:asciiTheme="minorEastAsia" w:hAnsiTheme="minorEastAsia" w:eastAsiaTheme="minorEastAsia" w:cstheme="minorEastAsia"/>
          <w:color w:val="auto"/>
          <w:kern w:val="0"/>
          <w:sz w:val="24"/>
          <w:szCs w:val="24"/>
          <w:highlight w:val="none"/>
          <w:u w:val="single"/>
        </w:rPr>
        <w:t xml:space="preserve">    （供应商名称）     </w:t>
      </w:r>
      <w:r>
        <w:rPr>
          <w:rFonts w:hint="eastAsia" w:asciiTheme="minorEastAsia" w:hAnsiTheme="minorEastAsia" w:eastAsiaTheme="minorEastAsia" w:cstheme="minorEastAsia"/>
          <w:color w:val="auto"/>
          <w:kern w:val="0"/>
          <w:sz w:val="24"/>
          <w:szCs w:val="24"/>
          <w:highlight w:val="none"/>
        </w:rPr>
        <w:t>在参加</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（项目名称），</w:t>
      </w:r>
      <w:r>
        <w:rPr>
          <w:rFonts w:hint="eastAsia" w:asciiTheme="minorEastAsia" w:hAnsiTheme="minorEastAsia" w:eastAsiaTheme="minorEastAsia" w:cstheme="minorEastAsia"/>
          <w:color w:val="auto"/>
          <w:kern w:val="0"/>
          <w:sz w:val="24"/>
          <w:szCs w:val="24"/>
          <w:highlight w:val="none"/>
          <w:u w:val="single"/>
        </w:rPr>
        <w:t xml:space="preserve">  （项目编号</w:t>
      </w:r>
      <w:r>
        <w:rPr>
          <w:rFonts w:hint="eastAsia" w:asciiTheme="minorEastAsia" w:hAnsiTheme="minorEastAsia" w:eastAsiaTheme="minorEastAsia" w:cstheme="minorEastAsia"/>
          <w:color w:val="auto"/>
          <w:kern w:val="0"/>
          <w:sz w:val="24"/>
          <w:szCs w:val="24"/>
          <w:highlight w:val="none"/>
          <w:u w:val="single"/>
          <w:lang w:eastAsia="zh-CN"/>
        </w:rPr>
        <w:t>、</w:t>
      </w:r>
      <w:r>
        <w:rPr>
          <w:rFonts w:hint="eastAsia" w:asciiTheme="minorEastAsia" w:hAnsiTheme="minorEastAsia" w:eastAsiaTheme="minorEastAsia" w:cstheme="minorEastAsia"/>
          <w:color w:val="auto"/>
          <w:kern w:val="0"/>
          <w:sz w:val="24"/>
          <w:szCs w:val="24"/>
          <w:highlight w:val="none"/>
          <w:u w:val="single"/>
          <w:lang w:val="en-US" w:eastAsia="zh-CN"/>
        </w:rPr>
        <w:t>包号</w:t>
      </w:r>
      <w:r>
        <w:rPr>
          <w:rFonts w:hint="eastAsia" w:asciiTheme="minorEastAsia" w:hAnsiTheme="minorEastAsia" w:eastAsiaTheme="minorEastAsia" w:cstheme="minorEastAsia"/>
          <w:color w:val="auto"/>
          <w:kern w:val="0"/>
          <w:sz w:val="24"/>
          <w:szCs w:val="24"/>
          <w:highlight w:val="none"/>
          <w:u w:val="single"/>
        </w:rPr>
        <w:t xml:space="preserve">）  </w:t>
      </w:r>
      <w:r>
        <w:rPr>
          <w:rFonts w:hint="eastAsia" w:asciiTheme="minorEastAsia" w:hAnsiTheme="minorEastAsia" w:eastAsiaTheme="minorEastAsia" w:cstheme="minorEastAsia"/>
          <w:color w:val="auto"/>
          <w:kern w:val="0"/>
          <w:sz w:val="24"/>
          <w:szCs w:val="24"/>
          <w:highlight w:val="none"/>
        </w:rPr>
        <w:t>，根据《中华人民共和国政府采购法》《河南省财政厅关于优化政府采购营商环境有关问题的通知》（豫财购〔2019〕4号）等相关规定、以及本项目招标（采购）文件的规定，现自愿做出如下承诺：</w:t>
      </w:r>
    </w:p>
    <w:p w14:paraId="323EA2B4">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（1）承诺严格遵守《中华人民共和国政府采购法》等相关法律法规规定；</w:t>
      </w:r>
    </w:p>
    <w:p w14:paraId="48661A89">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承诺在诚信库入库及参与政府采购活动中所提供的全部资料真实有效，如有虚假资料情况，将主动放弃中标权利，并承担由此给采购人造成的法律责任及经济损失。如有违反，采购人有权随时单方面提出解除合同，且不需做任何经济补偿、赔偿；</w:t>
      </w:r>
    </w:p>
    <w:p w14:paraId="380F2240">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（3）承诺如我方中标，保证严格按照采购文件、响应文件、附件等资料内容履行相关义务，保证质量符合贵单位的采购需求，否则，将承担相应法律责任并无条件接受退货且不需要任何经济补偿、赔偿。</w:t>
      </w:r>
    </w:p>
    <w:p w14:paraId="65201898">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我方有以下违法行为的，采购人有权取消我方中标资格，且我方自愿接受采购人按法律法规及采购文件规定给予的相应处罚：如由财政部门列入不良行为记录名单，禁止参加政府采购活动、承担相应法律责任等，并纳入统一的信用信息平台。</w:t>
      </w:r>
    </w:p>
    <w:p w14:paraId="50B5D9B8">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（1）在采购文件规定的采购有效期内未经采购人书面许可撤回响应文件的；</w:t>
      </w:r>
    </w:p>
    <w:p w14:paraId="6C84908D">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（2）中标后未在采购文件规定的时间内领取中标通知书或领取中标通知书后无正当理由拒不与采购人签订政府采购合同的；</w:t>
      </w:r>
    </w:p>
    <w:p w14:paraId="69DC68D8">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（3）在诚信库入库、参与投标过程中提供虚假材料、恶意串通、捏造事实或者以非法手段取得证明材料进行质疑、投诉的；</w:t>
      </w:r>
    </w:p>
    <w:p w14:paraId="25E8CD74">
      <w:pPr>
        <w:widowControl/>
        <w:snapToGrid w:val="0"/>
        <w:spacing w:line="360" w:lineRule="auto"/>
        <w:ind w:firstLine="480" w:firstLineChars="20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（4）违反法律法规及采购文件规定的其他情形。</w:t>
      </w:r>
    </w:p>
    <w:p w14:paraId="6CF49DA1">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413D829E">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3920F7BE">
      <w:pPr>
        <w:spacing w:line="360" w:lineRule="auto"/>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       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16905744">
      <w:pPr>
        <w:spacing w:line="360" w:lineRule="auto"/>
        <w:rPr>
          <w:rFonts w:hint="eastAsia" w:asciiTheme="minorEastAsia" w:hAnsiTheme="minorEastAsia" w:eastAsiaTheme="minorEastAsia" w:cstheme="minorEastAsia"/>
          <w:b/>
          <w:bCs/>
          <w:color w:val="auto"/>
          <w:sz w:val="24"/>
          <w:szCs w:val="24"/>
          <w:highlight w:val="none"/>
          <w:lang w:val="zh-CN" w:bidi="zh-CN"/>
        </w:rPr>
      </w:pPr>
      <w:r>
        <w:rPr>
          <w:rFonts w:hint="eastAsia" w:asciiTheme="minorEastAsia" w:hAnsiTheme="minorEastAsia" w:eastAsiaTheme="minorEastAsia" w:cstheme="minorEastAsia"/>
          <w:b/>
          <w:bCs/>
          <w:color w:val="auto"/>
          <w:sz w:val="24"/>
          <w:szCs w:val="24"/>
          <w:highlight w:val="none"/>
          <w:lang w:val="zh-CN" w:bidi="zh-CN"/>
        </w:rPr>
        <w:br w:type="page"/>
      </w:r>
    </w:p>
    <w:p w14:paraId="61FD1EDE">
      <w:pPr>
        <w:spacing w:line="517" w:lineRule="exact"/>
        <w:ind w:left="277" w:hanging="277" w:hangingChars="115"/>
        <w:jc w:val="center"/>
        <w:outlineLvl w:val="1"/>
        <w:rPr>
          <w:rFonts w:hint="eastAsia" w:asciiTheme="minorEastAsia" w:hAnsiTheme="minorEastAsia" w:eastAsiaTheme="minorEastAsia" w:cstheme="minorEastAsia"/>
          <w:b/>
          <w:bCs/>
          <w:color w:val="auto"/>
          <w:sz w:val="28"/>
          <w:szCs w:val="32"/>
          <w:highlight w:val="none"/>
          <w:lang w:val="zh-CN" w:bidi="zh-CN"/>
        </w:rPr>
      </w:pPr>
      <w:r>
        <w:rPr>
          <w:rFonts w:hint="eastAsia" w:asciiTheme="minorEastAsia" w:hAnsiTheme="minorEastAsia" w:eastAsiaTheme="minorEastAsia" w:cstheme="minorEastAsia"/>
          <w:b/>
          <w:bCs/>
          <w:color w:val="auto"/>
          <w:sz w:val="24"/>
          <w:szCs w:val="32"/>
          <w:highlight w:val="none"/>
          <w:lang w:bidi="zh-CN"/>
        </w:rPr>
        <w:t>六</w:t>
      </w:r>
      <w:r>
        <w:rPr>
          <w:rFonts w:hint="eastAsia" w:asciiTheme="minorEastAsia" w:hAnsiTheme="minorEastAsia" w:eastAsiaTheme="minorEastAsia" w:cstheme="minorEastAsia"/>
          <w:b/>
          <w:bCs/>
          <w:color w:val="auto"/>
          <w:sz w:val="28"/>
          <w:szCs w:val="32"/>
          <w:highlight w:val="none"/>
          <w:lang w:val="zh-CN" w:bidi="zh-CN"/>
        </w:rPr>
        <w:t>、商务</w:t>
      </w:r>
      <w:r>
        <w:rPr>
          <w:rFonts w:hint="eastAsia" w:asciiTheme="minorEastAsia" w:hAnsiTheme="minorEastAsia" w:eastAsiaTheme="minorEastAsia" w:cstheme="minorEastAsia"/>
          <w:b/>
          <w:bCs/>
          <w:color w:val="auto"/>
          <w:sz w:val="28"/>
          <w:szCs w:val="32"/>
          <w:highlight w:val="none"/>
          <w:lang w:val="en-US" w:bidi="zh-CN"/>
        </w:rPr>
        <w:t>和技术</w:t>
      </w:r>
      <w:r>
        <w:rPr>
          <w:rFonts w:hint="eastAsia" w:asciiTheme="minorEastAsia" w:hAnsiTheme="minorEastAsia" w:eastAsiaTheme="minorEastAsia" w:cstheme="minorEastAsia"/>
          <w:b/>
          <w:bCs/>
          <w:color w:val="auto"/>
          <w:sz w:val="28"/>
          <w:szCs w:val="32"/>
          <w:highlight w:val="none"/>
          <w:lang w:val="zh-CN" w:bidi="zh-CN"/>
        </w:rPr>
        <w:t>偏差表</w:t>
      </w:r>
      <w:bookmarkEnd w:id="485"/>
      <w:bookmarkEnd w:id="486"/>
      <w:bookmarkStart w:id="487" w:name="_Toc523783977"/>
      <w:bookmarkStart w:id="488" w:name="_Toc508873165"/>
      <w:bookmarkStart w:id="489" w:name="_Toc508113566"/>
      <w:bookmarkStart w:id="490" w:name="_Toc517338640"/>
      <w:bookmarkStart w:id="491" w:name="_Toc479341621"/>
    </w:p>
    <w:bookmarkEnd w:id="487"/>
    <w:bookmarkEnd w:id="488"/>
    <w:bookmarkEnd w:id="489"/>
    <w:bookmarkEnd w:id="490"/>
    <w:bookmarkEnd w:id="491"/>
    <w:p w14:paraId="63EA9183">
      <w:pPr>
        <w:keepNext/>
        <w:keepLines/>
        <w:spacing w:line="360" w:lineRule="auto"/>
        <w:outlineLvl w:val="2"/>
        <w:rPr>
          <w:rFonts w:hint="eastAsia" w:asciiTheme="minorEastAsia" w:hAnsiTheme="minorEastAsia" w:eastAsiaTheme="minorEastAsia" w:cstheme="minorEastAsia"/>
          <w:b/>
          <w:bCs/>
          <w:color w:val="auto"/>
          <w:sz w:val="24"/>
          <w:szCs w:val="24"/>
          <w:highlight w:val="none"/>
        </w:rPr>
      </w:pPr>
      <w:bookmarkStart w:id="492" w:name="_Toc301943533"/>
      <w:bookmarkStart w:id="493" w:name="_Toc479341623"/>
      <w:r>
        <w:rPr>
          <w:rFonts w:hint="eastAsia" w:asciiTheme="minorEastAsia" w:hAnsiTheme="minorEastAsia" w:eastAsiaTheme="minorEastAsia" w:cstheme="minorEastAsia"/>
          <w:b/>
          <w:bCs/>
          <w:color w:val="auto"/>
          <w:sz w:val="24"/>
          <w:szCs w:val="32"/>
          <w:highlight w:val="none"/>
          <w:lang w:bidi="zh-CN"/>
        </w:rPr>
        <w:t>6.1</w:t>
      </w:r>
      <w:r>
        <w:rPr>
          <w:rFonts w:hint="eastAsia" w:asciiTheme="minorEastAsia" w:hAnsiTheme="minorEastAsia" w:eastAsiaTheme="minorEastAsia" w:cstheme="minorEastAsia"/>
          <w:b/>
          <w:bCs/>
          <w:color w:val="auto"/>
          <w:sz w:val="24"/>
          <w:szCs w:val="32"/>
          <w:highlight w:val="none"/>
          <w:lang w:val="zh-CN" w:bidi="zh-CN"/>
        </w:rPr>
        <w:t>、</w:t>
      </w:r>
      <w:r>
        <w:rPr>
          <w:rFonts w:hint="eastAsia" w:asciiTheme="minorEastAsia" w:hAnsiTheme="minorEastAsia" w:eastAsiaTheme="minorEastAsia" w:cstheme="minorEastAsia"/>
          <w:b/>
          <w:bCs/>
          <w:color w:val="auto"/>
          <w:sz w:val="24"/>
          <w:szCs w:val="24"/>
          <w:highlight w:val="none"/>
          <w:lang w:val="en-US" w:eastAsia="zh-CN"/>
        </w:rPr>
        <w:t>商务</w:t>
      </w:r>
      <w:r>
        <w:rPr>
          <w:rFonts w:hint="eastAsia" w:asciiTheme="minorEastAsia" w:hAnsiTheme="minorEastAsia" w:eastAsiaTheme="minorEastAsia" w:cstheme="minorEastAsia"/>
          <w:b/>
          <w:bCs/>
          <w:color w:val="auto"/>
          <w:sz w:val="24"/>
          <w:szCs w:val="24"/>
          <w:highlight w:val="none"/>
        </w:rPr>
        <w:t>偏差表</w:t>
      </w:r>
    </w:p>
    <w:p w14:paraId="0595EA79">
      <w:pPr>
        <w:spacing w:line="517" w:lineRule="exact"/>
        <w:outlineLvl w:val="1"/>
        <w:rPr>
          <w:rFonts w:hint="eastAsia" w:asciiTheme="minorEastAsia" w:hAnsiTheme="minorEastAsia" w:eastAsiaTheme="minorEastAsia" w:cstheme="minorEastAsia"/>
          <w:color w:val="auto"/>
          <w:sz w:val="24"/>
          <w:szCs w:val="32"/>
          <w:highlight w:val="none"/>
          <w:lang w:val="zh-CN" w:bidi="zh-CN"/>
        </w:rPr>
      </w:pPr>
      <w:r>
        <w:rPr>
          <w:rFonts w:hint="eastAsia" w:asciiTheme="minorEastAsia" w:hAnsiTheme="minorEastAsia" w:eastAsiaTheme="minorEastAsia" w:cstheme="minorEastAsia"/>
          <w:color w:val="auto"/>
          <w:sz w:val="24"/>
          <w:szCs w:val="32"/>
          <w:highlight w:val="none"/>
          <w:lang w:val="zh-CN" w:bidi="zh-CN"/>
        </w:rPr>
        <w:t>项目编号、</w:t>
      </w:r>
      <w:r>
        <w:rPr>
          <w:rFonts w:hint="eastAsia" w:asciiTheme="minorEastAsia" w:hAnsiTheme="minorEastAsia" w:eastAsiaTheme="minorEastAsia" w:cstheme="minorEastAsia"/>
          <w:color w:val="auto"/>
          <w:sz w:val="24"/>
          <w:szCs w:val="32"/>
          <w:highlight w:val="none"/>
          <w:lang w:val="en-US" w:bidi="zh-CN"/>
        </w:rPr>
        <w:t>包号</w:t>
      </w:r>
      <w:r>
        <w:rPr>
          <w:rFonts w:hint="eastAsia" w:asciiTheme="minorEastAsia" w:hAnsiTheme="minorEastAsia" w:eastAsiaTheme="minorEastAsia" w:cstheme="minorEastAsia"/>
          <w:color w:val="auto"/>
          <w:sz w:val="24"/>
          <w:szCs w:val="32"/>
          <w:highlight w:val="none"/>
          <w:lang w:val="zh-CN" w:bidi="zh-CN"/>
        </w:rPr>
        <w:t>：</w:t>
      </w:r>
    </w:p>
    <w:p w14:paraId="29E28517">
      <w:pPr>
        <w:spacing w:line="517" w:lineRule="exact"/>
        <w:outlineLvl w:val="1"/>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32"/>
          <w:highlight w:val="none"/>
          <w:lang w:val="zh-CN" w:bidi="zh-CN"/>
        </w:rPr>
        <w:t>项目名称：</w:t>
      </w:r>
    </w:p>
    <w:tbl>
      <w:tblPr>
        <w:tblStyle w:val="19"/>
        <w:tblW w:w="0" w:type="auto"/>
        <w:jc w:val="center"/>
        <w:tblLayout w:type="fixed"/>
        <w:tblCellMar>
          <w:top w:w="0" w:type="dxa"/>
          <w:left w:w="108" w:type="dxa"/>
          <w:bottom w:w="0" w:type="dxa"/>
          <w:right w:w="108" w:type="dxa"/>
        </w:tblCellMar>
      </w:tblPr>
      <w:tblGrid>
        <w:gridCol w:w="1055"/>
        <w:gridCol w:w="2463"/>
        <w:gridCol w:w="2570"/>
        <w:gridCol w:w="1630"/>
      </w:tblGrid>
      <w:tr w14:paraId="73A645B7">
        <w:tblPrEx>
          <w:tblCellMar>
            <w:top w:w="0" w:type="dxa"/>
            <w:left w:w="108" w:type="dxa"/>
            <w:bottom w:w="0" w:type="dxa"/>
            <w:right w:w="108" w:type="dxa"/>
          </w:tblCellMar>
        </w:tblPrEx>
        <w:trPr>
          <w:trHeight w:val="1914" w:hRule="atLeast"/>
          <w:jc w:val="center"/>
        </w:trPr>
        <w:tc>
          <w:tcPr>
            <w:tcW w:w="1055" w:type="dxa"/>
            <w:tcBorders>
              <w:top w:val="single" w:color="auto" w:sz="4" w:space="0"/>
              <w:left w:val="single" w:color="auto" w:sz="4" w:space="0"/>
              <w:bottom w:val="single" w:color="auto" w:sz="4" w:space="0"/>
              <w:right w:val="single" w:color="auto" w:sz="4" w:space="0"/>
            </w:tcBorders>
          </w:tcPr>
          <w:p w14:paraId="19A17CF3">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2463" w:type="dxa"/>
            <w:tcBorders>
              <w:top w:val="single" w:color="auto" w:sz="4" w:space="0"/>
              <w:left w:val="nil"/>
              <w:bottom w:val="single" w:color="auto" w:sz="4" w:space="0"/>
              <w:right w:val="single" w:color="auto" w:sz="4" w:space="0"/>
            </w:tcBorders>
          </w:tcPr>
          <w:p w14:paraId="1BB27A76">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w:t>
            </w:r>
            <w:r>
              <w:rPr>
                <w:rFonts w:hint="eastAsia" w:asciiTheme="minorEastAsia" w:hAnsiTheme="minorEastAsia" w:eastAsiaTheme="minorEastAsia" w:cstheme="minorEastAsia"/>
                <w:color w:val="auto"/>
                <w:highlight w:val="none"/>
                <w:lang w:val="en-US" w:eastAsia="zh-CN"/>
              </w:rPr>
              <w:t>文件商务</w:t>
            </w:r>
            <w:r>
              <w:rPr>
                <w:rFonts w:hint="eastAsia" w:asciiTheme="minorEastAsia" w:hAnsiTheme="minorEastAsia" w:eastAsiaTheme="minorEastAsia" w:cstheme="minorEastAsia"/>
                <w:color w:val="auto"/>
                <w:highlight w:val="none"/>
              </w:rPr>
              <w:t>要求</w:t>
            </w:r>
          </w:p>
        </w:tc>
        <w:tc>
          <w:tcPr>
            <w:tcW w:w="2570" w:type="dxa"/>
            <w:tcBorders>
              <w:top w:val="single" w:color="auto" w:sz="4" w:space="0"/>
              <w:left w:val="nil"/>
              <w:bottom w:val="single" w:color="auto" w:sz="4" w:space="0"/>
              <w:right w:val="single" w:color="auto" w:sz="4" w:space="0"/>
            </w:tcBorders>
          </w:tcPr>
          <w:p w14:paraId="784EF9D9">
            <w:pPr>
              <w:spacing w:line="480" w:lineRule="exact"/>
              <w:jc w:val="center"/>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投标文件响应内容</w:t>
            </w:r>
          </w:p>
        </w:tc>
        <w:tc>
          <w:tcPr>
            <w:tcW w:w="1630" w:type="dxa"/>
            <w:tcBorders>
              <w:top w:val="single" w:color="auto" w:sz="4" w:space="0"/>
              <w:left w:val="nil"/>
              <w:bottom w:val="single" w:color="auto" w:sz="4" w:space="0"/>
              <w:right w:val="single" w:color="auto" w:sz="4" w:space="0"/>
            </w:tcBorders>
          </w:tcPr>
          <w:p w14:paraId="4118C186">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偏离说明</w:t>
            </w:r>
          </w:p>
          <w:p w14:paraId="486AA910">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（正偏离/无偏离/负偏离）</w:t>
            </w:r>
          </w:p>
        </w:tc>
      </w:tr>
      <w:tr w14:paraId="2A3C02A0">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570D6F8C">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522F10AD">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01456B6C">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6A647415">
            <w:pPr>
              <w:spacing w:line="480" w:lineRule="exact"/>
              <w:rPr>
                <w:rFonts w:hint="eastAsia" w:asciiTheme="minorEastAsia" w:hAnsiTheme="minorEastAsia" w:eastAsiaTheme="minorEastAsia" w:cstheme="minorEastAsia"/>
                <w:color w:val="auto"/>
                <w:sz w:val="24"/>
                <w:szCs w:val="24"/>
                <w:highlight w:val="none"/>
              </w:rPr>
            </w:pPr>
          </w:p>
        </w:tc>
      </w:tr>
      <w:tr w14:paraId="543C25F8">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2E4A283F">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72B968A4">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14165DD4">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3D5FE9DB">
            <w:pPr>
              <w:spacing w:line="480" w:lineRule="exact"/>
              <w:rPr>
                <w:rFonts w:hint="eastAsia" w:asciiTheme="minorEastAsia" w:hAnsiTheme="minorEastAsia" w:eastAsiaTheme="minorEastAsia" w:cstheme="minorEastAsia"/>
                <w:color w:val="auto"/>
                <w:sz w:val="24"/>
                <w:szCs w:val="24"/>
                <w:highlight w:val="none"/>
              </w:rPr>
            </w:pPr>
          </w:p>
        </w:tc>
      </w:tr>
      <w:tr w14:paraId="38BC7E27">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2307714C">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427FBD0A">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6E46CD01">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0F2DADE5">
            <w:pPr>
              <w:spacing w:line="480" w:lineRule="exact"/>
              <w:rPr>
                <w:rFonts w:hint="eastAsia" w:asciiTheme="minorEastAsia" w:hAnsiTheme="minorEastAsia" w:eastAsiaTheme="minorEastAsia" w:cstheme="minorEastAsia"/>
                <w:color w:val="auto"/>
                <w:sz w:val="24"/>
                <w:szCs w:val="24"/>
                <w:highlight w:val="none"/>
              </w:rPr>
            </w:pPr>
          </w:p>
        </w:tc>
      </w:tr>
      <w:tr w14:paraId="5FAE1428">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4C74CC27">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7E0B2CC5">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0F2B057D">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3AC95501">
            <w:pPr>
              <w:spacing w:line="480" w:lineRule="exact"/>
              <w:rPr>
                <w:rFonts w:hint="eastAsia" w:asciiTheme="minorEastAsia" w:hAnsiTheme="minorEastAsia" w:eastAsiaTheme="minorEastAsia" w:cstheme="minorEastAsia"/>
                <w:color w:val="auto"/>
                <w:sz w:val="24"/>
                <w:szCs w:val="24"/>
                <w:highlight w:val="none"/>
              </w:rPr>
            </w:pPr>
          </w:p>
        </w:tc>
      </w:tr>
      <w:tr w14:paraId="7E84BA0A">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3ECF1724">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589B3B24">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3076203E">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059BC6A1">
            <w:pPr>
              <w:spacing w:line="480" w:lineRule="exact"/>
              <w:rPr>
                <w:rFonts w:hint="eastAsia" w:asciiTheme="minorEastAsia" w:hAnsiTheme="minorEastAsia" w:eastAsiaTheme="minorEastAsia" w:cstheme="minorEastAsia"/>
                <w:color w:val="auto"/>
                <w:sz w:val="24"/>
                <w:szCs w:val="24"/>
                <w:highlight w:val="none"/>
              </w:rPr>
            </w:pPr>
          </w:p>
        </w:tc>
      </w:tr>
      <w:tr w14:paraId="6084CE3E">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67E82117">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356469BD">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0A4526FB">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6E6EC880">
            <w:pPr>
              <w:spacing w:line="480" w:lineRule="exact"/>
              <w:rPr>
                <w:rFonts w:hint="eastAsia" w:asciiTheme="minorEastAsia" w:hAnsiTheme="minorEastAsia" w:eastAsiaTheme="minorEastAsia" w:cstheme="minorEastAsia"/>
                <w:color w:val="auto"/>
                <w:sz w:val="24"/>
                <w:szCs w:val="24"/>
                <w:highlight w:val="none"/>
              </w:rPr>
            </w:pPr>
          </w:p>
        </w:tc>
      </w:tr>
      <w:tr w14:paraId="61C432F9">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1B0211E1">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5B3B71D2">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0E22B391">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7B175C34">
            <w:pPr>
              <w:spacing w:line="480" w:lineRule="exact"/>
              <w:rPr>
                <w:rFonts w:hint="eastAsia" w:asciiTheme="minorEastAsia" w:hAnsiTheme="minorEastAsia" w:eastAsiaTheme="minorEastAsia" w:cstheme="minorEastAsia"/>
                <w:color w:val="auto"/>
                <w:sz w:val="24"/>
                <w:szCs w:val="24"/>
                <w:highlight w:val="none"/>
              </w:rPr>
            </w:pPr>
          </w:p>
        </w:tc>
      </w:tr>
      <w:tr w14:paraId="356E42E2">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54542FE6">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0810EE51">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69D3B5ED">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63EB319C">
            <w:pPr>
              <w:spacing w:line="480" w:lineRule="exact"/>
              <w:rPr>
                <w:rFonts w:hint="eastAsia" w:asciiTheme="minorEastAsia" w:hAnsiTheme="minorEastAsia" w:eastAsiaTheme="minorEastAsia" w:cstheme="minorEastAsia"/>
                <w:color w:val="auto"/>
                <w:sz w:val="24"/>
                <w:szCs w:val="24"/>
                <w:highlight w:val="none"/>
              </w:rPr>
            </w:pPr>
          </w:p>
        </w:tc>
      </w:tr>
      <w:tr w14:paraId="6830C9B4">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7B79DA36">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22D09408">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6EB95E0E">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11FF5CDF">
            <w:pPr>
              <w:spacing w:line="480" w:lineRule="exact"/>
              <w:rPr>
                <w:rFonts w:hint="eastAsia" w:asciiTheme="minorEastAsia" w:hAnsiTheme="minorEastAsia" w:eastAsiaTheme="minorEastAsia" w:cstheme="minorEastAsia"/>
                <w:color w:val="auto"/>
                <w:sz w:val="24"/>
                <w:szCs w:val="24"/>
                <w:highlight w:val="none"/>
              </w:rPr>
            </w:pPr>
          </w:p>
        </w:tc>
      </w:tr>
      <w:tr w14:paraId="423023FC">
        <w:tblPrEx>
          <w:tblCellMar>
            <w:top w:w="0" w:type="dxa"/>
            <w:left w:w="108" w:type="dxa"/>
            <w:bottom w:w="0" w:type="dxa"/>
            <w:right w:w="108" w:type="dxa"/>
          </w:tblCellMar>
        </w:tblPrEx>
        <w:trPr>
          <w:trHeight w:val="486" w:hRule="atLeast"/>
          <w:jc w:val="center"/>
        </w:trPr>
        <w:tc>
          <w:tcPr>
            <w:tcW w:w="1055" w:type="dxa"/>
            <w:tcBorders>
              <w:top w:val="single" w:color="auto" w:sz="4" w:space="0"/>
              <w:left w:val="single" w:color="auto" w:sz="4" w:space="0"/>
              <w:bottom w:val="single" w:color="auto" w:sz="4" w:space="0"/>
              <w:right w:val="single" w:color="auto" w:sz="4" w:space="0"/>
            </w:tcBorders>
          </w:tcPr>
          <w:p w14:paraId="2A3F59BA">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2C9CF7E6">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039BE1BC">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3F51D8F0">
            <w:pPr>
              <w:spacing w:line="480" w:lineRule="exact"/>
              <w:rPr>
                <w:rFonts w:hint="eastAsia" w:asciiTheme="minorEastAsia" w:hAnsiTheme="minorEastAsia" w:eastAsiaTheme="minorEastAsia" w:cstheme="minorEastAsia"/>
                <w:color w:val="auto"/>
                <w:sz w:val="24"/>
                <w:szCs w:val="24"/>
                <w:highlight w:val="none"/>
              </w:rPr>
            </w:pPr>
          </w:p>
        </w:tc>
      </w:tr>
      <w:tr w14:paraId="5D792E52">
        <w:tblPrEx>
          <w:tblCellMar>
            <w:top w:w="0" w:type="dxa"/>
            <w:left w:w="108" w:type="dxa"/>
            <w:bottom w:w="0" w:type="dxa"/>
            <w:right w:w="108" w:type="dxa"/>
          </w:tblCellMar>
        </w:tblPrEx>
        <w:trPr>
          <w:trHeight w:val="496" w:hRule="atLeast"/>
          <w:jc w:val="center"/>
        </w:trPr>
        <w:tc>
          <w:tcPr>
            <w:tcW w:w="1055" w:type="dxa"/>
            <w:tcBorders>
              <w:top w:val="single" w:color="auto" w:sz="4" w:space="0"/>
              <w:left w:val="single" w:color="auto" w:sz="4" w:space="0"/>
              <w:bottom w:val="single" w:color="auto" w:sz="4" w:space="0"/>
              <w:right w:val="single" w:color="auto" w:sz="4" w:space="0"/>
            </w:tcBorders>
          </w:tcPr>
          <w:p w14:paraId="36914037">
            <w:pPr>
              <w:spacing w:line="480" w:lineRule="exact"/>
              <w:rPr>
                <w:rFonts w:hint="eastAsia" w:asciiTheme="minorEastAsia" w:hAnsiTheme="minorEastAsia" w:eastAsiaTheme="minorEastAsia" w:cstheme="minorEastAsia"/>
                <w:color w:val="auto"/>
                <w:sz w:val="24"/>
                <w:szCs w:val="24"/>
                <w:highlight w:val="none"/>
              </w:rPr>
            </w:pPr>
          </w:p>
        </w:tc>
        <w:tc>
          <w:tcPr>
            <w:tcW w:w="2463" w:type="dxa"/>
            <w:tcBorders>
              <w:top w:val="single" w:color="auto" w:sz="4" w:space="0"/>
              <w:left w:val="nil"/>
              <w:bottom w:val="single" w:color="auto" w:sz="4" w:space="0"/>
              <w:right w:val="single" w:color="auto" w:sz="4" w:space="0"/>
            </w:tcBorders>
          </w:tcPr>
          <w:p w14:paraId="16CEC302">
            <w:pPr>
              <w:spacing w:line="480" w:lineRule="exact"/>
              <w:rPr>
                <w:rFonts w:hint="eastAsia" w:asciiTheme="minorEastAsia" w:hAnsiTheme="minorEastAsia" w:eastAsiaTheme="minorEastAsia" w:cstheme="minorEastAsia"/>
                <w:color w:val="auto"/>
                <w:sz w:val="24"/>
                <w:szCs w:val="24"/>
                <w:highlight w:val="none"/>
              </w:rPr>
            </w:pPr>
          </w:p>
        </w:tc>
        <w:tc>
          <w:tcPr>
            <w:tcW w:w="2570" w:type="dxa"/>
            <w:tcBorders>
              <w:top w:val="single" w:color="auto" w:sz="4" w:space="0"/>
              <w:left w:val="nil"/>
              <w:bottom w:val="single" w:color="auto" w:sz="4" w:space="0"/>
              <w:right w:val="single" w:color="auto" w:sz="4" w:space="0"/>
            </w:tcBorders>
          </w:tcPr>
          <w:p w14:paraId="3EADF9D9">
            <w:pPr>
              <w:spacing w:line="480" w:lineRule="exact"/>
              <w:rPr>
                <w:rFonts w:hint="eastAsia" w:asciiTheme="minorEastAsia" w:hAnsiTheme="minorEastAsia" w:eastAsiaTheme="minorEastAsia" w:cstheme="minorEastAsia"/>
                <w:color w:val="auto"/>
                <w:sz w:val="24"/>
                <w:szCs w:val="24"/>
                <w:highlight w:val="none"/>
              </w:rPr>
            </w:pPr>
          </w:p>
        </w:tc>
        <w:tc>
          <w:tcPr>
            <w:tcW w:w="1630" w:type="dxa"/>
            <w:tcBorders>
              <w:top w:val="single" w:color="auto" w:sz="4" w:space="0"/>
              <w:left w:val="nil"/>
              <w:bottom w:val="single" w:color="auto" w:sz="4" w:space="0"/>
              <w:right w:val="single" w:color="auto" w:sz="4" w:space="0"/>
            </w:tcBorders>
          </w:tcPr>
          <w:p w14:paraId="36B054DC">
            <w:pPr>
              <w:spacing w:line="480" w:lineRule="exact"/>
              <w:rPr>
                <w:rFonts w:hint="eastAsia" w:asciiTheme="minorEastAsia" w:hAnsiTheme="minorEastAsia" w:eastAsiaTheme="minorEastAsia" w:cstheme="minorEastAsia"/>
                <w:color w:val="auto"/>
                <w:sz w:val="24"/>
                <w:szCs w:val="24"/>
                <w:highlight w:val="none"/>
              </w:rPr>
            </w:pPr>
          </w:p>
        </w:tc>
      </w:tr>
    </w:tbl>
    <w:p w14:paraId="60889E6E">
      <w:pPr>
        <w:autoSpaceDE w:val="0"/>
        <w:autoSpaceDN w:val="0"/>
        <w:adjustRightInd w:val="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此表格若不够用，可根据实际自行扩展表格。</w:t>
      </w:r>
    </w:p>
    <w:p w14:paraId="38CC719D">
      <w:pPr>
        <w:spacing w:line="4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注：除商务偏差表列出的偏差外，供应商响应招标文件的全部要求。</w:t>
      </w:r>
    </w:p>
    <w:p w14:paraId="5F2C8324">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7AD051EB">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56D9E43E">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       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42E689AE">
      <w:pPr>
        <w:spacing w:line="460" w:lineRule="exact"/>
        <w:ind w:firstLine="3400" w:firstLineChars="1417"/>
        <w:rPr>
          <w:rFonts w:hint="eastAsia" w:asciiTheme="minorEastAsia" w:hAnsiTheme="minorEastAsia" w:eastAsiaTheme="minorEastAsia" w:cstheme="minorEastAsia"/>
          <w:color w:val="auto"/>
          <w:sz w:val="24"/>
          <w:szCs w:val="24"/>
          <w:highlight w:val="none"/>
          <w:shd w:val="clear" w:color="auto" w:fill="FFFFFF"/>
          <w:lang w:bidi="ar"/>
        </w:rPr>
      </w:pPr>
    </w:p>
    <w:p w14:paraId="16F474DB">
      <w:pPr>
        <w:rPr>
          <w:rFonts w:hint="eastAsia" w:asciiTheme="minorEastAsia" w:hAnsiTheme="minorEastAsia" w:eastAsiaTheme="minorEastAsia" w:cstheme="minorEastAsia"/>
          <w:b/>
          <w:bCs/>
          <w:color w:val="auto"/>
          <w:sz w:val="24"/>
          <w:szCs w:val="24"/>
          <w:highlight w:val="none"/>
        </w:rPr>
      </w:pPr>
      <w:bookmarkStart w:id="494" w:name="_Toc517338641"/>
      <w:bookmarkStart w:id="495" w:name="_Toc479341622"/>
      <w:bookmarkStart w:id="496" w:name="_Toc176358380"/>
      <w:bookmarkStart w:id="497" w:name="_Toc151210172"/>
      <w:bookmarkStart w:id="498" w:name="_Toc508113567"/>
      <w:r>
        <w:rPr>
          <w:rFonts w:hint="eastAsia" w:asciiTheme="minorEastAsia" w:hAnsiTheme="minorEastAsia" w:eastAsiaTheme="minorEastAsia" w:cstheme="minorEastAsia"/>
          <w:b/>
          <w:bCs/>
          <w:color w:val="auto"/>
          <w:sz w:val="24"/>
          <w:szCs w:val="24"/>
          <w:highlight w:val="none"/>
        </w:rPr>
        <w:br w:type="page"/>
      </w:r>
    </w:p>
    <w:p w14:paraId="5E3621AB">
      <w:pPr>
        <w:keepNext/>
        <w:keepLines/>
        <w:spacing w:line="360" w:lineRule="auto"/>
        <w:outlineLvl w:val="2"/>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6.2技术偏差表</w:t>
      </w:r>
      <w:bookmarkEnd w:id="494"/>
      <w:bookmarkEnd w:id="495"/>
      <w:bookmarkEnd w:id="496"/>
      <w:bookmarkEnd w:id="497"/>
      <w:bookmarkEnd w:id="498"/>
    </w:p>
    <w:p w14:paraId="717153E6">
      <w:pPr>
        <w:spacing w:line="517" w:lineRule="exact"/>
        <w:outlineLvl w:val="1"/>
        <w:rPr>
          <w:rFonts w:hint="eastAsia" w:asciiTheme="minorEastAsia" w:hAnsiTheme="minorEastAsia" w:eastAsiaTheme="minorEastAsia" w:cstheme="minorEastAsia"/>
          <w:color w:val="auto"/>
          <w:sz w:val="24"/>
          <w:szCs w:val="32"/>
          <w:highlight w:val="none"/>
          <w:lang w:val="zh-CN" w:bidi="zh-CN"/>
        </w:rPr>
      </w:pPr>
      <w:r>
        <w:rPr>
          <w:rFonts w:hint="eastAsia" w:asciiTheme="minorEastAsia" w:hAnsiTheme="minorEastAsia" w:eastAsiaTheme="minorEastAsia" w:cstheme="minorEastAsia"/>
          <w:color w:val="auto"/>
          <w:sz w:val="24"/>
          <w:szCs w:val="32"/>
          <w:highlight w:val="none"/>
          <w:lang w:val="zh-CN" w:bidi="zh-CN"/>
        </w:rPr>
        <w:t>项目编号、</w:t>
      </w:r>
      <w:r>
        <w:rPr>
          <w:rFonts w:hint="eastAsia" w:asciiTheme="minorEastAsia" w:hAnsiTheme="minorEastAsia" w:eastAsiaTheme="minorEastAsia" w:cstheme="minorEastAsia"/>
          <w:color w:val="auto"/>
          <w:sz w:val="24"/>
          <w:szCs w:val="32"/>
          <w:highlight w:val="none"/>
          <w:lang w:val="en-US" w:bidi="zh-CN"/>
        </w:rPr>
        <w:t>包号</w:t>
      </w:r>
      <w:r>
        <w:rPr>
          <w:rFonts w:hint="eastAsia" w:asciiTheme="minorEastAsia" w:hAnsiTheme="minorEastAsia" w:eastAsiaTheme="minorEastAsia" w:cstheme="minorEastAsia"/>
          <w:color w:val="auto"/>
          <w:sz w:val="24"/>
          <w:szCs w:val="32"/>
          <w:highlight w:val="none"/>
          <w:lang w:val="zh-CN" w:bidi="zh-CN"/>
        </w:rPr>
        <w:t>：</w:t>
      </w:r>
    </w:p>
    <w:p w14:paraId="5390870E">
      <w:pPr>
        <w:spacing w:line="517" w:lineRule="exact"/>
        <w:outlineLvl w:val="1"/>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32"/>
          <w:highlight w:val="none"/>
          <w:lang w:val="zh-CN" w:bidi="zh-CN"/>
        </w:rPr>
        <w:t>项目名称：</w:t>
      </w:r>
    </w:p>
    <w:tbl>
      <w:tblPr>
        <w:tblStyle w:val="19"/>
        <w:tblW w:w="0" w:type="auto"/>
        <w:jc w:val="center"/>
        <w:tblLayout w:type="fixed"/>
        <w:tblCellMar>
          <w:top w:w="0" w:type="dxa"/>
          <w:left w:w="108" w:type="dxa"/>
          <w:bottom w:w="0" w:type="dxa"/>
          <w:right w:w="108" w:type="dxa"/>
        </w:tblCellMar>
      </w:tblPr>
      <w:tblGrid>
        <w:gridCol w:w="810"/>
        <w:gridCol w:w="1281"/>
        <w:gridCol w:w="2077"/>
        <w:gridCol w:w="1890"/>
        <w:gridCol w:w="1972"/>
        <w:gridCol w:w="1251"/>
      </w:tblGrid>
      <w:tr w14:paraId="5843CCA8">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7DBA2CB5">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1281" w:type="dxa"/>
            <w:tcBorders>
              <w:top w:val="single" w:color="auto" w:sz="4" w:space="0"/>
              <w:left w:val="nil"/>
              <w:bottom w:val="single" w:color="auto" w:sz="4" w:space="0"/>
              <w:right w:val="single" w:color="auto" w:sz="4" w:space="0"/>
            </w:tcBorders>
          </w:tcPr>
          <w:p w14:paraId="5DC95366">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产品名称</w:t>
            </w:r>
          </w:p>
        </w:tc>
        <w:tc>
          <w:tcPr>
            <w:tcW w:w="2077" w:type="dxa"/>
            <w:tcBorders>
              <w:top w:val="single" w:color="auto" w:sz="4" w:space="0"/>
              <w:left w:val="nil"/>
              <w:bottom w:val="single" w:color="auto" w:sz="4" w:space="0"/>
              <w:right w:val="single" w:color="auto" w:sz="4" w:space="0"/>
            </w:tcBorders>
          </w:tcPr>
          <w:p w14:paraId="15B021EB">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投标品牌和型号</w:t>
            </w:r>
          </w:p>
        </w:tc>
        <w:tc>
          <w:tcPr>
            <w:tcW w:w="1890" w:type="dxa"/>
            <w:tcBorders>
              <w:top w:val="single" w:color="auto" w:sz="4" w:space="0"/>
              <w:left w:val="nil"/>
              <w:bottom w:val="single" w:color="auto" w:sz="4" w:space="0"/>
              <w:right w:val="single" w:color="auto" w:sz="4" w:space="0"/>
            </w:tcBorders>
          </w:tcPr>
          <w:p w14:paraId="2A8D3E65">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招标技术参数要求</w:t>
            </w:r>
          </w:p>
        </w:tc>
        <w:tc>
          <w:tcPr>
            <w:tcW w:w="1972" w:type="dxa"/>
            <w:tcBorders>
              <w:top w:val="single" w:color="auto" w:sz="4" w:space="0"/>
              <w:left w:val="nil"/>
              <w:bottom w:val="single" w:color="auto" w:sz="4" w:space="0"/>
              <w:right w:val="single" w:color="auto" w:sz="4" w:space="0"/>
            </w:tcBorders>
          </w:tcPr>
          <w:p w14:paraId="3D9DFB53">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投标产品技术参数</w:t>
            </w:r>
          </w:p>
        </w:tc>
        <w:tc>
          <w:tcPr>
            <w:tcW w:w="1251" w:type="dxa"/>
            <w:tcBorders>
              <w:top w:val="single" w:color="auto" w:sz="4" w:space="0"/>
              <w:left w:val="nil"/>
              <w:bottom w:val="single" w:color="auto" w:sz="4" w:space="0"/>
              <w:right w:val="single" w:color="auto" w:sz="4" w:space="0"/>
            </w:tcBorders>
          </w:tcPr>
          <w:p w14:paraId="7477D330">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偏离说明</w:t>
            </w:r>
          </w:p>
          <w:p w14:paraId="7C55088B">
            <w:pPr>
              <w:spacing w:line="480" w:lineRule="exact"/>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（正偏离/无偏离/负偏离）</w:t>
            </w:r>
          </w:p>
        </w:tc>
      </w:tr>
      <w:tr w14:paraId="52432D08">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2B411425">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25004929">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76A99E06">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7D24CE52">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5EFDAD01">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51D61E09">
            <w:pPr>
              <w:spacing w:line="480" w:lineRule="exact"/>
              <w:rPr>
                <w:rFonts w:hint="eastAsia" w:asciiTheme="minorEastAsia" w:hAnsiTheme="minorEastAsia" w:eastAsiaTheme="minorEastAsia" w:cstheme="minorEastAsia"/>
                <w:color w:val="auto"/>
                <w:sz w:val="24"/>
                <w:szCs w:val="24"/>
                <w:highlight w:val="none"/>
              </w:rPr>
            </w:pPr>
          </w:p>
        </w:tc>
      </w:tr>
      <w:tr w14:paraId="16FB24A3">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5C6CF9CC">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157D670C">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333CB1F3">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14234B21">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1B49996E">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147227AC">
            <w:pPr>
              <w:spacing w:line="480" w:lineRule="exact"/>
              <w:rPr>
                <w:rFonts w:hint="eastAsia" w:asciiTheme="minorEastAsia" w:hAnsiTheme="minorEastAsia" w:eastAsiaTheme="minorEastAsia" w:cstheme="minorEastAsia"/>
                <w:color w:val="auto"/>
                <w:sz w:val="24"/>
                <w:szCs w:val="24"/>
                <w:highlight w:val="none"/>
              </w:rPr>
            </w:pPr>
          </w:p>
        </w:tc>
      </w:tr>
      <w:tr w14:paraId="670DDCF7">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09158EAC">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04FC0B84">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468BE41F">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4E768CFE">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2F69599B">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28E91449">
            <w:pPr>
              <w:spacing w:line="480" w:lineRule="exact"/>
              <w:rPr>
                <w:rFonts w:hint="eastAsia" w:asciiTheme="minorEastAsia" w:hAnsiTheme="minorEastAsia" w:eastAsiaTheme="minorEastAsia" w:cstheme="minorEastAsia"/>
                <w:color w:val="auto"/>
                <w:sz w:val="24"/>
                <w:szCs w:val="24"/>
                <w:highlight w:val="none"/>
              </w:rPr>
            </w:pPr>
          </w:p>
        </w:tc>
      </w:tr>
      <w:tr w14:paraId="13B1AEDB">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72D1088D">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6BB500CD">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57E306F8">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4753200C">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4027B4F4">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6E627223">
            <w:pPr>
              <w:spacing w:line="480" w:lineRule="exact"/>
              <w:rPr>
                <w:rFonts w:hint="eastAsia" w:asciiTheme="minorEastAsia" w:hAnsiTheme="minorEastAsia" w:eastAsiaTheme="minorEastAsia" w:cstheme="minorEastAsia"/>
                <w:color w:val="auto"/>
                <w:sz w:val="24"/>
                <w:szCs w:val="24"/>
                <w:highlight w:val="none"/>
              </w:rPr>
            </w:pPr>
          </w:p>
        </w:tc>
      </w:tr>
      <w:tr w14:paraId="41EC415D">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68FE2625">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7624750B">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66351F4B">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5CD969CE">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7D305D78">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210E47C3">
            <w:pPr>
              <w:spacing w:line="480" w:lineRule="exact"/>
              <w:rPr>
                <w:rFonts w:hint="eastAsia" w:asciiTheme="minorEastAsia" w:hAnsiTheme="minorEastAsia" w:eastAsiaTheme="minorEastAsia" w:cstheme="minorEastAsia"/>
                <w:color w:val="auto"/>
                <w:sz w:val="24"/>
                <w:szCs w:val="24"/>
                <w:highlight w:val="none"/>
              </w:rPr>
            </w:pPr>
          </w:p>
        </w:tc>
      </w:tr>
      <w:tr w14:paraId="1A4A896B">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7B00C12F">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69F91019">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6E760271">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7683A437">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563F2D24">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009265B0">
            <w:pPr>
              <w:spacing w:line="480" w:lineRule="exact"/>
              <w:rPr>
                <w:rFonts w:hint="eastAsia" w:asciiTheme="minorEastAsia" w:hAnsiTheme="minorEastAsia" w:eastAsiaTheme="minorEastAsia" w:cstheme="minorEastAsia"/>
                <w:color w:val="auto"/>
                <w:sz w:val="24"/>
                <w:szCs w:val="24"/>
                <w:highlight w:val="none"/>
              </w:rPr>
            </w:pPr>
          </w:p>
        </w:tc>
      </w:tr>
      <w:tr w14:paraId="4DAB8F3A">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58D9D15B">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4B9C36D8">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69BFE129">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57FE521E">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790881D0">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792B4121">
            <w:pPr>
              <w:spacing w:line="480" w:lineRule="exact"/>
              <w:rPr>
                <w:rFonts w:hint="eastAsia" w:asciiTheme="minorEastAsia" w:hAnsiTheme="minorEastAsia" w:eastAsiaTheme="minorEastAsia" w:cstheme="minorEastAsia"/>
                <w:color w:val="auto"/>
                <w:sz w:val="24"/>
                <w:szCs w:val="24"/>
                <w:highlight w:val="none"/>
              </w:rPr>
            </w:pPr>
          </w:p>
        </w:tc>
      </w:tr>
      <w:tr w14:paraId="605DD229">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53041572">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51DE8F1C">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196C2797">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530E0749">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3FFB4290">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6FC83948">
            <w:pPr>
              <w:spacing w:line="480" w:lineRule="exact"/>
              <w:rPr>
                <w:rFonts w:hint="eastAsia" w:asciiTheme="minorEastAsia" w:hAnsiTheme="minorEastAsia" w:eastAsiaTheme="minorEastAsia" w:cstheme="minorEastAsia"/>
                <w:color w:val="auto"/>
                <w:sz w:val="24"/>
                <w:szCs w:val="24"/>
                <w:highlight w:val="none"/>
              </w:rPr>
            </w:pPr>
          </w:p>
        </w:tc>
      </w:tr>
      <w:tr w14:paraId="1D0733FD">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3105E668">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64586E44">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5EF94BDE">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1D2B7D01">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002AD89A">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040ECAC9">
            <w:pPr>
              <w:spacing w:line="480" w:lineRule="exact"/>
              <w:rPr>
                <w:rFonts w:hint="eastAsia" w:asciiTheme="minorEastAsia" w:hAnsiTheme="minorEastAsia" w:eastAsiaTheme="minorEastAsia" w:cstheme="minorEastAsia"/>
                <w:color w:val="auto"/>
                <w:sz w:val="24"/>
                <w:szCs w:val="24"/>
                <w:highlight w:val="none"/>
              </w:rPr>
            </w:pPr>
          </w:p>
        </w:tc>
      </w:tr>
      <w:tr w14:paraId="3DD249A7">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4EDA7822">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3C7F0DFA">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14860A4F">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65C3A2D4">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02FAD5DB">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591A5633">
            <w:pPr>
              <w:spacing w:line="480" w:lineRule="exact"/>
              <w:rPr>
                <w:rFonts w:hint="eastAsia" w:asciiTheme="minorEastAsia" w:hAnsiTheme="minorEastAsia" w:eastAsiaTheme="minorEastAsia" w:cstheme="minorEastAsia"/>
                <w:color w:val="auto"/>
                <w:sz w:val="24"/>
                <w:szCs w:val="24"/>
                <w:highlight w:val="none"/>
              </w:rPr>
            </w:pPr>
          </w:p>
        </w:tc>
      </w:tr>
      <w:tr w14:paraId="7C88BEA6">
        <w:tblPrEx>
          <w:tblCellMar>
            <w:top w:w="0" w:type="dxa"/>
            <w:left w:w="108" w:type="dxa"/>
            <w:bottom w:w="0" w:type="dxa"/>
            <w:right w:w="108" w:type="dxa"/>
          </w:tblCellMar>
        </w:tblPrEx>
        <w:trPr>
          <w:jc w:val="center"/>
        </w:trPr>
        <w:tc>
          <w:tcPr>
            <w:tcW w:w="810" w:type="dxa"/>
            <w:tcBorders>
              <w:top w:val="single" w:color="auto" w:sz="4" w:space="0"/>
              <w:left w:val="single" w:color="auto" w:sz="4" w:space="0"/>
              <w:bottom w:val="single" w:color="auto" w:sz="4" w:space="0"/>
              <w:right w:val="single" w:color="auto" w:sz="4" w:space="0"/>
            </w:tcBorders>
          </w:tcPr>
          <w:p w14:paraId="5D2CBAC0">
            <w:pPr>
              <w:spacing w:line="480" w:lineRule="exact"/>
              <w:rPr>
                <w:rFonts w:hint="eastAsia" w:asciiTheme="minorEastAsia" w:hAnsiTheme="minorEastAsia" w:eastAsiaTheme="minorEastAsia" w:cstheme="minorEastAsia"/>
                <w:color w:val="auto"/>
                <w:sz w:val="24"/>
                <w:szCs w:val="24"/>
                <w:highlight w:val="none"/>
              </w:rPr>
            </w:pPr>
          </w:p>
        </w:tc>
        <w:tc>
          <w:tcPr>
            <w:tcW w:w="1281" w:type="dxa"/>
            <w:tcBorders>
              <w:top w:val="single" w:color="auto" w:sz="4" w:space="0"/>
              <w:left w:val="nil"/>
              <w:bottom w:val="single" w:color="auto" w:sz="4" w:space="0"/>
              <w:right w:val="single" w:color="auto" w:sz="4" w:space="0"/>
            </w:tcBorders>
          </w:tcPr>
          <w:p w14:paraId="46B1061A">
            <w:pPr>
              <w:spacing w:line="480" w:lineRule="exact"/>
              <w:rPr>
                <w:rFonts w:hint="eastAsia" w:asciiTheme="minorEastAsia" w:hAnsiTheme="minorEastAsia" w:eastAsiaTheme="minorEastAsia" w:cstheme="minorEastAsia"/>
                <w:color w:val="auto"/>
                <w:sz w:val="24"/>
                <w:szCs w:val="24"/>
                <w:highlight w:val="none"/>
              </w:rPr>
            </w:pPr>
          </w:p>
        </w:tc>
        <w:tc>
          <w:tcPr>
            <w:tcW w:w="2077" w:type="dxa"/>
            <w:tcBorders>
              <w:top w:val="single" w:color="auto" w:sz="4" w:space="0"/>
              <w:left w:val="nil"/>
              <w:bottom w:val="single" w:color="auto" w:sz="4" w:space="0"/>
              <w:right w:val="single" w:color="auto" w:sz="4" w:space="0"/>
            </w:tcBorders>
          </w:tcPr>
          <w:p w14:paraId="2BBD425F">
            <w:pPr>
              <w:spacing w:line="480" w:lineRule="exact"/>
              <w:rPr>
                <w:rFonts w:hint="eastAsia" w:asciiTheme="minorEastAsia" w:hAnsiTheme="minorEastAsia" w:eastAsiaTheme="minorEastAsia" w:cstheme="minorEastAsia"/>
                <w:color w:val="auto"/>
                <w:sz w:val="24"/>
                <w:szCs w:val="24"/>
                <w:highlight w:val="none"/>
              </w:rPr>
            </w:pPr>
          </w:p>
        </w:tc>
        <w:tc>
          <w:tcPr>
            <w:tcW w:w="1890" w:type="dxa"/>
            <w:tcBorders>
              <w:top w:val="single" w:color="auto" w:sz="4" w:space="0"/>
              <w:left w:val="nil"/>
              <w:bottom w:val="single" w:color="auto" w:sz="4" w:space="0"/>
              <w:right w:val="single" w:color="auto" w:sz="4" w:space="0"/>
            </w:tcBorders>
          </w:tcPr>
          <w:p w14:paraId="4AEACD13">
            <w:pPr>
              <w:spacing w:line="480" w:lineRule="exact"/>
              <w:rPr>
                <w:rFonts w:hint="eastAsia" w:asciiTheme="minorEastAsia" w:hAnsiTheme="minorEastAsia" w:eastAsiaTheme="minorEastAsia" w:cstheme="minorEastAsia"/>
                <w:color w:val="auto"/>
                <w:sz w:val="24"/>
                <w:szCs w:val="24"/>
                <w:highlight w:val="none"/>
              </w:rPr>
            </w:pPr>
          </w:p>
        </w:tc>
        <w:tc>
          <w:tcPr>
            <w:tcW w:w="1972" w:type="dxa"/>
            <w:tcBorders>
              <w:top w:val="single" w:color="auto" w:sz="4" w:space="0"/>
              <w:left w:val="nil"/>
              <w:bottom w:val="single" w:color="auto" w:sz="4" w:space="0"/>
              <w:right w:val="single" w:color="auto" w:sz="4" w:space="0"/>
            </w:tcBorders>
          </w:tcPr>
          <w:p w14:paraId="2D0C81C4">
            <w:pPr>
              <w:spacing w:line="480" w:lineRule="exact"/>
              <w:rPr>
                <w:rFonts w:hint="eastAsia" w:asciiTheme="minorEastAsia" w:hAnsiTheme="minorEastAsia" w:eastAsiaTheme="minorEastAsia" w:cstheme="minorEastAsia"/>
                <w:color w:val="auto"/>
                <w:sz w:val="24"/>
                <w:szCs w:val="24"/>
                <w:highlight w:val="none"/>
              </w:rPr>
            </w:pPr>
          </w:p>
        </w:tc>
        <w:tc>
          <w:tcPr>
            <w:tcW w:w="1251" w:type="dxa"/>
            <w:tcBorders>
              <w:top w:val="single" w:color="auto" w:sz="4" w:space="0"/>
              <w:left w:val="nil"/>
              <w:bottom w:val="single" w:color="auto" w:sz="4" w:space="0"/>
              <w:right w:val="single" w:color="auto" w:sz="4" w:space="0"/>
            </w:tcBorders>
          </w:tcPr>
          <w:p w14:paraId="0DADB309">
            <w:pPr>
              <w:spacing w:line="480" w:lineRule="exact"/>
              <w:rPr>
                <w:rFonts w:hint="eastAsia" w:asciiTheme="minorEastAsia" w:hAnsiTheme="minorEastAsia" w:eastAsiaTheme="minorEastAsia" w:cstheme="minorEastAsia"/>
                <w:color w:val="auto"/>
                <w:sz w:val="24"/>
                <w:szCs w:val="24"/>
                <w:highlight w:val="none"/>
              </w:rPr>
            </w:pPr>
          </w:p>
        </w:tc>
      </w:tr>
    </w:tbl>
    <w:p w14:paraId="7CA3BD51">
      <w:pPr>
        <w:autoSpaceDE w:val="0"/>
        <w:autoSpaceDN w:val="0"/>
        <w:adjustRightInd w:val="0"/>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此表格若不够用，可根据实际自行扩展表格。</w:t>
      </w:r>
    </w:p>
    <w:p w14:paraId="06DA64EB">
      <w:pPr>
        <w:spacing w:line="40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注：除商务偏差表列出的偏差外，供应商响应招标文件的全部要求。</w:t>
      </w:r>
    </w:p>
    <w:p w14:paraId="67EA6503">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483ED786">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5ADA5DD9">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       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63D4E6FA">
      <w:pPr>
        <w:spacing w:line="517" w:lineRule="exact"/>
        <w:ind w:left="276" w:hanging="276"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r>
        <w:rPr>
          <w:rFonts w:hint="eastAsia" w:asciiTheme="minorEastAsia" w:hAnsiTheme="minorEastAsia" w:eastAsiaTheme="minorEastAsia" w:cstheme="minorEastAsia"/>
          <w:color w:val="auto"/>
          <w:sz w:val="24"/>
          <w:szCs w:val="24"/>
          <w:highlight w:val="none"/>
        </w:rPr>
        <w:br w:type="page"/>
      </w:r>
      <w:bookmarkEnd w:id="492"/>
      <w:bookmarkEnd w:id="493"/>
      <w:bookmarkStart w:id="499" w:name="_Toc176358382"/>
      <w:r>
        <w:rPr>
          <w:rFonts w:hint="eastAsia" w:asciiTheme="minorEastAsia" w:hAnsiTheme="minorEastAsia" w:eastAsiaTheme="minorEastAsia" w:cstheme="minorEastAsia"/>
          <w:b/>
          <w:bCs/>
          <w:color w:val="auto"/>
          <w:sz w:val="24"/>
          <w:szCs w:val="32"/>
          <w:highlight w:val="none"/>
          <w:lang w:bidi="zh-CN"/>
        </w:rPr>
        <w:t>七</w:t>
      </w:r>
      <w:r>
        <w:rPr>
          <w:rFonts w:hint="eastAsia" w:asciiTheme="minorEastAsia" w:hAnsiTheme="minorEastAsia" w:eastAsiaTheme="minorEastAsia" w:cstheme="minorEastAsia"/>
          <w:b/>
          <w:bCs/>
          <w:color w:val="auto"/>
          <w:sz w:val="24"/>
          <w:szCs w:val="32"/>
          <w:highlight w:val="none"/>
          <w:lang w:val="zh-CN" w:bidi="zh-CN"/>
        </w:rPr>
        <w:t>、</w:t>
      </w:r>
      <w:bookmarkStart w:id="500" w:name="OLE_LINK67"/>
      <w:r>
        <w:rPr>
          <w:rFonts w:hint="eastAsia" w:asciiTheme="minorEastAsia" w:hAnsiTheme="minorEastAsia" w:eastAsiaTheme="minorEastAsia" w:cstheme="minorEastAsia"/>
          <w:b/>
          <w:bCs/>
          <w:color w:val="auto"/>
          <w:sz w:val="24"/>
          <w:szCs w:val="32"/>
          <w:highlight w:val="none"/>
          <w:lang w:val="zh-CN" w:bidi="zh-CN"/>
        </w:rPr>
        <w:t>供应商资格证明文件</w:t>
      </w:r>
      <w:bookmarkEnd w:id="499"/>
      <w:bookmarkEnd w:id="500"/>
    </w:p>
    <w:p w14:paraId="73268BC3">
      <w:pPr>
        <w:spacing w:before="53"/>
        <w:jc w:val="center"/>
        <w:outlineLvl w:val="2"/>
        <w:rPr>
          <w:rFonts w:hint="eastAsia" w:asciiTheme="minorEastAsia" w:hAnsiTheme="minorEastAsia" w:eastAsiaTheme="minorEastAsia" w:cstheme="minorEastAsia"/>
          <w:b/>
          <w:bCs/>
          <w:color w:val="auto"/>
          <w:sz w:val="24"/>
          <w:szCs w:val="30"/>
          <w:highlight w:val="none"/>
          <w:lang w:val="zh-CN" w:bidi="zh-CN"/>
        </w:rPr>
      </w:pPr>
      <w:bookmarkStart w:id="501" w:name="_Toc176358383"/>
      <w:bookmarkStart w:id="502" w:name="_Toc151210175"/>
      <w:r>
        <w:rPr>
          <w:rFonts w:hint="eastAsia" w:asciiTheme="minorEastAsia" w:hAnsiTheme="minorEastAsia" w:eastAsiaTheme="minorEastAsia" w:cstheme="minorEastAsia"/>
          <w:b/>
          <w:bCs/>
          <w:color w:val="auto"/>
          <w:sz w:val="24"/>
          <w:szCs w:val="30"/>
          <w:highlight w:val="none"/>
          <w:lang w:val="zh-CN" w:bidi="zh-CN"/>
        </w:rPr>
        <w:t>（一）供应商基本情况表</w:t>
      </w:r>
      <w:bookmarkEnd w:id="501"/>
      <w:bookmarkEnd w:id="502"/>
    </w:p>
    <w:tbl>
      <w:tblPr>
        <w:tblStyle w:val="19"/>
        <w:tblpPr w:leftFromText="180" w:rightFromText="180" w:vertAnchor="text" w:horzAnchor="page" w:tblpX="1516" w:tblpY="275"/>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0"/>
        <w:gridCol w:w="1024"/>
        <w:gridCol w:w="1577"/>
        <w:gridCol w:w="1583"/>
        <w:gridCol w:w="2125"/>
      </w:tblGrid>
      <w:tr w14:paraId="4C18B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050" w:type="dxa"/>
            <w:vAlign w:val="center"/>
          </w:tcPr>
          <w:p w14:paraId="0E534698">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p>
        </w:tc>
        <w:tc>
          <w:tcPr>
            <w:tcW w:w="6309" w:type="dxa"/>
            <w:gridSpan w:val="4"/>
            <w:vAlign w:val="center"/>
          </w:tcPr>
          <w:p w14:paraId="2FF45509">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0EA4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050" w:type="dxa"/>
            <w:vAlign w:val="center"/>
          </w:tcPr>
          <w:p w14:paraId="53215321">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注册地址</w:t>
            </w:r>
          </w:p>
        </w:tc>
        <w:tc>
          <w:tcPr>
            <w:tcW w:w="2601" w:type="dxa"/>
            <w:gridSpan w:val="2"/>
            <w:vAlign w:val="center"/>
          </w:tcPr>
          <w:p w14:paraId="6AF5486C">
            <w:pPr>
              <w:topLinePunct/>
              <w:spacing w:line="440" w:lineRule="exact"/>
              <w:jc w:val="center"/>
              <w:rPr>
                <w:rFonts w:hint="eastAsia" w:asciiTheme="minorEastAsia" w:hAnsiTheme="minorEastAsia" w:eastAsiaTheme="minorEastAsia" w:cstheme="minorEastAsia"/>
                <w:color w:val="auto"/>
                <w:sz w:val="24"/>
                <w:szCs w:val="24"/>
                <w:highlight w:val="none"/>
              </w:rPr>
            </w:pPr>
          </w:p>
        </w:tc>
        <w:tc>
          <w:tcPr>
            <w:tcW w:w="1583" w:type="dxa"/>
            <w:vAlign w:val="center"/>
          </w:tcPr>
          <w:p w14:paraId="4311B7E4">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p>
        </w:tc>
        <w:tc>
          <w:tcPr>
            <w:tcW w:w="2125" w:type="dxa"/>
            <w:vAlign w:val="center"/>
          </w:tcPr>
          <w:p w14:paraId="1FD98F13">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7A77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2050" w:type="dxa"/>
            <w:vMerge w:val="restart"/>
            <w:vAlign w:val="center"/>
          </w:tcPr>
          <w:p w14:paraId="37D2CF83">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w:t>
            </w:r>
          </w:p>
        </w:tc>
        <w:tc>
          <w:tcPr>
            <w:tcW w:w="1024" w:type="dxa"/>
            <w:vAlign w:val="center"/>
          </w:tcPr>
          <w:p w14:paraId="3DD82AC5">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p>
        </w:tc>
        <w:tc>
          <w:tcPr>
            <w:tcW w:w="1577" w:type="dxa"/>
            <w:vAlign w:val="center"/>
          </w:tcPr>
          <w:p w14:paraId="11C49321">
            <w:pPr>
              <w:topLinePunct/>
              <w:spacing w:line="440" w:lineRule="exact"/>
              <w:jc w:val="center"/>
              <w:rPr>
                <w:rFonts w:hint="eastAsia" w:asciiTheme="minorEastAsia" w:hAnsiTheme="minorEastAsia" w:eastAsiaTheme="minorEastAsia" w:cstheme="minorEastAsia"/>
                <w:color w:val="auto"/>
                <w:sz w:val="24"/>
                <w:szCs w:val="24"/>
                <w:highlight w:val="none"/>
              </w:rPr>
            </w:pPr>
          </w:p>
        </w:tc>
        <w:tc>
          <w:tcPr>
            <w:tcW w:w="1583" w:type="dxa"/>
            <w:vAlign w:val="center"/>
          </w:tcPr>
          <w:p w14:paraId="567E3510">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tc>
        <w:tc>
          <w:tcPr>
            <w:tcW w:w="2125" w:type="dxa"/>
            <w:vAlign w:val="center"/>
          </w:tcPr>
          <w:p w14:paraId="0082C973">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472D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2050" w:type="dxa"/>
            <w:vMerge w:val="continue"/>
            <w:vAlign w:val="center"/>
          </w:tcPr>
          <w:p w14:paraId="29108AC6">
            <w:pPr>
              <w:topLinePunct/>
              <w:spacing w:line="440" w:lineRule="exact"/>
              <w:jc w:val="center"/>
              <w:rPr>
                <w:rFonts w:hint="eastAsia" w:asciiTheme="minorEastAsia" w:hAnsiTheme="minorEastAsia" w:eastAsiaTheme="minorEastAsia" w:cstheme="minorEastAsia"/>
                <w:color w:val="auto"/>
                <w:sz w:val="24"/>
                <w:szCs w:val="24"/>
                <w:highlight w:val="none"/>
              </w:rPr>
            </w:pPr>
          </w:p>
        </w:tc>
        <w:tc>
          <w:tcPr>
            <w:tcW w:w="1024" w:type="dxa"/>
            <w:vAlign w:val="center"/>
          </w:tcPr>
          <w:p w14:paraId="5BE02137">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传真</w:t>
            </w:r>
          </w:p>
        </w:tc>
        <w:tc>
          <w:tcPr>
            <w:tcW w:w="1577" w:type="dxa"/>
            <w:vAlign w:val="center"/>
          </w:tcPr>
          <w:p w14:paraId="607508F3">
            <w:pPr>
              <w:topLinePunct/>
              <w:spacing w:line="440" w:lineRule="exact"/>
              <w:jc w:val="center"/>
              <w:rPr>
                <w:rFonts w:hint="eastAsia" w:asciiTheme="minorEastAsia" w:hAnsiTheme="minorEastAsia" w:eastAsiaTheme="minorEastAsia" w:cstheme="minorEastAsia"/>
                <w:color w:val="auto"/>
                <w:sz w:val="24"/>
                <w:szCs w:val="24"/>
                <w:highlight w:val="none"/>
              </w:rPr>
            </w:pPr>
          </w:p>
        </w:tc>
        <w:tc>
          <w:tcPr>
            <w:tcW w:w="1583" w:type="dxa"/>
            <w:vAlign w:val="center"/>
          </w:tcPr>
          <w:p w14:paraId="2C25114E">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网址</w:t>
            </w:r>
          </w:p>
        </w:tc>
        <w:tc>
          <w:tcPr>
            <w:tcW w:w="2125" w:type="dxa"/>
            <w:vAlign w:val="center"/>
          </w:tcPr>
          <w:p w14:paraId="5C54EC7E">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769BC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050" w:type="dxa"/>
            <w:vAlign w:val="center"/>
          </w:tcPr>
          <w:p w14:paraId="4E2F20EE">
            <w:pPr>
              <w:topLinePun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w:t>
            </w:r>
          </w:p>
        </w:tc>
        <w:tc>
          <w:tcPr>
            <w:tcW w:w="1024" w:type="dxa"/>
            <w:vAlign w:val="center"/>
          </w:tcPr>
          <w:p w14:paraId="06523F5D">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1577" w:type="dxa"/>
            <w:vAlign w:val="center"/>
          </w:tcPr>
          <w:p w14:paraId="21104ACF">
            <w:pPr>
              <w:topLinePunct/>
              <w:spacing w:line="440" w:lineRule="exact"/>
              <w:jc w:val="center"/>
              <w:rPr>
                <w:rFonts w:hint="eastAsia" w:asciiTheme="minorEastAsia" w:hAnsiTheme="minorEastAsia" w:eastAsiaTheme="minorEastAsia" w:cstheme="minorEastAsia"/>
                <w:color w:val="auto"/>
                <w:sz w:val="24"/>
                <w:szCs w:val="24"/>
                <w:highlight w:val="none"/>
              </w:rPr>
            </w:pPr>
          </w:p>
        </w:tc>
        <w:tc>
          <w:tcPr>
            <w:tcW w:w="1583" w:type="dxa"/>
            <w:vAlign w:val="center"/>
          </w:tcPr>
          <w:p w14:paraId="5BFCD29B">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tc>
        <w:tc>
          <w:tcPr>
            <w:tcW w:w="2125" w:type="dxa"/>
            <w:vAlign w:val="center"/>
          </w:tcPr>
          <w:p w14:paraId="3DC6A70C">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0500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050" w:type="dxa"/>
            <w:vAlign w:val="center"/>
          </w:tcPr>
          <w:p w14:paraId="564B57DC">
            <w:pPr>
              <w:topLinePun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成立时间</w:t>
            </w:r>
          </w:p>
        </w:tc>
        <w:tc>
          <w:tcPr>
            <w:tcW w:w="2601" w:type="dxa"/>
            <w:gridSpan w:val="2"/>
            <w:vAlign w:val="center"/>
          </w:tcPr>
          <w:p w14:paraId="5D87CB7B">
            <w:pPr>
              <w:topLinePunct/>
              <w:spacing w:line="440" w:lineRule="exact"/>
              <w:jc w:val="center"/>
              <w:rPr>
                <w:rFonts w:hint="eastAsia" w:asciiTheme="minorEastAsia" w:hAnsiTheme="minorEastAsia" w:eastAsiaTheme="minorEastAsia" w:cstheme="minorEastAsia"/>
                <w:color w:val="auto"/>
                <w:sz w:val="24"/>
                <w:szCs w:val="24"/>
                <w:highlight w:val="none"/>
              </w:rPr>
            </w:pPr>
          </w:p>
        </w:tc>
        <w:tc>
          <w:tcPr>
            <w:tcW w:w="1583" w:type="dxa"/>
            <w:vAlign w:val="center"/>
          </w:tcPr>
          <w:p w14:paraId="7264AC09">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员工总人数</w:t>
            </w:r>
          </w:p>
        </w:tc>
        <w:tc>
          <w:tcPr>
            <w:tcW w:w="2125" w:type="dxa"/>
            <w:vAlign w:val="center"/>
          </w:tcPr>
          <w:p w14:paraId="2711A7B5">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540B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2" w:hRule="atLeast"/>
        </w:trPr>
        <w:tc>
          <w:tcPr>
            <w:tcW w:w="2050" w:type="dxa"/>
            <w:vAlign w:val="center"/>
          </w:tcPr>
          <w:p w14:paraId="1E22C89E">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营业执照号</w:t>
            </w:r>
          </w:p>
        </w:tc>
        <w:tc>
          <w:tcPr>
            <w:tcW w:w="6309" w:type="dxa"/>
            <w:gridSpan w:val="4"/>
            <w:vAlign w:val="center"/>
          </w:tcPr>
          <w:p w14:paraId="5ACA7902">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38B3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050" w:type="dxa"/>
            <w:vAlign w:val="center"/>
          </w:tcPr>
          <w:p w14:paraId="001152CE">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注册资金</w:t>
            </w:r>
          </w:p>
        </w:tc>
        <w:tc>
          <w:tcPr>
            <w:tcW w:w="6309" w:type="dxa"/>
            <w:gridSpan w:val="4"/>
            <w:vAlign w:val="center"/>
          </w:tcPr>
          <w:p w14:paraId="305CD708">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122A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2050" w:type="dxa"/>
            <w:vAlign w:val="center"/>
          </w:tcPr>
          <w:p w14:paraId="09A0ACEA">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p>
        </w:tc>
        <w:tc>
          <w:tcPr>
            <w:tcW w:w="6309" w:type="dxa"/>
            <w:gridSpan w:val="4"/>
            <w:vAlign w:val="center"/>
          </w:tcPr>
          <w:p w14:paraId="706EFE10">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25FB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2050" w:type="dxa"/>
            <w:vAlign w:val="center"/>
          </w:tcPr>
          <w:p w14:paraId="10939CA6">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账号</w:t>
            </w:r>
          </w:p>
        </w:tc>
        <w:tc>
          <w:tcPr>
            <w:tcW w:w="6309" w:type="dxa"/>
            <w:gridSpan w:val="4"/>
            <w:vAlign w:val="center"/>
          </w:tcPr>
          <w:p w14:paraId="1ADFCDBD">
            <w:pPr>
              <w:topLinePunct/>
              <w:spacing w:line="440" w:lineRule="exact"/>
              <w:jc w:val="center"/>
              <w:rPr>
                <w:rFonts w:hint="eastAsia" w:asciiTheme="minorEastAsia" w:hAnsiTheme="minorEastAsia" w:eastAsiaTheme="minorEastAsia" w:cstheme="minorEastAsia"/>
                <w:color w:val="auto"/>
                <w:sz w:val="24"/>
                <w:szCs w:val="24"/>
                <w:highlight w:val="none"/>
              </w:rPr>
            </w:pPr>
          </w:p>
        </w:tc>
      </w:tr>
      <w:tr w14:paraId="0311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050" w:type="dxa"/>
            <w:vAlign w:val="center"/>
          </w:tcPr>
          <w:p w14:paraId="2910F4E1">
            <w:pPr>
              <w:topLinePunct/>
              <w:spacing w:line="440" w:lineRule="exact"/>
              <w:ind w:firstLine="240" w:firstLineChars="10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经营范围</w:t>
            </w:r>
          </w:p>
        </w:tc>
        <w:tc>
          <w:tcPr>
            <w:tcW w:w="6309" w:type="dxa"/>
            <w:gridSpan w:val="4"/>
            <w:vAlign w:val="center"/>
          </w:tcPr>
          <w:p w14:paraId="39E6440C">
            <w:pPr>
              <w:topLinePunct/>
              <w:spacing w:line="440" w:lineRule="exact"/>
              <w:jc w:val="left"/>
              <w:rPr>
                <w:rFonts w:hint="eastAsia" w:asciiTheme="minorEastAsia" w:hAnsiTheme="minorEastAsia" w:eastAsiaTheme="minorEastAsia" w:cstheme="minorEastAsia"/>
                <w:color w:val="auto"/>
                <w:sz w:val="24"/>
                <w:szCs w:val="24"/>
                <w:highlight w:val="none"/>
              </w:rPr>
            </w:pPr>
          </w:p>
        </w:tc>
      </w:tr>
      <w:tr w14:paraId="1499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2050" w:type="dxa"/>
            <w:vAlign w:val="center"/>
          </w:tcPr>
          <w:p w14:paraId="5264A050">
            <w:pPr>
              <w:topLinePunct/>
              <w:spacing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c>
          <w:tcPr>
            <w:tcW w:w="6309" w:type="dxa"/>
            <w:gridSpan w:val="4"/>
            <w:vAlign w:val="center"/>
          </w:tcPr>
          <w:p w14:paraId="35662929">
            <w:pPr>
              <w:topLinePunct/>
              <w:spacing w:line="440" w:lineRule="exact"/>
              <w:jc w:val="center"/>
              <w:rPr>
                <w:rFonts w:hint="eastAsia" w:asciiTheme="minorEastAsia" w:hAnsiTheme="minorEastAsia" w:eastAsiaTheme="minorEastAsia" w:cstheme="minorEastAsia"/>
                <w:color w:val="auto"/>
                <w:sz w:val="24"/>
                <w:szCs w:val="24"/>
                <w:highlight w:val="none"/>
              </w:rPr>
            </w:pPr>
          </w:p>
        </w:tc>
      </w:tr>
    </w:tbl>
    <w:p w14:paraId="478AC553">
      <w:pPr>
        <w:spacing w:line="276" w:lineRule="auto"/>
        <w:rPr>
          <w:rFonts w:hint="eastAsia" w:asciiTheme="minorEastAsia" w:hAnsiTheme="minorEastAsia" w:eastAsiaTheme="minorEastAsia" w:cstheme="minorEastAsia"/>
          <w:color w:val="auto"/>
          <w:szCs w:val="21"/>
          <w:highlight w:val="none"/>
          <w:shd w:val="clear" w:color="auto" w:fill="FFFFFF"/>
          <w:lang w:bidi="ar"/>
        </w:rPr>
      </w:pPr>
      <w:r>
        <w:rPr>
          <w:rFonts w:hint="eastAsia" w:asciiTheme="minorEastAsia" w:hAnsiTheme="minorEastAsia" w:eastAsiaTheme="minorEastAsia" w:cstheme="minorEastAsia"/>
          <w:color w:val="auto"/>
          <w:szCs w:val="21"/>
          <w:highlight w:val="none"/>
          <w:shd w:val="clear" w:color="auto" w:fill="FFFFFF"/>
          <w:lang w:bidi="ar"/>
        </w:rPr>
        <w:t>注：1.后附</w:t>
      </w:r>
      <w:bookmarkStart w:id="503" w:name="OLE_LINK29"/>
      <w:bookmarkStart w:id="504" w:name="OLE_LINK28"/>
      <w:r>
        <w:rPr>
          <w:rFonts w:hint="eastAsia" w:asciiTheme="minorEastAsia" w:hAnsiTheme="minorEastAsia" w:eastAsiaTheme="minorEastAsia" w:cstheme="minorEastAsia"/>
          <w:color w:val="auto"/>
          <w:szCs w:val="21"/>
          <w:highlight w:val="none"/>
          <w:shd w:val="clear" w:color="auto" w:fill="FFFFFF"/>
          <w:lang w:bidi="ar"/>
        </w:rPr>
        <w:t>营业执照副本</w:t>
      </w:r>
      <w:bookmarkEnd w:id="503"/>
      <w:bookmarkEnd w:id="504"/>
      <w:r>
        <w:rPr>
          <w:rFonts w:hint="eastAsia" w:asciiTheme="minorEastAsia" w:hAnsiTheme="minorEastAsia" w:eastAsiaTheme="minorEastAsia" w:cstheme="minorEastAsia"/>
          <w:color w:val="auto"/>
          <w:szCs w:val="21"/>
          <w:highlight w:val="none"/>
          <w:shd w:val="clear" w:color="auto" w:fill="FFFFFF"/>
          <w:lang w:bidi="ar"/>
        </w:rPr>
        <w:t>等相关资料扫描件。</w:t>
      </w:r>
    </w:p>
    <w:p w14:paraId="2962BF3A">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bookmarkStart w:id="505" w:name="_Toc96965862"/>
      <w:bookmarkStart w:id="506" w:name="_Toc151210176"/>
      <w:bookmarkStart w:id="507" w:name="_Toc176358384"/>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30E26CE8">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34277484">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       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61F2CDA3">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b/>
          <w:bCs/>
          <w:color w:val="auto"/>
          <w:sz w:val="24"/>
          <w:szCs w:val="30"/>
          <w:highlight w:val="none"/>
          <w:lang w:val="zh-CN" w:bidi="zh-CN"/>
        </w:rPr>
        <w:br w:type="page"/>
      </w:r>
      <w:r>
        <w:rPr>
          <w:rFonts w:hint="eastAsia" w:asciiTheme="minorEastAsia" w:hAnsiTheme="minorEastAsia" w:eastAsiaTheme="minorEastAsia" w:cstheme="minorEastAsia"/>
          <w:b/>
          <w:bCs/>
          <w:color w:val="auto"/>
          <w:sz w:val="24"/>
          <w:szCs w:val="30"/>
          <w:highlight w:val="none"/>
          <w:lang w:val="zh-CN" w:bidi="zh-CN"/>
        </w:rPr>
        <w:t>（二）近年财务状况表</w:t>
      </w:r>
      <w:bookmarkEnd w:id="505"/>
      <w:bookmarkEnd w:id="506"/>
      <w:bookmarkEnd w:id="507"/>
    </w:p>
    <w:p w14:paraId="12B50C4B">
      <w:pPr>
        <w:spacing w:line="360" w:lineRule="auto"/>
        <w:ind w:firstLine="566" w:firstLineChars="236"/>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“近年财务状况表”应提供202</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年经审计的财务状况报告（成立时间不足一年的，可提供成立时间至当前时间节点的财务状况报告）。</w:t>
      </w:r>
    </w:p>
    <w:p w14:paraId="375CC9F8">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bookmarkStart w:id="508" w:name="_Toc176358385"/>
      <w:bookmarkStart w:id="509" w:name="_Toc151210177"/>
      <w:bookmarkStart w:id="510" w:name="_Toc94092133"/>
      <w:bookmarkStart w:id="511" w:name="_Toc96965863"/>
      <w:r>
        <w:rPr>
          <w:rFonts w:hint="eastAsia" w:asciiTheme="minorEastAsia" w:hAnsiTheme="minorEastAsia" w:eastAsiaTheme="minorEastAsia" w:cstheme="minorEastAsia"/>
          <w:b/>
          <w:bCs/>
          <w:color w:val="auto"/>
          <w:sz w:val="24"/>
          <w:szCs w:val="30"/>
          <w:highlight w:val="none"/>
          <w:lang w:val="zh-CN" w:bidi="zh-CN"/>
        </w:rPr>
        <w:br w:type="page"/>
      </w:r>
      <w:r>
        <w:rPr>
          <w:rFonts w:hint="eastAsia" w:asciiTheme="minorEastAsia" w:hAnsiTheme="minorEastAsia" w:eastAsiaTheme="minorEastAsia" w:cstheme="minorEastAsia"/>
          <w:b/>
          <w:bCs/>
          <w:color w:val="auto"/>
          <w:sz w:val="24"/>
          <w:szCs w:val="30"/>
          <w:highlight w:val="none"/>
          <w:lang w:val="zh-CN" w:bidi="zh-CN"/>
        </w:rPr>
        <w:t>（三）近年发生的诉讼及仲裁情况</w:t>
      </w:r>
      <w:bookmarkEnd w:id="508"/>
      <w:bookmarkEnd w:id="509"/>
      <w:bookmarkEnd w:id="510"/>
      <w:bookmarkEnd w:id="511"/>
    </w:p>
    <w:p w14:paraId="604CBC3F">
      <w:pPr>
        <w:autoSpaceDE w:val="0"/>
        <w:autoSpaceDN w:val="0"/>
        <w:adjustRightInd w:val="0"/>
        <w:jc w:val="left"/>
        <w:rPr>
          <w:rFonts w:hint="eastAsia" w:asciiTheme="minorEastAsia" w:hAnsiTheme="minorEastAsia" w:eastAsiaTheme="minorEastAsia" w:cstheme="minorEastAsia"/>
          <w:color w:val="auto"/>
          <w:kern w:val="0"/>
          <w:sz w:val="24"/>
          <w:szCs w:val="24"/>
          <w:highlight w:val="none"/>
        </w:rPr>
      </w:pPr>
    </w:p>
    <w:p w14:paraId="5A4588D3">
      <w:pPr>
        <w:autoSpaceDE w:val="0"/>
        <w:autoSpaceDN w:val="0"/>
        <w:adjustRightInd w:val="0"/>
        <w:spacing w:line="45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注：1、“近年发生的诉讼及仲裁情况”应说明供应商败诉的设备买卖合同的相关情况，并附法院或仲裁机构作出的判决、裁决等有关法律文书扫描件，具体时间要求详见供应商须知。 </w:t>
      </w:r>
    </w:p>
    <w:p w14:paraId="26456D8A">
      <w:pPr>
        <w:autoSpaceDE w:val="0"/>
        <w:autoSpaceDN w:val="0"/>
        <w:adjustRightInd w:val="0"/>
        <w:spacing w:line="450" w:lineRule="exact"/>
        <w:ind w:firstLine="960" w:firstLineChars="4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2、若无诉讼及仲裁情况供应商自行承诺，格式自拟。</w:t>
      </w:r>
    </w:p>
    <w:p w14:paraId="17A985A9">
      <w:pPr>
        <w:spacing w:line="360" w:lineRule="auto"/>
        <w:rPr>
          <w:rFonts w:hint="eastAsia" w:asciiTheme="minorEastAsia" w:hAnsiTheme="minorEastAsia" w:eastAsiaTheme="minorEastAsia" w:cstheme="minorEastAsia"/>
          <w:color w:val="auto"/>
          <w:sz w:val="24"/>
          <w:szCs w:val="24"/>
          <w:highlight w:val="none"/>
        </w:rPr>
      </w:pPr>
    </w:p>
    <w:p w14:paraId="7D49B102">
      <w:pPr>
        <w:numPr>
          <w:ilvl w:val="0"/>
          <w:numId w:val="6"/>
        </w:num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b/>
          <w:bCs/>
          <w:color w:val="auto"/>
          <w:sz w:val="24"/>
          <w:szCs w:val="30"/>
          <w:highlight w:val="none"/>
          <w:lang w:val="zh-CN" w:bidi="zh-CN"/>
        </w:rPr>
        <w:br w:type="page"/>
      </w:r>
      <w:bookmarkStart w:id="512" w:name="_Toc96965864"/>
      <w:bookmarkStart w:id="513" w:name="_Toc94092131"/>
      <w:bookmarkStart w:id="514" w:name="_Toc151210178"/>
      <w:bookmarkStart w:id="515" w:name="_Toc176358386"/>
      <w:r>
        <w:rPr>
          <w:rFonts w:hint="eastAsia" w:asciiTheme="minorEastAsia" w:hAnsiTheme="minorEastAsia" w:eastAsiaTheme="minorEastAsia" w:cstheme="minorEastAsia"/>
          <w:b/>
          <w:bCs/>
          <w:color w:val="auto"/>
          <w:sz w:val="24"/>
          <w:szCs w:val="30"/>
          <w:highlight w:val="none"/>
          <w:lang w:val="zh-CN" w:bidi="zh-CN"/>
        </w:rPr>
        <w:t>近年完成的类似项目情况表</w:t>
      </w:r>
      <w:bookmarkEnd w:id="512"/>
      <w:bookmarkEnd w:id="513"/>
      <w:bookmarkEnd w:id="514"/>
      <w:bookmarkEnd w:id="515"/>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6319"/>
      </w:tblGrid>
      <w:tr w14:paraId="6DEF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160" w:type="dxa"/>
            <w:vAlign w:val="center"/>
          </w:tcPr>
          <w:p w14:paraId="1A658B21">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color w:val="auto"/>
                <w:sz w:val="24"/>
                <w:szCs w:val="24"/>
                <w:highlight w:val="none"/>
                <w:shd w:val="clear" w:color="auto" w:fill="FFFFFF"/>
                <w:lang w:bidi="ar"/>
              </w:rPr>
              <w:t>序号</w:t>
            </w:r>
          </w:p>
        </w:tc>
        <w:tc>
          <w:tcPr>
            <w:tcW w:w="6319" w:type="dxa"/>
          </w:tcPr>
          <w:p w14:paraId="7BF8F827">
            <w:pPr>
              <w:spacing w:before="53" w:line="360" w:lineRule="auto"/>
              <w:outlineLvl w:val="2"/>
              <w:rPr>
                <w:rFonts w:hint="eastAsia" w:asciiTheme="minorEastAsia" w:hAnsiTheme="minorEastAsia" w:eastAsiaTheme="minorEastAsia" w:cstheme="minorEastAsia"/>
                <w:b/>
                <w:bCs/>
                <w:color w:val="auto"/>
                <w:sz w:val="24"/>
                <w:szCs w:val="30"/>
                <w:highlight w:val="none"/>
                <w:lang w:val="zh-CN" w:bidi="zh-CN"/>
              </w:rPr>
            </w:pPr>
          </w:p>
        </w:tc>
      </w:tr>
      <w:tr w14:paraId="4FE7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160" w:type="dxa"/>
            <w:vAlign w:val="center"/>
          </w:tcPr>
          <w:p w14:paraId="4B455116">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color w:val="auto"/>
                <w:sz w:val="24"/>
                <w:szCs w:val="24"/>
                <w:highlight w:val="none"/>
                <w:shd w:val="clear" w:color="auto" w:fill="FFFFFF"/>
                <w:lang w:bidi="ar"/>
              </w:rPr>
              <w:t>项目名称</w:t>
            </w:r>
          </w:p>
        </w:tc>
        <w:tc>
          <w:tcPr>
            <w:tcW w:w="6319" w:type="dxa"/>
          </w:tcPr>
          <w:p w14:paraId="1C099AC3">
            <w:pPr>
              <w:spacing w:before="53" w:line="360" w:lineRule="auto"/>
              <w:outlineLvl w:val="2"/>
              <w:rPr>
                <w:rFonts w:hint="eastAsia" w:asciiTheme="minorEastAsia" w:hAnsiTheme="minorEastAsia" w:eastAsiaTheme="minorEastAsia" w:cstheme="minorEastAsia"/>
                <w:b/>
                <w:bCs/>
                <w:color w:val="auto"/>
                <w:sz w:val="24"/>
                <w:szCs w:val="30"/>
                <w:highlight w:val="none"/>
                <w:lang w:val="zh-CN" w:bidi="zh-CN"/>
              </w:rPr>
            </w:pPr>
          </w:p>
        </w:tc>
      </w:tr>
      <w:tr w14:paraId="705F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160" w:type="dxa"/>
            <w:vAlign w:val="center"/>
          </w:tcPr>
          <w:p w14:paraId="2DAA634C">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color w:val="auto"/>
                <w:sz w:val="24"/>
                <w:szCs w:val="24"/>
                <w:highlight w:val="none"/>
                <w:shd w:val="clear" w:color="auto" w:fill="FFFFFF"/>
                <w:lang w:bidi="ar"/>
              </w:rPr>
              <w:t>合同金额</w:t>
            </w:r>
          </w:p>
        </w:tc>
        <w:tc>
          <w:tcPr>
            <w:tcW w:w="6319" w:type="dxa"/>
          </w:tcPr>
          <w:p w14:paraId="14E2E8AB">
            <w:pPr>
              <w:spacing w:before="53" w:line="360" w:lineRule="auto"/>
              <w:outlineLvl w:val="2"/>
              <w:rPr>
                <w:rFonts w:hint="eastAsia" w:asciiTheme="minorEastAsia" w:hAnsiTheme="minorEastAsia" w:eastAsiaTheme="minorEastAsia" w:cstheme="minorEastAsia"/>
                <w:b/>
                <w:bCs/>
                <w:color w:val="auto"/>
                <w:sz w:val="24"/>
                <w:szCs w:val="30"/>
                <w:highlight w:val="none"/>
                <w:lang w:val="zh-CN" w:bidi="zh-CN"/>
              </w:rPr>
            </w:pPr>
          </w:p>
        </w:tc>
      </w:tr>
      <w:tr w14:paraId="7487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160" w:type="dxa"/>
            <w:vAlign w:val="center"/>
          </w:tcPr>
          <w:p w14:paraId="4FD27D49">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color w:val="auto"/>
                <w:sz w:val="24"/>
                <w:szCs w:val="24"/>
                <w:highlight w:val="none"/>
                <w:shd w:val="clear" w:color="auto" w:fill="FFFFFF"/>
                <w:lang w:bidi="ar"/>
              </w:rPr>
              <w:t>合同时间</w:t>
            </w:r>
          </w:p>
        </w:tc>
        <w:tc>
          <w:tcPr>
            <w:tcW w:w="6319" w:type="dxa"/>
          </w:tcPr>
          <w:p w14:paraId="3D23FFC8">
            <w:pPr>
              <w:spacing w:before="53" w:line="360" w:lineRule="auto"/>
              <w:outlineLvl w:val="2"/>
              <w:rPr>
                <w:rFonts w:hint="eastAsia" w:asciiTheme="minorEastAsia" w:hAnsiTheme="minorEastAsia" w:eastAsiaTheme="minorEastAsia" w:cstheme="minorEastAsia"/>
                <w:b/>
                <w:bCs/>
                <w:color w:val="auto"/>
                <w:sz w:val="24"/>
                <w:szCs w:val="30"/>
                <w:highlight w:val="none"/>
                <w:lang w:val="zh-CN" w:bidi="zh-CN"/>
              </w:rPr>
            </w:pPr>
          </w:p>
        </w:tc>
      </w:tr>
      <w:tr w14:paraId="7E76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160" w:type="dxa"/>
            <w:vAlign w:val="center"/>
          </w:tcPr>
          <w:p w14:paraId="2D38E99D">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color w:val="auto"/>
                <w:sz w:val="24"/>
                <w:szCs w:val="24"/>
                <w:highlight w:val="none"/>
                <w:shd w:val="clear" w:color="auto" w:fill="FFFFFF"/>
                <w:lang w:bidi="ar"/>
              </w:rPr>
              <w:t>委托人名称</w:t>
            </w:r>
          </w:p>
        </w:tc>
        <w:tc>
          <w:tcPr>
            <w:tcW w:w="6319" w:type="dxa"/>
          </w:tcPr>
          <w:p w14:paraId="62065312">
            <w:pPr>
              <w:spacing w:before="53" w:line="360" w:lineRule="auto"/>
              <w:outlineLvl w:val="2"/>
              <w:rPr>
                <w:rFonts w:hint="eastAsia" w:asciiTheme="minorEastAsia" w:hAnsiTheme="minorEastAsia" w:eastAsiaTheme="minorEastAsia" w:cstheme="minorEastAsia"/>
                <w:b/>
                <w:bCs/>
                <w:color w:val="auto"/>
                <w:sz w:val="24"/>
                <w:szCs w:val="30"/>
                <w:highlight w:val="none"/>
                <w:lang w:val="zh-CN" w:bidi="zh-CN"/>
              </w:rPr>
            </w:pPr>
          </w:p>
        </w:tc>
      </w:tr>
      <w:tr w14:paraId="63927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2160" w:type="dxa"/>
            <w:vAlign w:val="center"/>
          </w:tcPr>
          <w:p w14:paraId="6131C2F0">
            <w:pPr>
              <w:spacing w:before="53" w:line="360" w:lineRule="auto"/>
              <w:jc w:val="center"/>
              <w:outlineLvl w:val="2"/>
              <w:rPr>
                <w:rFonts w:hint="eastAsia" w:asciiTheme="minorEastAsia" w:hAnsiTheme="minorEastAsia" w:eastAsiaTheme="minorEastAsia" w:cstheme="minorEastAsia"/>
                <w:b/>
                <w:bCs/>
                <w:color w:val="auto"/>
                <w:sz w:val="24"/>
                <w:szCs w:val="30"/>
                <w:highlight w:val="none"/>
                <w:lang w:val="zh-CN" w:bidi="zh-CN"/>
              </w:rPr>
            </w:pPr>
            <w:r>
              <w:rPr>
                <w:rFonts w:hint="eastAsia" w:asciiTheme="minorEastAsia" w:hAnsiTheme="minorEastAsia" w:eastAsiaTheme="minorEastAsia" w:cstheme="minorEastAsia"/>
                <w:color w:val="auto"/>
                <w:sz w:val="24"/>
                <w:szCs w:val="24"/>
                <w:highlight w:val="none"/>
                <w:shd w:val="clear" w:color="auto" w:fill="FFFFFF"/>
                <w:lang w:bidi="ar"/>
              </w:rPr>
              <w:t>委托人联系方式</w:t>
            </w:r>
          </w:p>
        </w:tc>
        <w:tc>
          <w:tcPr>
            <w:tcW w:w="6319" w:type="dxa"/>
          </w:tcPr>
          <w:p w14:paraId="0C58C5EA">
            <w:pPr>
              <w:spacing w:before="53" w:line="360" w:lineRule="auto"/>
              <w:outlineLvl w:val="2"/>
              <w:rPr>
                <w:rFonts w:hint="eastAsia" w:asciiTheme="minorEastAsia" w:hAnsiTheme="minorEastAsia" w:eastAsiaTheme="minorEastAsia" w:cstheme="minorEastAsia"/>
                <w:b/>
                <w:bCs/>
                <w:color w:val="auto"/>
                <w:sz w:val="24"/>
                <w:szCs w:val="30"/>
                <w:highlight w:val="none"/>
                <w:lang w:val="zh-CN" w:bidi="zh-CN"/>
              </w:rPr>
            </w:pPr>
          </w:p>
        </w:tc>
      </w:tr>
      <w:tr w14:paraId="41A1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2160" w:type="dxa"/>
            <w:vAlign w:val="center"/>
          </w:tcPr>
          <w:p w14:paraId="5185BF40">
            <w:pPr>
              <w:spacing w:before="53" w:line="360" w:lineRule="auto"/>
              <w:jc w:val="center"/>
              <w:outlineLvl w:val="2"/>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备注</w:t>
            </w:r>
          </w:p>
        </w:tc>
        <w:tc>
          <w:tcPr>
            <w:tcW w:w="6319" w:type="dxa"/>
          </w:tcPr>
          <w:p w14:paraId="30438B19">
            <w:pPr>
              <w:spacing w:before="53" w:line="360" w:lineRule="auto"/>
              <w:outlineLvl w:val="2"/>
              <w:rPr>
                <w:rFonts w:hint="eastAsia" w:asciiTheme="minorEastAsia" w:hAnsiTheme="minorEastAsia" w:eastAsiaTheme="minorEastAsia" w:cstheme="minorEastAsia"/>
                <w:b/>
                <w:bCs/>
                <w:color w:val="auto"/>
                <w:sz w:val="24"/>
                <w:szCs w:val="30"/>
                <w:highlight w:val="none"/>
                <w:lang w:val="zh-CN" w:bidi="zh-CN"/>
              </w:rPr>
            </w:pPr>
          </w:p>
        </w:tc>
      </w:tr>
    </w:tbl>
    <w:p w14:paraId="0A490AC8">
      <w:pPr>
        <w:spacing w:line="45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注：</w:t>
      </w:r>
      <w:r>
        <w:rPr>
          <w:rFonts w:hint="eastAsia" w:asciiTheme="minorEastAsia" w:hAnsiTheme="minorEastAsia" w:eastAsiaTheme="minorEastAsia" w:cstheme="minorEastAsia"/>
          <w:color w:val="auto"/>
          <w:sz w:val="24"/>
          <w:szCs w:val="24"/>
          <w:highlight w:val="none"/>
        </w:rPr>
        <w:t>标明序号，每张表格只填写一个项目，具体年份要求详见供应商须知。</w:t>
      </w:r>
    </w:p>
    <w:p w14:paraId="42755356">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bookmarkStart w:id="516" w:name="_Toc96965865"/>
      <w:bookmarkStart w:id="517" w:name="_Toc151210179"/>
      <w:r>
        <w:rPr>
          <w:rFonts w:hint="eastAsia" w:asciiTheme="minorEastAsia" w:hAnsiTheme="minorEastAsia" w:eastAsiaTheme="minorEastAsia" w:cstheme="minorEastAsia"/>
          <w:color w:val="auto"/>
          <w:sz w:val="24"/>
          <w:szCs w:val="24"/>
          <w:highlight w:val="none"/>
          <w:shd w:val="clear" w:color="auto" w:fill="FFFFFF"/>
          <w:lang w:bidi="ar"/>
        </w:rPr>
        <w:t>供应商：（电子签章）</w:t>
      </w:r>
    </w:p>
    <w:p w14:paraId="59DB12F9">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法定代表人或其委托代理人：（电子签章）</w:t>
      </w:r>
    </w:p>
    <w:p w14:paraId="7619DA3B">
      <w:pPr>
        <w:spacing w:line="460" w:lineRule="exact"/>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日       期：</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 xml:space="preserve">年 </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月</w:t>
      </w:r>
      <w:r>
        <w:rPr>
          <w:rFonts w:hint="eastAsia" w:asciiTheme="minorEastAsia" w:hAnsiTheme="minorEastAsia" w:eastAsiaTheme="minorEastAsia" w:cstheme="minorEastAsia"/>
          <w:color w:val="auto"/>
          <w:sz w:val="24"/>
          <w:szCs w:val="24"/>
          <w:highlight w:val="none"/>
          <w:u w:val="single"/>
          <w:shd w:val="clear" w:color="auto" w:fill="FFFFFF"/>
          <w:lang w:bidi="ar"/>
        </w:rPr>
        <w:t xml:space="preserve">    </w:t>
      </w:r>
      <w:r>
        <w:rPr>
          <w:rFonts w:hint="eastAsia" w:asciiTheme="minorEastAsia" w:hAnsiTheme="minorEastAsia" w:eastAsiaTheme="minorEastAsia" w:cstheme="minorEastAsia"/>
          <w:color w:val="auto"/>
          <w:sz w:val="24"/>
          <w:szCs w:val="24"/>
          <w:highlight w:val="none"/>
          <w:shd w:val="clear" w:color="auto" w:fill="FFFFFF"/>
          <w:lang w:bidi="ar"/>
        </w:rPr>
        <w:t>日</w:t>
      </w:r>
    </w:p>
    <w:p w14:paraId="3BF79D8F">
      <w:pPr>
        <w:spacing w:line="480" w:lineRule="auto"/>
        <w:rPr>
          <w:rFonts w:hint="eastAsia" w:asciiTheme="minorEastAsia" w:hAnsiTheme="minorEastAsia" w:eastAsiaTheme="minorEastAsia" w:cstheme="minorEastAsia"/>
          <w:color w:val="auto"/>
          <w:sz w:val="24"/>
          <w:szCs w:val="24"/>
          <w:highlight w:val="none"/>
        </w:rPr>
      </w:pPr>
    </w:p>
    <w:p w14:paraId="3276BF38">
      <w:pPr>
        <w:spacing w:line="360" w:lineRule="auto"/>
        <w:ind w:firstLine="400" w:firstLineChars="200"/>
        <w:jc w:val="left"/>
        <w:rPr>
          <w:rFonts w:hint="eastAsia" w:asciiTheme="minorEastAsia" w:hAnsiTheme="minorEastAsia" w:eastAsiaTheme="minorEastAsia" w:cstheme="minorEastAsia"/>
          <w:color w:val="auto"/>
          <w:kern w:val="0"/>
          <w:sz w:val="20"/>
          <w:szCs w:val="20"/>
          <w:highlight w:val="none"/>
        </w:rPr>
      </w:pPr>
    </w:p>
    <w:p w14:paraId="57C34E0B">
      <w:pPr>
        <w:spacing w:before="53" w:line="500" w:lineRule="exact"/>
        <w:jc w:val="center"/>
        <w:outlineLvl w:val="2"/>
        <w:rPr>
          <w:rFonts w:hint="eastAsia" w:asciiTheme="minorEastAsia" w:hAnsiTheme="minorEastAsia" w:eastAsiaTheme="minorEastAsia" w:cstheme="minorEastAsia"/>
          <w:b/>
          <w:bCs/>
          <w:color w:val="auto"/>
          <w:sz w:val="24"/>
          <w:szCs w:val="30"/>
          <w:highlight w:val="none"/>
          <w:lang w:val="zh-CN" w:bidi="zh-CN"/>
        </w:rPr>
      </w:pPr>
      <w:bookmarkStart w:id="518" w:name="_Toc176358388"/>
      <w:bookmarkStart w:id="519" w:name="OLE_LINK2"/>
      <w:r>
        <w:rPr>
          <w:rFonts w:hint="eastAsia" w:asciiTheme="minorEastAsia" w:hAnsiTheme="minorEastAsia" w:eastAsiaTheme="minorEastAsia" w:cstheme="minorEastAsia"/>
          <w:b/>
          <w:bCs/>
          <w:color w:val="auto"/>
          <w:sz w:val="24"/>
          <w:szCs w:val="30"/>
          <w:highlight w:val="none"/>
          <w:lang w:val="zh-CN" w:bidi="zh-CN"/>
        </w:rPr>
        <w:br w:type="page"/>
      </w:r>
      <w:r>
        <w:rPr>
          <w:rFonts w:hint="eastAsia" w:asciiTheme="minorEastAsia" w:hAnsiTheme="minorEastAsia" w:eastAsiaTheme="minorEastAsia" w:cstheme="minorEastAsia"/>
          <w:b/>
          <w:bCs/>
          <w:color w:val="auto"/>
          <w:sz w:val="24"/>
          <w:szCs w:val="30"/>
          <w:highlight w:val="none"/>
          <w:lang w:val="zh-CN" w:bidi="zh-CN"/>
        </w:rPr>
        <w:t>（</w:t>
      </w:r>
      <w:r>
        <w:rPr>
          <w:rFonts w:hint="eastAsia" w:asciiTheme="minorEastAsia" w:hAnsiTheme="minorEastAsia" w:eastAsiaTheme="minorEastAsia" w:cstheme="minorEastAsia"/>
          <w:b/>
          <w:bCs/>
          <w:color w:val="auto"/>
          <w:sz w:val="24"/>
          <w:szCs w:val="30"/>
          <w:highlight w:val="none"/>
          <w:lang w:bidi="zh-CN"/>
        </w:rPr>
        <w:t>五</w:t>
      </w:r>
      <w:r>
        <w:rPr>
          <w:rFonts w:hint="eastAsia" w:asciiTheme="minorEastAsia" w:hAnsiTheme="minorEastAsia" w:eastAsiaTheme="minorEastAsia" w:cstheme="minorEastAsia"/>
          <w:b/>
          <w:bCs/>
          <w:color w:val="auto"/>
          <w:sz w:val="24"/>
          <w:szCs w:val="30"/>
          <w:highlight w:val="none"/>
          <w:lang w:val="zh-CN" w:bidi="zh-CN"/>
        </w:rPr>
        <w:t>）</w:t>
      </w:r>
      <w:bookmarkEnd w:id="516"/>
      <w:bookmarkEnd w:id="517"/>
      <w:bookmarkEnd w:id="518"/>
      <w:r>
        <w:rPr>
          <w:rFonts w:hint="eastAsia" w:asciiTheme="minorEastAsia" w:hAnsiTheme="minorEastAsia" w:eastAsiaTheme="minorEastAsia" w:cstheme="minorEastAsia"/>
          <w:b/>
          <w:bCs/>
          <w:color w:val="auto"/>
          <w:sz w:val="24"/>
          <w:szCs w:val="30"/>
          <w:highlight w:val="none"/>
          <w:lang w:val="zh-CN" w:bidi="zh-CN"/>
        </w:rPr>
        <w:t>供应商资格</w:t>
      </w:r>
      <w:r>
        <w:rPr>
          <w:rFonts w:hint="eastAsia" w:asciiTheme="minorEastAsia" w:hAnsiTheme="minorEastAsia" w:eastAsiaTheme="minorEastAsia" w:cstheme="minorEastAsia"/>
          <w:b/>
          <w:bCs/>
          <w:color w:val="auto"/>
          <w:sz w:val="24"/>
          <w:szCs w:val="30"/>
          <w:highlight w:val="none"/>
          <w:lang w:bidi="zh-CN"/>
        </w:rPr>
        <w:t>其他的</w:t>
      </w:r>
      <w:r>
        <w:rPr>
          <w:rFonts w:hint="eastAsia" w:asciiTheme="minorEastAsia" w:hAnsiTheme="minorEastAsia" w:eastAsiaTheme="minorEastAsia" w:cstheme="minorEastAsia"/>
          <w:b/>
          <w:bCs/>
          <w:color w:val="auto"/>
          <w:sz w:val="24"/>
          <w:szCs w:val="30"/>
          <w:highlight w:val="none"/>
          <w:lang w:val="zh-CN" w:bidi="zh-CN"/>
        </w:rPr>
        <w:t>证明文件</w:t>
      </w:r>
    </w:p>
    <w:bookmarkEnd w:id="519"/>
    <w:p w14:paraId="21641227">
      <w:pPr>
        <w:spacing w:line="480" w:lineRule="exact"/>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1、满足《中华人民共和国政府采购法》第二十二条规定；</w:t>
      </w:r>
    </w:p>
    <w:p w14:paraId="13C766C9">
      <w:pPr>
        <w:spacing w:line="480" w:lineRule="exact"/>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2、落实政府采购政策满足的资格要求：</w:t>
      </w:r>
    </w:p>
    <w:p w14:paraId="3398ED0E">
      <w:pPr>
        <w:spacing w:line="480" w:lineRule="exact"/>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执行促进中小企业（监狱企业、残疾人福利性企业视为小微企业）发展等政府采购政策；</w:t>
      </w:r>
    </w:p>
    <w:p w14:paraId="14BC6631">
      <w:pPr>
        <w:spacing w:line="480" w:lineRule="exact"/>
        <w:ind w:firstLine="480" w:firstLineChars="200"/>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3、本项目的特定资格要求</w:t>
      </w:r>
      <w:r>
        <w:rPr>
          <w:rFonts w:hint="eastAsia" w:asciiTheme="minorEastAsia" w:hAnsiTheme="minorEastAsia" w:eastAsiaTheme="minorEastAsia" w:cstheme="minorEastAsia"/>
          <w:color w:val="auto"/>
          <w:sz w:val="24"/>
          <w:szCs w:val="24"/>
          <w:highlight w:val="none"/>
          <w:shd w:val="clear" w:color="auto" w:fill="FFFFFF"/>
          <w:lang w:bidi="ar"/>
        </w:rPr>
        <w:tab/>
      </w:r>
    </w:p>
    <w:p w14:paraId="1468E7AF">
      <w:pPr>
        <w:spacing w:line="48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3.1供应商应具有合法有效的营业执照（可使用电子营业执照），并在人员、资金、设备及专业技术等方面具有与本项目相匹配的合同履约能力（提供承诺函，格式自拟）；</w:t>
      </w:r>
    </w:p>
    <w:p w14:paraId="109939D5">
      <w:pPr>
        <w:spacing w:line="48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3.2参加政府采购活动近三年内，在经营活动中没有重大违法记录（提供承诺书，格式自拟）</w:t>
      </w:r>
    </w:p>
    <w:p w14:paraId="72DFD981">
      <w:pPr>
        <w:spacing w:line="48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3.3供应商须承诺本企业无商业贿赂及不正当竞争行为（提供承诺书，格式自拟）；</w:t>
      </w:r>
    </w:p>
    <w:p w14:paraId="5A0ACB59">
      <w:pPr>
        <w:spacing w:line="48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提供“中国执行信息公开网”、“信用中国”和“中国政府采购网”网站的查询信息截图，查询日期自公告发布之日起）；</w:t>
      </w:r>
    </w:p>
    <w:p w14:paraId="5AEC3E10">
      <w:pPr>
        <w:spacing w:line="48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单位负责人为同一人或者存在直接控股、管理关系的不同投标人，不得参加同一合同项下的政府采购活动，提供“国家企业信用信息公示系统”中查询截图（查询信息需包含公司基本信息、股东信息及股权变更信息等相关信息，查询起始日期为本项目公告发布之后）；</w:t>
      </w:r>
    </w:p>
    <w:p w14:paraId="04A1EF7E">
      <w:pPr>
        <w:spacing w:line="480" w:lineRule="exact"/>
        <w:ind w:firstLine="480" w:firstLineChars="20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3.6本项目不接受联合体投标（自行作出承诺，格式自拟）</w:t>
      </w:r>
    </w:p>
    <w:p w14:paraId="25DD935E">
      <w:pPr>
        <w:spacing w:line="500" w:lineRule="exact"/>
        <w:ind w:left="718" w:leftChars="270" w:hanging="151" w:hangingChars="63"/>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3.7本次采购实行资格后审，资格审查的具体要求见招标文件。</w:t>
      </w:r>
    </w:p>
    <w:p w14:paraId="5BEF4108">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bookmarkStart w:id="520" w:name="_Toc176358392"/>
      <w:r>
        <w:rPr>
          <w:rFonts w:hint="eastAsia" w:asciiTheme="minorEastAsia" w:hAnsiTheme="minorEastAsia" w:eastAsiaTheme="minorEastAsia" w:cstheme="minorEastAsia"/>
          <w:b/>
          <w:bCs/>
          <w:color w:val="auto"/>
          <w:sz w:val="24"/>
          <w:szCs w:val="32"/>
          <w:highlight w:val="none"/>
          <w:lang w:val="zh-CN" w:bidi="zh-CN"/>
        </w:rPr>
        <w:br w:type="page"/>
      </w:r>
      <w:r>
        <w:rPr>
          <w:rFonts w:hint="eastAsia" w:asciiTheme="minorEastAsia" w:hAnsiTheme="minorEastAsia" w:eastAsiaTheme="minorEastAsia" w:cstheme="minorEastAsia"/>
          <w:b/>
          <w:bCs/>
          <w:color w:val="auto"/>
          <w:sz w:val="24"/>
          <w:szCs w:val="32"/>
          <w:highlight w:val="none"/>
          <w:lang w:val="en-US" w:bidi="zh-CN"/>
        </w:rPr>
        <w:t>八</w:t>
      </w:r>
      <w:r>
        <w:rPr>
          <w:rFonts w:hint="eastAsia" w:asciiTheme="minorEastAsia" w:hAnsiTheme="minorEastAsia" w:eastAsiaTheme="minorEastAsia" w:cstheme="minorEastAsia"/>
          <w:b/>
          <w:bCs/>
          <w:color w:val="auto"/>
          <w:sz w:val="24"/>
          <w:szCs w:val="32"/>
          <w:highlight w:val="none"/>
          <w:lang w:val="zh-CN" w:bidi="zh-CN"/>
        </w:rPr>
        <w:t>、技术证明资料</w:t>
      </w:r>
      <w:bookmarkEnd w:id="520"/>
    </w:p>
    <w:p w14:paraId="40417127">
      <w:pPr>
        <w:spacing w:line="360" w:lineRule="auto"/>
        <w:ind w:firstLine="1132" w:firstLineChars="472"/>
        <w:jc w:val="left"/>
        <w:rPr>
          <w:rFonts w:hint="eastAsia" w:asciiTheme="minorEastAsia" w:hAnsiTheme="minorEastAsia" w:eastAsiaTheme="minorEastAsia" w:cstheme="minorEastAsia"/>
          <w:color w:val="auto"/>
          <w:sz w:val="24"/>
          <w:szCs w:val="24"/>
          <w:highlight w:val="none"/>
          <w:shd w:val="clear" w:color="auto" w:fill="FFFFFF"/>
          <w:lang w:bidi="ar"/>
        </w:rPr>
      </w:pPr>
    </w:p>
    <w:p w14:paraId="0184C267">
      <w:pPr>
        <w:spacing w:line="360" w:lineRule="auto"/>
        <w:jc w:val="center"/>
        <w:rPr>
          <w:rFonts w:hint="eastAsia" w:asciiTheme="minorEastAsia" w:hAnsiTheme="minorEastAsia" w:eastAsiaTheme="minorEastAsia" w:cstheme="minorEastAsia"/>
          <w:color w:val="auto"/>
          <w:sz w:val="24"/>
          <w:szCs w:val="24"/>
          <w:highlight w:val="none"/>
          <w:shd w:val="clear" w:color="auto" w:fill="FFFFFF"/>
          <w:lang w:bidi="ar"/>
        </w:rPr>
      </w:pPr>
      <w:r>
        <w:rPr>
          <w:rFonts w:hint="eastAsia" w:asciiTheme="minorEastAsia" w:hAnsiTheme="minorEastAsia" w:eastAsiaTheme="minorEastAsia" w:cstheme="minorEastAsia"/>
          <w:color w:val="auto"/>
          <w:sz w:val="24"/>
          <w:szCs w:val="24"/>
          <w:highlight w:val="none"/>
          <w:shd w:val="clear" w:color="auto" w:fill="FFFFFF"/>
          <w:lang w:bidi="ar"/>
        </w:rPr>
        <w:t>（投标供应商根据招标文件评审细则，自行编拟）</w:t>
      </w:r>
    </w:p>
    <w:p w14:paraId="1AC9233F">
      <w:pPr>
        <w:spacing w:line="276" w:lineRule="auto"/>
        <w:ind w:firstLine="436" w:firstLineChars="182"/>
        <w:jc w:val="left"/>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注：</w:t>
      </w:r>
    </w:p>
    <w:p w14:paraId="34FE9352">
      <w:pPr>
        <w:spacing w:line="276" w:lineRule="auto"/>
        <w:ind w:firstLine="436" w:firstLineChars="182"/>
        <w:jc w:val="left"/>
        <w:rPr>
          <w:rFonts w:hint="eastAsia" w:asciiTheme="minorEastAsia" w:hAnsiTheme="minorEastAsia" w:eastAsiaTheme="minorEastAsia" w:cstheme="minorEastAsia"/>
          <w:color w:val="auto"/>
          <w:sz w:val="24"/>
          <w:szCs w:val="24"/>
          <w:highlight w:val="none"/>
          <w:lang w:val="zh-CN" w:bidi="zh-CN"/>
        </w:rPr>
      </w:pPr>
      <w:r>
        <w:rPr>
          <w:rFonts w:hint="eastAsia" w:asciiTheme="minorEastAsia" w:hAnsiTheme="minorEastAsia" w:eastAsiaTheme="minorEastAsia" w:cstheme="minorEastAsia"/>
          <w:color w:val="auto"/>
          <w:sz w:val="24"/>
          <w:szCs w:val="24"/>
          <w:highlight w:val="none"/>
          <w:lang w:val="zh-CN" w:bidi="zh-CN"/>
        </w:rPr>
        <w:t>1.投标供应商根据项目需求，自行提供技术证明资料。</w:t>
      </w:r>
    </w:p>
    <w:p w14:paraId="4A6AFDA1">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r>
        <w:rPr>
          <w:rFonts w:hint="eastAsia" w:asciiTheme="minorEastAsia" w:hAnsiTheme="minorEastAsia" w:eastAsiaTheme="minorEastAsia" w:cstheme="minorEastAsia"/>
          <w:b/>
          <w:bCs/>
          <w:color w:val="auto"/>
          <w:sz w:val="24"/>
          <w:szCs w:val="32"/>
          <w:highlight w:val="none"/>
          <w:lang w:val="zh-CN" w:bidi="zh-CN"/>
        </w:rPr>
        <w:br w:type="page"/>
      </w:r>
      <w:bookmarkStart w:id="521" w:name="_Toc176358393"/>
      <w:r>
        <w:rPr>
          <w:rFonts w:hint="eastAsia" w:asciiTheme="minorEastAsia" w:hAnsiTheme="minorEastAsia" w:eastAsiaTheme="minorEastAsia" w:cstheme="minorEastAsia"/>
          <w:b/>
          <w:bCs/>
          <w:color w:val="auto"/>
          <w:sz w:val="24"/>
          <w:szCs w:val="32"/>
          <w:highlight w:val="none"/>
          <w:lang w:val="en-US" w:bidi="zh-CN"/>
        </w:rPr>
        <w:t>九</w:t>
      </w:r>
      <w:r>
        <w:rPr>
          <w:rFonts w:hint="eastAsia" w:asciiTheme="minorEastAsia" w:hAnsiTheme="minorEastAsia" w:eastAsiaTheme="minorEastAsia" w:cstheme="minorEastAsia"/>
          <w:b/>
          <w:bCs/>
          <w:color w:val="auto"/>
          <w:sz w:val="24"/>
          <w:szCs w:val="32"/>
          <w:highlight w:val="none"/>
          <w:lang w:val="zh-CN" w:bidi="zh-CN"/>
        </w:rPr>
        <w:t>、技术方案</w:t>
      </w:r>
      <w:bookmarkEnd w:id="521"/>
    </w:p>
    <w:p w14:paraId="1F7C44B9">
      <w:pPr>
        <w:spacing w:line="360"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（投标供应商根据招标文件评审细则，自行编拟。）</w:t>
      </w:r>
    </w:p>
    <w:p w14:paraId="2F89550C">
      <w:pPr>
        <w:spacing w:line="360" w:lineRule="auto"/>
        <w:ind w:firstLine="480" w:firstLineChars="200"/>
        <w:jc w:val="left"/>
        <w:rPr>
          <w:rFonts w:hint="eastAsia" w:asciiTheme="minorEastAsia" w:hAnsiTheme="minorEastAsia" w:eastAsiaTheme="minorEastAsia" w:cstheme="minorEastAsia"/>
          <w:color w:val="auto"/>
          <w:sz w:val="24"/>
          <w:szCs w:val="24"/>
          <w:highlight w:val="none"/>
          <w:lang w:bidi="ar"/>
        </w:rPr>
      </w:pPr>
    </w:p>
    <w:p w14:paraId="0A24F933">
      <w:pPr>
        <w:spacing w:line="517" w:lineRule="exact"/>
        <w:ind w:left="277" w:hanging="277" w:hangingChars="115"/>
        <w:jc w:val="center"/>
        <w:outlineLvl w:val="1"/>
        <w:rPr>
          <w:rFonts w:hint="eastAsia" w:asciiTheme="minorEastAsia" w:hAnsiTheme="minorEastAsia" w:eastAsiaTheme="minorEastAsia" w:cstheme="minorEastAsia"/>
          <w:b/>
          <w:bCs/>
          <w:color w:val="auto"/>
          <w:sz w:val="24"/>
          <w:szCs w:val="32"/>
          <w:highlight w:val="none"/>
          <w:lang w:val="zh-CN" w:bidi="zh-CN"/>
        </w:rPr>
      </w:pPr>
      <w:r>
        <w:rPr>
          <w:rFonts w:hint="eastAsia" w:asciiTheme="minorEastAsia" w:hAnsiTheme="minorEastAsia" w:eastAsiaTheme="minorEastAsia" w:cstheme="minorEastAsia"/>
          <w:b/>
          <w:bCs/>
          <w:color w:val="auto"/>
          <w:sz w:val="24"/>
          <w:szCs w:val="32"/>
          <w:highlight w:val="none"/>
          <w:lang w:val="zh-CN" w:bidi="zh-CN"/>
        </w:rPr>
        <w:br w:type="page"/>
      </w:r>
      <w:bookmarkStart w:id="522" w:name="_Toc176358395"/>
      <w:r>
        <w:rPr>
          <w:rFonts w:hint="eastAsia" w:asciiTheme="minorEastAsia" w:hAnsiTheme="minorEastAsia" w:eastAsiaTheme="minorEastAsia" w:cstheme="minorEastAsia"/>
          <w:b/>
          <w:bCs/>
          <w:color w:val="auto"/>
          <w:sz w:val="24"/>
          <w:szCs w:val="32"/>
          <w:highlight w:val="none"/>
          <w:lang w:val="en-US" w:bidi="zh-CN"/>
        </w:rPr>
        <w:t>十</w:t>
      </w:r>
      <w:r>
        <w:rPr>
          <w:rFonts w:hint="eastAsia" w:asciiTheme="minorEastAsia" w:hAnsiTheme="minorEastAsia" w:eastAsiaTheme="minorEastAsia" w:cstheme="minorEastAsia"/>
          <w:b/>
          <w:bCs/>
          <w:color w:val="auto"/>
          <w:sz w:val="24"/>
          <w:szCs w:val="32"/>
          <w:highlight w:val="none"/>
          <w:lang w:val="zh-CN" w:bidi="zh-CN"/>
        </w:rPr>
        <w:t>、投标供应商认为需提供的其他资料</w:t>
      </w:r>
      <w:bookmarkEnd w:id="522"/>
    </w:p>
    <w:p w14:paraId="27A2A01E">
      <w:pPr>
        <w:spacing w:line="360" w:lineRule="auto"/>
        <w:ind w:firstLine="562"/>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请各供应商根据招标文件，结合自身实际情况，补充其他认为有必要提供的材料，招标文件未提供格式的投标人可自拟格式。提交的其他证明材料或资料加盖投标人单位公章后应在此项下提交。</w:t>
      </w:r>
    </w:p>
    <w:p w14:paraId="32B84B3F">
      <w:pPr>
        <w:spacing w:line="360" w:lineRule="auto"/>
        <w:ind w:firstLine="482"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（如发现提供虚假材料的，按无效投标处理，并承担相关的法律责任！）</w:t>
      </w:r>
    </w:p>
    <w:p w14:paraId="11C57392">
      <w:pP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br w:type="page"/>
      </w:r>
    </w:p>
    <w:p w14:paraId="5FD483A1">
      <w:pPr>
        <w:spacing w:line="360" w:lineRule="auto"/>
        <w:rPr>
          <w:rFonts w:hint="eastAsia" w:asciiTheme="minorEastAsia" w:hAnsiTheme="minorEastAsia" w:eastAsiaTheme="minorEastAsia" w:cstheme="minorEastAsia"/>
          <w:color w:val="auto"/>
          <w:kern w:val="0"/>
          <w:sz w:val="24"/>
          <w:szCs w:val="28"/>
          <w:highlight w:val="none"/>
        </w:rPr>
      </w:pPr>
      <w:r>
        <w:rPr>
          <w:rFonts w:hint="eastAsia" w:asciiTheme="minorEastAsia" w:hAnsiTheme="minorEastAsia" w:eastAsiaTheme="minorEastAsia" w:cstheme="minorEastAsia"/>
          <w:color w:val="auto"/>
          <w:kern w:val="0"/>
          <w:sz w:val="24"/>
          <w:szCs w:val="28"/>
          <w:highlight w:val="none"/>
        </w:rPr>
        <w:t>附件一：中小微企业声明函</w:t>
      </w:r>
    </w:p>
    <w:p w14:paraId="3C6EE99E">
      <w:pPr>
        <w:spacing w:line="360" w:lineRule="auto"/>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（供应商属于中小企业的填写，不属于的无需填写此项内容）</w:t>
      </w:r>
    </w:p>
    <w:p w14:paraId="1DABD958">
      <w:pPr>
        <w:spacing w:line="360" w:lineRule="auto"/>
        <w:ind w:firstLine="849" w:firstLineChars="354"/>
        <w:jc w:val="cente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中小企业声明函（货物）</w:t>
      </w:r>
    </w:p>
    <w:p w14:paraId="65BB4CE4">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auto"/>
          <w:sz w:val="24"/>
          <w:szCs w:val="28"/>
          <w:highlight w:val="none"/>
          <w:u w:val="single"/>
        </w:rPr>
        <w:t xml:space="preserve"> （单位名称） </w:t>
      </w:r>
      <w:r>
        <w:rPr>
          <w:rFonts w:hint="eastAsia" w:asciiTheme="minorEastAsia" w:hAnsiTheme="minorEastAsia" w:eastAsiaTheme="minorEastAsia" w:cstheme="minorEastAsia"/>
          <w:color w:val="auto"/>
          <w:sz w:val="24"/>
          <w:szCs w:val="28"/>
          <w:highlight w:val="none"/>
        </w:rPr>
        <w:t>的</w:t>
      </w:r>
      <w:r>
        <w:rPr>
          <w:rFonts w:hint="eastAsia" w:asciiTheme="minorEastAsia" w:hAnsiTheme="minorEastAsia" w:eastAsiaTheme="minorEastAsia" w:cstheme="minorEastAsia"/>
          <w:color w:val="auto"/>
          <w:sz w:val="24"/>
          <w:szCs w:val="28"/>
          <w:highlight w:val="none"/>
          <w:u w:val="single"/>
        </w:rPr>
        <w:t xml:space="preserve"> （项目名称）   </w:t>
      </w:r>
      <w:r>
        <w:rPr>
          <w:rFonts w:hint="eastAsia" w:asciiTheme="minorEastAsia" w:hAnsiTheme="minorEastAsia" w:eastAsiaTheme="minorEastAsia" w:cstheme="minorEastAsia"/>
          <w:color w:val="auto"/>
          <w:sz w:val="24"/>
          <w:szCs w:val="28"/>
          <w:highlight w:val="none"/>
        </w:rPr>
        <w:t>标段采购活动，提供的货物全部由符合政策要求的中小企业制造。相关企业（含联合体中的中小企业、签订分包意向协议的中小企业）的具体情况如下：</w:t>
      </w:r>
    </w:p>
    <w:p w14:paraId="440C9033">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1.</w:t>
      </w:r>
      <w:r>
        <w:rPr>
          <w:rFonts w:hint="eastAsia" w:asciiTheme="minorEastAsia" w:hAnsiTheme="minorEastAsia" w:eastAsiaTheme="minorEastAsia" w:cstheme="minorEastAsia"/>
          <w:color w:val="auto"/>
          <w:sz w:val="24"/>
          <w:szCs w:val="28"/>
          <w:highlight w:val="none"/>
          <w:u w:val="single"/>
        </w:rPr>
        <w:t xml:space="preserve"> （标的名称）</w:t>
      </w:r>
      <w:r>
        <w:rPr>
          <w:rFonts w:hint="eastAsia" w:asciiTheme="minorEastAsia" w:hAnsiTheme="minorEastAsia" w:eastAsiaTheme="minorEastAsia" w:cstheme="minorEastAsia"/>
          <w:color w:val="auto"/>
          <w:sz w:val="24"/>
          <w:szCs w:val="28"/>
          <w:highlight w:val="none"/>
        </w:rPr>
        <w:t xml:space="preserve"> ，属于</w:t>
      </w:r>
      <w:r>
        <w:rPr>
          <w:rFonts w:hint="eastAsia" w:asciiTheme="minorEastAsia" w:hAnsiTheme="minorEastAsia" w:eastAsiaTheme="minorEastAsia" w:cstheme="minorEastAsia"/>
          <w:color w:val="auto"/>
          <w:sz w:val="24"/>
          <w:szCs w:val="28"/>
          <w:highlight w:val="none"/>
          <w:u w:val="single"/>
        </w:rPr>
        <w:t xml:space="preserve"> （采购文件中明确的所属行业）</w:t>
      </w:r>
      <w:r>
        <w:rPr>
          <w:rFonts w:hint="eastAsia" w:asciiTheme="minorEastAsia" w:hAnsiTheme="minorEastAsia" w:eastAsiaTheme="minorEastAsia" w:cstheme="minorEastAsia"/>
          <w:color w:val="auto"/>
          <w:sz w:val="24"/>
          <w:szCs w:val="28"/>
          <w:highlight w:val="none"/>
        </w:rPr>
        <w:t>行业 ；制造商为 （企业名称），从业人员</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人，营业收入为</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万元，资产总额为</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万元，属于</w:t>
      </w:r>
      <w:r>
        <w:rPr>
          <w:rFonts w:hint="eastAsia" w:asciiTheme="minorEastAsia" w:hAnsiTheme="minorEastAsia" w:eastAsiaTheme="minorEastAsia" w:cstheme="minorEastAsia"/>
          <w:color w:val="auto"/>
          <w:sz w:val="24"/>
          <w:szCs w:val="28"/>
          <w:highlight w:val="none"/>
          <w:u w:val="single"/>
        </w:rPr>
        <w:t xml:space="preserve"> （中型企业、小型企业、微型企业）</w:t>
      </w:r>
      <w:r>
        <w:rPr>
          <w:rFonts w:hint="eastAsia" w:asciiTheme="minorEastAsia" w:hAnsiTheme="minorEastAsia" w:eastAsiaTheme="minorEastAsia" w:cstheme="minorEastAsia"/>
          <w:color w:val="auto"/>
          <w:sz w:val="24"/>
          <w:szCs w:val="28"/>
          <w:highlight w:val="none"/>
        </w:rPr>
        <w:t xml:space="preserve"> ；</w:t>
      </w:r>
    </w:p>
    <w:p w14:paraId="6C727C3A">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w:t>
      </w:r>
      <w:r>
        <w:rPr>
          <w:rFonts w:hint="eastAsia" w:asciiTheme="minorEastAsia" w:hAnsiTheme="minorEastAsia" w:eastAsiaTheme="minorEastAsia" w:cstheme="minorEastAsia"/>
          <w:color w:val="auto"/>
          <w:sz w:val="24"/>
          <w:szCs w:val="28"/>
          <w:highlight w:val="none"/>
          <w:u w:val="single"/>
        </w:rPr>
        <w:t xml:space="preserve"> （标的名称） </w:t>
      </w:r>
      <w:r>
        <w:rPr>
          <w:rFonts w:hint="eastAsia" w:asciiTheme="minorEastAsia" w:hAnsiTheme="minorEastAsia" w:eastAsiaTheme="minorEastAsia" w:cstheme="minorEastAsia"/>
          <w:color w:val="auto"/>
          <w:sz w:val="24"/>
          <w:szCs w:val="28"/>
          <w:highlight w:val="none"/>
        </w:rPr>
        <w:t>，属于</w:t>
      </w:r>
      <w:r>
        <w:rPr>
          <w:rFonts w:hint="eastAsia" w:asciiTheme="minorEastAsia" w:hAnsiTheme="minorEastAsia" w:eastAsiaTheme="minorEastAsia" w:cstheme="minorEastAsia"/>
          <w:color w:val="auto"/>
          <w:sz w:val="24"/>
          <w:szCs w:val="28"/>
          <w:highlight w:val="none"/>
          <w:u w:val="single"/>
        </w:rPr>
        <w:t xml:space="preserve"> （采购文件中明确的所属行业）</w:t>
      </w:r>
      <w:r>
        <w:rPr>
          <w:rFonts w:hint="eastAsia" w:asciiTheme="minorEastAsia" w:hAnsiTheme="minorEastAsia" w:eastAsiaTheme="minorEastAsia" w:cstheme="minorEastAsia"/>
          <w:color w:val="auto"/>
          <w:sz w:val="24"/>
          <w:szCs w:val="28"/>
          <w:highlight w:val="none"/>
        </w:rPr>
        <w:t>行业 ；制造商为 （企业名称） ，从业人员</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人，营业收入为</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万元，资产总额为</w:t>
      </w:r>
      <w:r>
        <w:rPr>
          <w:rFonts w:hint="eastAsia" w:asciiTheme="minorEastAsia" w:hAnsiTheme="minorEastAsia" w:eastAsiaTheme="minorEastAsia" w:cstheme="minorEastAsia"/>
          <w:color w:val="auto"/>
          <w:sz w:val="24"/>
          <w:szCs w:val="28"/>
          <w:highlight w:val="none"/>
          <w:u w:val="single"/>
        </w:rPr>
        <w:t xml:space="preserve">     </w:t>
      </w:r>
      <w:r>
        <w:rPr>
          <w:rFonts w:hint="eastAsia" w:asciiTheme="minorEastAsia" w:hAnsiTheme="minorEastAsia" w:eastAsiaTheme="minorEastAsia" w:cstheme="minorEastAsia"/>
          <w:color w:val="auto"/>
          <w:sz w:val="24"/>
          <w:szCs w:val="28"/>
          <w:highlight w:val="none"/>
        </w:rPr>
        <w:t>万元，属于</w:t>
      </w:r>
      <w:r>
        <w:rPr>
          <w:rFonts w:hint="eastAsia" w:asciiTheme="minorEastAsia" w:hAnsiTheme="minorEastAsia" w:eastAsiaTheme="minorEastAsia" w:cstheme="minorEastAsia"/>
          <w:color w:val="auto"/>
          <w:sz w:val="24"/>
          <w:szCs w:val="28"/>
          <w:highlight w:val="none"/>
          <w:u w:val="single"/>
        </w:rPr>
        <w:t xml:space="preserve"> （中型企业、小型企业、微型企业） </w:t>
      </w:r>
      <w:r>
        <w:rPr>
          <w:rFonts w:hint="eastAsia" w:asciiTheme="minorEastAsia" w:hAnsiTheme="minorEastAsia" w:eastAsiaTheme="minorEastAsia" w:cstheme="minorEastAsia"/>
          <w:color w:val="auto"/>
          <w:sz w:val="24"/>
          <w:szCs w:val="28"/>
          <w:highlight w:val="none"/>
        </w:rPr>
        <w:t>；</w:t>
      </w:r>
    </w:p>
    <w:p w14:paraId="59DA45EA">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w:t>
      </w:r>
    </w:p>
    <w:p w14:paraId="24106334">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以上企业，不属于大企业的分支机构，不存在控股股东为大企业的情形，也不存在与大企业的负责人为同一人的情形。</w:t>
      </w:r>
    </w:p>
    <w:p w14:paraId="334B0E37">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本企业对上述声明内容的真实性负责。如有虚假，将依法承担相应责任。</w:t>
      </w:r>
    </w:p>
    <w:p w14:paraId="457B57D8">
      <w:pPr>
        <w:spacing w:line="360" w:lineRule="auto"/>
        <w:ind w:firstLine="5527" w:firstLineChars="2303"/>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企业名称（盖单位公章）：</w:t>
      </w:r>
    </w:p>
    <w:p w14:paraId="47BD5217">
      <w:pPr>
        <w:spacing w:line="360" w:lineRule="auto"/>
        <w:ind w:firstLine="5527" w:firstLineChars="2303"/>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日期：    年   月    日</w:t>
      </w:r>
    </w:p>
    <w:p w14:paraId="22A34A04">
      <w:pPr>
        <w:spacing w:line="360" w:lineRule="auto"/>
        <w:rPr>
          <w:rFonts w:hint="eastAsia" w:asciiTheme="minorEastAsia" w:hAnsiTheme="minorEastAsia" w:eastAsiaTheme="minorEastAsia" w:cstheme="minorEastAsia"/>
          <w:color w:val="auto"/>
          <w:sz w:val="24"/>
          <w:szCs w:val="28"/>
          <w:highlight w:val="none"/>
        </w:rPr>
      </w:pPr>
    </w:p>
    <w:p w14:paraId="2E463FFF">
      <w:pPr>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br w:type="page"/>
      </w:r>
    </w:p>
    <w:p w14:paraId="6C866A20">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注：</w:t>
      </w:r>
    </w:p>
    <w:p w14:paraId="37048D06">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1.从业人员、营业收入、资产总额填报上一年度数据，无上一年度数据的新成立企业可不填报。</w:t>
      </w:r>
    </w:p>
    <w:p w14:paraId="2CF8DD1E">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2.根据《政府采购促进中小企业发展管理办法》（财库﹝2020﹞46号）第四条的规定，在政府采购活动中，供应商提供的货物、工程或者服务符合下列情形的，享受本办法规定的中小企业扶持政策：</w:t>
      </w:r>
    </w:p>
    <w:p w14:paraId="6EECE77E">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（一）在货物采购项目中，货物由中小企业制造，即货物由中小企业生产且使用该中小企业商号或者注册商标；</w:t>
      </w:r>
    </w:p>
    <w:p w14:paraId="74A1E076">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（二）在工程采购项目中，工程由中小企业承建，即工程施工单位为中小企业；</w:t>
      </w:r>
    </w:p>
    <w:p w14:paraId="014479DD">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（三）在服务采购项目中，服务由中小企业承接，即提供服务的人员为中小企业依照《中华人民共和国劳动合同法》订立劳动合同的从业人员。</w:t>
      </w:r>
    </w:p>
    <w:p w14:paraId="469BB2BE">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在货物采购项目中，供应商提供的货物既有中小企业制造货物，也有大型企业制造货物的，不享受本办法规定的中小企业扶持政策。</w:t>
      </w:r>
    </w:p>
    <w:p w14:paraId="098618C0">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以联合体形式参加政府采购活动，联合体各方均为中小企业的，联合体视同中小企业。其中，联合体各方均为小微企业的，联合体视同小微企业。</w:t>
      </w:r>
    </w:p>
    <w:p w14:paraId="646B0C6E">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3.上述采购文件中明确的所属行业详见供应商须知前附表。</w:t>
      </w:r>
    </w:p>
    <w:p w14:paraId="6556A4BE">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4.根据《政府采购促进中小企业发展管理办法》（财库﹝2020﹞46号）第十一条的规定，中小企业参加政府采购活动，应当出具本办法规定的《中小企业声明函》（附件1），否则不得享受相关中小企业扶持政策。任何单位和个人不得要求供应商提供《中小企业声明函》之外的中小企业身份证明文件。</w:t>
      </w:r>
    </w:p>
    <w:p w14:paraId="6FA9CAB4">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5.供应商须对《中小企业声明函》的真实性负责，如果存在虚假，将依照《中华人民共和国政府采购法》第七十七条第一款的规定，处以罚款、列入不良行为记录名单、在一至三年内禁止参加政府采购活动等非常严厉的处罚。</w:t>
      </w:r>
    </w:p>
    <w:p w14:paraId="0EB73794">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6.采购标的涉及多个制造商的，投标人应从各制造商处获得充分、准确的信息。对相关制造商信息了解不充分，或者不能确定相关信息真实、准确的，不建议出具《中小企业声明函》。</w:t>
      </w:r>
    </w:p>
    <w:p w14:paraId="79F53225">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7.供应商与大企业的负责人为同一人，或者与大企业存在直接控股、管理关系的不享受中小企业扶持政策。</w:t>
      </w:r>
    </w:p>
    <w:p w14:paraId="53C3D178">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8.不填写或不提交本函的，视为不适用相关政策。</w:t>
      </w:r>
    </w:p>
    <w:p w14:paraId="7F196BC6">
      <w:pPr>
        <w:spacing w:line="360" w:lineRule="auto"/>
        <w:ind w:firstLine="849" w:firstLineChars="354"/>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rPr>
        <w:t>9.供应商填写前请认真阅读《政府采购促进中小企业发展管理办法》（财库﹝2020﹞46号）和《工业和信息化部、国家统计局、国家发展和改革委员会、财政部关于印发中小企业划型标准规定的通知》（工信部联企业〔2011〕300号文）的相关规定。</w:t>
      </w:r>
    </w:p>
    <w:p w14:paraId="383D4DC1">
      <w:pPr>
        <w:ind w:firstLine="743" w:firstLineChars="354"/>
        <w:rPr>
          <w:rFonts w:hint="eastAsia" w:asciiTheme="minorEastAsia" w:hAnsiTheme="minorEastAsia" w:eastAsiaTheme="minorEastAsia" w:cstheme="minorEastAsia"/>
          <w:color w:val="auto"/>
          <w:highlight w:val="none"/>
        </w:rPr>
      </w:pPr>
    </w:p>
    <w:p w14:paraId="4644177D">
      <w:pPr>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br w:type="page"/>
      </w:r>
    </w:p>
    <w:p w14:paraId="3A35AACE">
      <w:pPr>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附件二：残疾人福利性单位声明函</w:t>
      </w:r>
    </w:p>
    <w:p w14:paraId="33E0B966">
      <w:pPr>
        <w:spacing w:line="360" w:lineRule="auto"/>
        <w:rPr>
          <w:rFonts w:hint="eastAsia" w:asciiTheme="minorEastAsia" w:hAnsiTheme="minorEastAsia" w:eastAsiaTheme="minorEastAsia" w:cstheme="minorEastAsia"/>
          <w:color w:val="auto"/>
          <w:sz w:val="24"/>
          <w:szCs w:val="24"/>
          <w:highlight w:val="none"/>
          <w:lang w:val="zh-CN"/>
        </w:rPr>
      </w:pPr>
    </w:p>
    <w:p w14:paraId="0EC92D5D">
      <w:pPr>
        <w:spacing w:line="360" w:lineRule="auto"/>
        <w:jc w:val="center"/>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（属于残疾人福利性企业的填写，不属于的无需填写此项内容）</w:t>
      </w:r>
    </w:p>
    <w:p w14:paraId="32517872">
      <w:pPr>
        <w:spacing w:line="360" w:lineRule="auto"/>
        <w:ind w:firstLine="504"/>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14:paraId="2B47F3AE">
      <w:pPr>
        <w:spacing w:line="360" w:lineRule="auto"/>
        <w:ind w:firstLine="504"/>
        <w:rPr>
          <w:rFonts w:hint="eastAsia" w:asciiTheme="minorEastAsia" w:hAnsiTheme="minorEastAsia" w:eastAsiaTheme="minorEastAsia" w:cstheme="minorEastAsia"/>
          <w:color w:val="auto"/>
          <w:spacing w:val="6"/>
          <w:sz w:val="24"/>
          <w:szCs w:val="24"/>
          <w:highlight w:val="none"/>
        </w:rPr>
      </w:pPr>
    </w:p>
    <w:p w14:paraId="4C72BB0B">
      <w:pPr>
        <w:spacing w:line="360"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（盖单位公章）</w:t>
      </w:r>
    </w:p>
    <w:p w14:paraId="44D499DC">
      <w:pPr>
        <w:spacing w:line="360"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日期：    年   月    日</w:t>
      </w:r>
    </w:p>
    <w:p w14:paraId="2AE8C254">
      <w:pPr>
        <w:spacing w:line="360" w:lineRule="auto"/>
        <w:ind w:firstLine="504"/>
        <w:rPr>
          <w:rFonts w:hint="eastAsia" w:asciiTheme="minorEastAsia" w:hAnsiTheme="minorEastAsia" w:eastAsiaTheme="minorEastAsia" w:cstheme="minorEastAsia"/>
          <w:color w:val="auto"/>
          <w:spacing w:val="6"/>
          <w:sz w:val="24"/>
          <w:szCs w:val="24"/>
          <w:highlight w:val="none"/>
        </w:rPr>
      </w:pPr>
    </w:p>
    <w:p w14:paraId="075F317C">
      <w:pPr>
        <w:spacing w:line="360" w:lineRule="auto"/>
        <w:ind w:firstLine="504"/>
        <w:rPr>
          <w:rFonts w:hint="eastAsia" w:asciiTheme="minorEastAsia" w:hAnsiTheme="minorEastAsia" w:eastAsiaTheme="minorEastAsia" w:cstheme="minorEastAsia"/>
          <w:color w:val="auto"/>
          <w:spacing w:val="6"/>
          <w:sz w:val="24"/>
          <w:szCs w:val="24"/>
          <w:highlight w:val="none"/>
        </w:rPr>
      </w:pPr>
    </w:p>
    <w:p w14:paraId="4BB674FC">
      <w:pPr>
        <w:spacing w:line="360" w:lineRule="auto"/>
        <w:ind w:firstLine="504"/>
        <w:rPr>
          <w:rFonts w:hint="eastAsia" w:asciiTheme="minorEastAsia" w:hAnsiTheme="minorEastAsia" w:eastAsiaTheme="minorEastAsia" w:cstheme="minorEastAsia"/>
          <w:color w:val="auto"/>
          <w:spacing w:val="6"/>
          <w:sz w:val="24"/>
          <w:szCs w:val="24"/>
          <w:highlight w:val="none"/>
        </w:rPr>
      </w:pPr>
    </w:p>
    <w:p w14:paraId="761A3DBF">
      <w:pPr>
        <w:spacing w:line="360" w:lineRule="auto"/>
        <w:ind w:firstLine="56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注：</w:t>
      </w:r>
    </w:p>
    <w:p w14:paraId="53D89B5F">
      <w:pPr>
        <w:spacing w:line="360" w:lineRule="auto"/>
        <w:ind w:firstLine="56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1、供应商须对声明的真实性负责，如供应商提供的《残疾人福利性单位声明函》与事实不符的，依照《中华人民共和国政府采购法》第七十七条第一款的规定追究法律责任。</w:t>
      </w:r>
    </w:p>
    <w:p w14:paraId="3DB920EA">
      <w:pPr>
        <w:spacing w:line="360" w:lineRule="auto"/>
        <w:ind w:firstLine="56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2、不填写或不提交本函的，视为不适用相关政策。</w:t>
      </w:r>
    </w:p>
    <w:p w14:paraId="067378D9">
      <w:pPr>
        <w:pStyle w:val="15"/>
        <w:spacing w:line="360" w:lineRule="auto"/>
        <w:ind w:firstLine="480"/>
        <w:rPr>
          <w:rFonts w:hint="eastAsia" w:asciiTheme="minorEastAsia" w:hAnsiTheme="minorEastAsia" w:eastAsiaTheme="minorEastAsia" w:cstheme="minorEastAsia"/>
          <w:color w:val="auto"/>
          <w:sz w:val="24"/>
          <w:szCs w:val="24"/>
          <w:highlight w:val="none"/>
        </w:rPr>
      </w:pPr>
    </w:p>
    <w:p w14:paraId="684AC02D">
      <w:pPr>
        <w:widowControl/>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br w:type="page"/>
      </w:r>
    </w:p>
    <w:p w14:paraId="279B6AC4">
      <w:pPr>
        <w:spacing w:line="360" w:lineRule="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附件三 ：监狱企业证明文件</w:t>
      </w:r>
    </w:p>
    <w:p w14:paraId="616203B0">
      <w:pPr>
        <w:spacing w:line="360" w:lineRule="auto"/>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省级以上监狱管理局、戒毒管理局（含新疆生产建设兵团）出具的属于监狱企业的证明文件。</w:t>
      </w:r>
    </w:p>
    <w:p w14:paraId="6FE034DD">
      <w:pPr>
        <w:spacing w:line="360" w:lineRule="auto"/>
        <w:ind w:firstLine="424" w:firstLineChars="177"/>
        <w:rPr>
          <w:rFonts w:hint="eastAsia" w:asciiTheme="minorEastAsia" w:hAnsiTheme="minorEastAsia" w:eastAsiaTheme="minorEastAsia" w:cstheme="minorEastAsia"/>
          <w:color w:val="auto"/>
          <w:sz w:val="24"/>
          <w:szCs w:val="24"/>
          <w:highlight w:val="none"/>
        </w:rPr>
      </w:pPr>
    </w:p>
    <w:p w14:paraId="64AAB32C">
      <w:pPr>
        <w:spacing w:line="360" w:lineRule="auto"/>
        <w:ind w:firstLine="424" w:firstLineChars="177"/>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（属于监狱企业的提供，不属于的无需填写此项内容）</w:t>
      </w:r>
    </w:p>
    <w:p w14:paraId="1C13AEEF">
      <w:pPr>
        <w:spacing w:line="360" w:lineRule="auto"/>
        <w:ind w:firstLine="424" w:firstLineChars="177"/>
        <w:rPr>
          <w:rFonts w:hint="eastAsia" w:asciiTheme="minorEastAsia" w:hAnsiTheme="minorEastAsia" w:eastAsiaTheme="minorEastAsia" w:cstheme="minorEastAsia"/>
          <w:color w:val="auto"/>
          <w:sz w:val="24"/>
          <w:szCs w:val="24"/>
          <w:highlight w:val="none"/>
        </w:rPr>
      </w:pPr>
    </w:p>
    <w:p w14:paraId="5F03A334">
      <w:pPr>
        <w:spacing w:line="360"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（盖单位公章）</w:t>
      </w:r>
    </w:p>
    <w:p w14:paraId="499087EA">
      <w:pPr>
        <w:spacing w:line="360" w:lineRule="auto"/>
        <w:jc w:val="righ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日期：    年   月    日</w:t>
      </w:r>
    </w:p>
    <w:p w14:paraId="744BF433">
      <w:pPr>
        <w:spacing w:line="360" w:lineRule="auto"/>
        <w:ind w:firstLine="56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注：</w:t>
      </w:r>
    </w:p>
    <w:p w14:paraId="57FA7B55">
      <w:pPr>
        <w:spacing w:line="360" w:lineRule="auto"/>
        <w:ind w:firstLine="56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1、供应商须对声明的真实性负责，如供应商提供的《残疾人福利性单位声明函》与事实不符的，依照《中华人民共和国政府采购法》第七十七条第一款的规定追究法律责任。</w:t>
      </w:r>
    </w:p>
    <w:p w14:paraId="1655E93B">
      <w:pPr>
        <w:spacing w:line="360" w:lineRule="auto"/>
        <w:ind w:firstLine="56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2、不填写或不提交本函的，视为不适用相关政策。</w:t>
      </w:r>
    </w:p>
    <w:p w14:paraId="25E862BD">
      <w:pPr>
        <w:ind w:firstLine="371" w:firstLineChars="177"/>
        <w:rPr>
          <w:rFonts w:hint="eastAsia" w:asciiTheme="minorEastAsia" w:hAnsiTheme="minorEastAsia" w:eastAsiaTheme="minorEastAsia" w:cstheme="minorEastAsia"/>
          <w:color w:val="auto"/>
          <w:highlight w:val="none"/>
        </w:rPr>
      </w:pPr>
    </w:p>
    <w:p w14:paraId="320FE0F5">
      <w:pPr>
        <w:ind w:firstLine="371" w:firstLineChars="177"/>
        <w:rPr>
          <w:rFonts w:hint="eastAsia" w:asciiTheme="minorEastAsia" w:hAnsiTheme="minorEastAsia" w:eastAsiaTheme="minorEastAsia" w:cstheme="minorEastAsia"/>
          <w:color w:val="auto"/>
          <w:highlight w:val="none"/>
        </w:rPr>
      </w:pPr>
    </w:p>
    <w:p w14:paraId="5DEEBFE3">
      <w:pPr>
        <w:rPr>
          <w:rFonts w:hint="eastAsia" w:asciiTheme="minorEastAsia" w:hAnsiTheme="minorEastAsia" w:eastAsiaTheme="minorEastAsia" w:cstheme="minorEastAsia"/>
          <w:color w:val="auto"/>
          <w:highlight w:val="none"/>
        </w:rPr>
      </w:pPr>
    </w:p>
    <w:p w14:paraId="02D9E10B">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7FB37003">
      <w:pPr>
        <w:pStyle w:val="6"/>
        <w:rPr>
          <w:rFonts w:hint="eastAsia" w:asciiTheme="minorEastAsia" w:hAnsiTheme="minorEastAsia" w:eastAsiaTheme="minorEastAsia" w:cstheme="minorEastAsia"/>
          <w:b/>
          <w:bCs/>
          <w:color w:val="auto"/>
          <w:kern w:val="0"/>
          <w:sz w:val="24"/>
          <w:szCs w:val="24"/>
          <w:highlight w:val="none"/>
          <w:lang w:val="en-US" w:eastAsia="zh-CN" w:bidi="ar-SA"/>
        </w:rPr>
      </w:pPr>
      <w:r>
        <w:rPr>
          <w:rFonts w:hint="eastAsia" w:asciiTheme="minorEastAsia" w:hAnsiTheme="minorEastAsia" w:eastAsiaTheme="minorEastAsia" w:cstheme="minorEastAsia"/>
          <w:b/>
          <w:bCs/>
          <w:color w:val="auto"/>
          <w:kern w:val="0"/>
          <w:sz w:val="24"/>
          <w:szCs w:val="24"/>
          <w:highlight w:val="none"/>
          <w:lang w:val="en-GB" w:eastAsia="zh-CN" w:bidi="ar-SA"/>
        </w:rPr>
        <w:t>附件：</w:t>
      </w:r>
      <w:r>
        <w:rPr>
          <w:rFonts w:hint="eastAsia" w:asciiTheme="minorEastAsia" w:hAnsiTheme="minorEastAsia" w:eastAsiaTheme="minorEastAsia" w:cstheme="minorEastAsia"/>
          <w:b/>
          <w:bCs/>
          <w:color w:val="auto"/>
          <w:kern w:val="0"/>
          <w:sz w:val="24"/>
          <w:szCs w:val="24"/>
          <w:highlight w:val="none"/>
          <w:lang w:val="en-US" w:eastAsia="zh-CN" w:bidi="ar-SA"/>
        </w:rPr>
        <w:t>四</w:t>
      </w:r>
    </w:p>
    <w:p w14:paraId="5CF330E5">
      <w:pPr>
        <w:pStyle w:val="6"/>
        <w:spacing w:line="240" w:lineRule="auto"/>
        <w:jc w:val="center"/>
        <w:rPr>
          <w:rFonts w:hint="eastAsia" w:asciiTheme="minorEastAsia" w:hAnsiTheme="minorEastAsia" w:eastAsiaTheme="minorEastAsia" w:cstheme="minorEastAsia"/>
          <w:b/>
          <w:bCs/>
          <w:color w:val="auto"/>
          <w:kern w:val="0"/>
          <w:sz w:val="24"/>
          <w:szCs w:val="24"/>
          <w:highlight w:val="none"/>
          <w:lang w:val="en-GB" w:eastAsia="zh-CN" w:bidi="ar-SA"/>
        </w:rPr>
      </w:pPr>
      <w:r>
        <w:rPr>
          <w:rFonts w:hint="eastAsia" w:asciiTheme="minorEastAsia" w:hAnsiTheme="minorEastAsia" w:eastAsiaTheme="minorEastAsia" w:cstheme="minorEastAsia"/>
          <w:b/>
          <w:bCs/>
          <w:color w:val="auto"/>
          <w:kern w:val="0"/>
          <w:sz w:val="24"/>
          <w:szCs w:val="24"/>
          <w:highlight w:val="none"/>
          <w:lang w:val="en-GB" w:eastAsia="zh-CN" w:bidi="ar-SA"/>
        </w:rPr>
        <w:t>关于符合本国产品标准的声明函</w:t>
      </w:r>
    </w:p>
    <w:p w14:paraId="203DFEDB">
      <w:pPr>
        <w:spacing w:after="156" w:afterLines="50" w:line="240" w:lineRule="auto"/>
        <w:ind w:firstLine="480"/>
        <w:jc w:val="left"/>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37B12F6">
      <w:pPr>
        <w:numPr>
          <w:ilvl w:val="0"/>
          <w:numId w:val="7"/>
        </w:numPr>
        <w:spacing w:after="156" w:afterLines="50" w:line="240" w:lineRule="auto"/>
        <w:ind w:firstLine="480"/>
        <w:jc w:val="left"/>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1</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（厂名）</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（生产厂址）</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（产品名称1）</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（规定比例）</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（产品名称1）</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（关键组件</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（产品名称1）</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（关键工序）</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47136944">
      <w:pPr>
        <w:numPr>
          <w:ilvl w:val="0"/>
          <w:numId w:val="7"/>
        </w:numPr>
        <w:spacing w:after="156" w:afterLines="50" w:line="240" w:lineRule="auto"/>
        <w:ind w:firstLine="480"/>
        <w:jc w:val="left"/>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2</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，生产厂为</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（厂名）</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，厂址为</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（生产厂址）</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2</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的中国境内生产的组件成本占比≥</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（规定比例）</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2</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（关键组件</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在中国境内生产。</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（产品名称</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2</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的</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rPr>
        <w:t>（关键工序）</w:t>
      </w:r>
      <w:r>
        <w:rPr>
          <w:rStyle w:val="23"/>
          <w:rFonts w:hint="eastAsia" w:asciiTheme="minorEastAsia" w:hAnsiTheme="minorEastAsia" w:eastAsiaTheme="minorEastAsia" w:cstheme="minorEastAsia"/>
          <w:i w:val="0"/>
          <w:iCs w:val="0"/>
          <w:caps w:val="0"/>
          <w:color w:val="auto"/>
          <w:spacing w:val="0"/>
          <w:sz w:val="24"/>
          <w:szCs w:val="24"/>
          <w:highlight w:val="none"/>
          <w:u w:val="single"/>
          <w:vertAlign w:val="baseline"/>
          <w:lang w:val="en-US" w:eastAsia="zh-CN"/>
        </w:rPr>
        <w:t xml:space="preserve">    </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在中国境内完成。</w:t>
      </w:r>
    </w:p>
    <w:p w14:paraId="50DCC713">
      <w:pPr>
        <w:numPr>
          <w:ilvl w:val="0"/>
          <w:numId w:val="7"/>
        </w:numPr>
        <w:spacing w:after="156" w:afterLines="50" w:line="240" w:lineRule="auto"/>
        <w:ind w:left="0" w:leftChars="0" w:firstLine="480" w:firstLineChars="0"/>
        <w:jc w:val="left"/>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p>
    <w:p w14:paraId="4C444D98">
      <w:pPr>
        <w:numPr>
          <w:ilvl w:val="0"/>
          <w:numId w:val="7"/>
        </w:numPr>
        <w:spacing w:after="156" w:afterLines="50" w:line="240" w:lineRule="auto"/>
        <w:ind w:left="0" w:leftChars="0" w:firstLine="480" w:firstLineChars="0"/>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w:t>
      </w:r>
    </w:p>
    <w:p w14:paraId="61F4756B">
      <w:pPr>
        <w:numPr>
          <w:ilvl w:val="0"/>
          <w:numId w:val="0"/>
        </w:numPr>
        <w:spacing w:after="156" w:afterLines="50" w:line="240" w:lineRule="auto"/>
        <w:ind w:left="480" w:leftChars="0"/>
        <w:jc w:val="left"/>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本公司（单位）对上述声明内容的真实性负责。如有虚假，愿承担相应法律责任。</w:t>
      </w:r>
    </w:p>
    <w:p w14:paraId="78F1171A">
      <w:pPr>
        <w:numPr>
          <w:ilvl w:val="0"/>
          <w:numId w:val="0"/>
        </w:numPr>
        <w:spacing w:after="156" w:afterLines="50" w:line="240" w:lineRule="auto"/>
        <w:ind w:left="480" w:leftChars="0" w:firstLine="4080" w:firstLineChars="1700"/>
        <w:jc w:val="left"/>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公司（单位）名称（盖章）：　   </w:t>
      </w:r>
    </w:p>
    <w:p w14:paraId="4310ED1E">
      <w:pPr>
        <w:numPr>
          <w:ilvl w:val="0"/>
          <w:numId w:val="0"/>
        </w:numPr>
        <w:spacing w:after="156" w:afterLines="50" w:line="240" w:lineRule="auto"/>
        <w:ind w:left="480" w:leftChars="0" w:firstLine="4080" w:firstLineChars="1700"/>
        <w:jc w:val="left"/>
        <w:rPr>
          <w:rFonts w:hint="eastAsia" w:asciiTheme="minorEastAsia" w:hAnsiTheme="minorEastAsia" w:eastAsiaTheme="minorEastAsia" w:cstheme="minorEastAsia"/>
          <w:b/>
          <w:bCs/>
          <w:color w:val="auto"/>
          <w:spacing w:val="0"/>
          <w:sz w:val="24"/>
          <w:szCs w:val="24"/>
          <w:highlight w:val="none"/>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日期：　  年　  月　  日</w:t>
      </w:r>
    </w:p>
    <w:p w14:paraId="58BCBAEE">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482" w:leftChars="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产品如有型号，请在“产品名称”栏一并填写。</w:t>
      </w:r>
    </w:p>
    <w:p w14:paraId="7565BECA">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482" w:leftChars="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生产厂名与厂址应与生产厂营业执照载明的相关信息保持一致。</w:t>
      </w:r>
    </w:p>
    <w:p w14:paraId="1BF3B8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3.</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该产品的中国境内生产的组件成本占比相关要求实施前，“规定比例”栏可不填，下同。</w:t>
      </w:r>
    </w:p>
    <w:p w14:paraId="3FC32F4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i w:val="0"/>
          <w:iCs w:val="0"/>
          <w:caps w:val="0"/>
          <w:color w:val="auto"/>
          <w:spacing w:val="0"/>
          <w:sz w:val="24"/>
          <w:szCs w:val="24"/>
          <w:highlight w:val="none"/>
          <w:shd w:val="clear" w:color="auto" w:fill="FFFFFF"/>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4.</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该产品的关键组件要求实施前，“关键组件”栏可不填，下同。</w:t>
      </w:r>
    </w:p>
    <w:p w14:paraId="6795FE1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left"/>
        <w:textAlignment w:val="auto"/>
        <w:rPr>
          <w:rFonts w:hint="eastAsia" w:asciiTheme="minorEastAsia" w:hAnsiTheme="minorEastAsia" w:eastAsiaTheme="minorEastAsia" w:cstheme="minorEastAsia"/>
          <w:color w:val="auto"/>
          <w:sz w:val="24"/>
          <w:szCs w:val="24"/>
          <w:highlight w:val="none"/>
          <w:lang w:val="en-GB" w:eastAsia="zh-CN"/>
        </w:rPr>
      </w:pPr>
      <w:r>
        <w:rPr>
          <w:rFonts w:hint="eastAsia" w:asciiTheme="minorEastAsia" w:hAnsiTheme="minorEastAsia" w:eastAsiaTheme="minorEastAsia" w:cstheme="minorEastAsia"/>
          <w:i w:val="0"/>
          <w:iCs w:val="0"/>
          <w:caps w:val="0"/>
          <w:color w:val="auto"/>
          <w:spacing w:val="0"/>
          <w:sz w:val="24"/>
          <w:szCs w:val="24"/>
          <w:highlight w:val="none"/>
          <w:shd w:val="clear" w:color="auto" w:fill="FFFFFF"/>
          <w:lang w:val="en-US" w:eastAsia="zh-CN"/>
        </w:rPr>
        <w:t>5.</w:t>
      </w:r>
      <w:r>
        <w:rPr>
          <w:rFonts w:hint="eastAsia" w:asciiTheme="minorEastAsia" w:hAnsiTheme="minorEastAsia" w:eastAsiaTheme="minorEastAsia" w:cstheme="minorEastAsia"/>
          <w:i w:val="0"/>
          <w:iCs w:val="0"/>
          <w:caps w:val="0"/>
          <w:color w:val="auto"/>
          <w:spacing w:val="0"/>
          <w:sz w:val="24"/>
          <w:szCs w:val="24"/>
          <w:highlight w:val="none"/>
          <w:shd w:val="clear" w:color="auto" w:fill="FFFFFF"/>
        </w:rPr>
        <w:t>该产品的关键工序要求实施前，“关键工序”栏可不填，下同。</w:t>
      </w:r>
    </w:p>
    <w:p w14:paraId="622AEA46">
      <w:pPr>
        <w:rPr>
          <w:rFonts w:hint="eastAsia" w:asciiTheme="minorEastAsia" w:hAnsiTheme="minorEastAsia" w:eastAsiaTheme="minorEastAsia" w:cstheme="minorEastAsia"/>
          <w:color w:val="auto"/>
          <w:highlight w:val="none"/>
        </w:rPr>
      </w:pPr>
    </w:p>
    <w:sectPr>
      <w:pgSz w:w="11906" w:h="16838"/>
      <w:pgMar w:top="1440" w:right="1946" w:bottom="1440" w:left="1560" w:header="851" w:footer="737" w:gutter="0"/>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汉仪中黑 197">
    <w:altName w:val="黑体"/>
    <w:panose1 w:val="00020600040101010101"/>
    <w:charset w:val="86"/>
    <w:family w:val="roman"/>
    <w:pitch w:val="default"/>
    <w:sig w:usb0="00000000" w:usb1="00000000" w:usb2="00000016" w:usb3="00000000" w:csb0="0004009F" w:csb1="00000000"/>
  </w:font>
  <w:font w:name="华文宋体">
    <w:altName w:val="宋体"/>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华文楷体">
    <w:altName w:val="宋体"/>
    <w:panose1 w:val="02010600040101010101"/>
    <w:charset w:val="86"/>
    <w:family w:val="auto"/>
    <w:pitch w:val="default"/>
    <w:sig w:usb0="00000000" w:usb1="00000000" w:usb2="00000000" w:usb3="00000000" w:csb0="0004009F" w:csb1="DFD70000"/>
  </w:font>
  <w:font w:name="Cambria">
    <w:panose1 w:val="02040503050406030204"/>
    <w:charset w:val="00"/>
    <w:family w:val="auto"/>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86324">
    <w:pPr>
      <w:pStyle w:val="11"/>
      <w:ind w:firstLine="360"/>
      <w:jc w:val="center"/>
    </w:pPr>
    <w:r>
      <w:fldChar w:fldCharType="begin"/>
    </w:r>
    <w:r>
      <w:instrText xml:space="preserve">PAGE   \* MERGEFORMAT</w:instrText>
    </w:r>
    <w:r>
      <w:fldChar w:fldCharType="separate"/>
    </w:r>
    <w:r>
      <w:rPr>
        <w:lang w:val="zh-CN"/>
      </w:rPr>
      <w:t>2</w:t>
    </w:r>
    <w:r>
      <w:fldChar w:fldCharType="end"/>
    </w:r>
  </w:p>
  <w:p w14:paraId="107EF19E">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DA5EA">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37846">
    <w:pPr>
      <w:pStyle w:val="11"/>
      <w:ind w:firstLine="360"/>
    </w:pPr>
  </w:p>
  <w:p w14:paraId="6BE91DB3">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437CC">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6C317">
    <w:pPr>
      <w:pStyle w:val="11"/>
      <w:ind w:firstLine="360"/>
    </w:pPr>
  </w:p>
  <w:p w14:paraId="68F2EC35">
    <w:pPr>
      <w:pStyle w:val="11"/>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9AD5">
    <w:pPr>
      <w:pStyle w:val="11"/>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FED08F">
                          <w:pPr>
                            <w:pStyle w:val="11"/>
                            <w:jc w:val="both"/>
                          </w:pPr>
                          <w:r>
                            <w:fldChar w:fldCharType="begin"/>
                          </w:r>
                          <w:r>
                            <w:instrText xml:space="preserve">PAGE   \* MERGEFORMAT</w:instrText>
                          </w:r>
                          <w:r>
                            <w:fldChar w:fldCharType="separate"/>
                          </w:r>
                          <w:r>
                            <w:rPr>
                              <w:lang w:val="zh-CN"/>
                            </w:rPr>
                            <w:t>70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71FED08F">
                    <w:pPr>
                      <w:pStyle w:val="11"/>
                      <w:jc w:val="both"/>
                    </w:pPr>
                    <w:r>
                      <w:fldChar w:fldCharType="begin"/>
                    </w:r>
                    <w:r>
                      <w:instrText xml:space="preserve">PAGE   \* MERGEFORMAT</w:instrText>
                    </w:r>
                    <w:r>
                      <w:fldChar w:fldCharType="separate"/>
                    </w:r>
                    <w:r>
                      <w:rPr>
                        <w:lang w:val="zh-CN"/>
                      </w:rPr>
                      <w:t>70</w:t>
                    </w:r>
                    <w:r>
                      <w:fldChar w:fldCharType="end"/>
                    </w:r>
                  </w:p>
                </w:txbxContent>
              </v:textbox>
            </v:shape>
          </w:pict>
        </mc:Fallback>
      </mc:AlternateContent>
    </w:r>
  </w:p>
  <w:p w14:paraId="33AA6C44">
    <w:pPr>
      <w:pStyle w:val="1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DE8BF">
    <w:pPr>
      <w:pStyle w:val="11"/>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539DD2">
                          <w:pPr>
                            <w:pStyle w:val="11"/>
                          </w:pPr>
                          <w:r>
                            <w:fldChar w:fldCharType="begin"/>
                          </w:r>
                          <w:r>
                            <w:instrText xml:space="preserve"> PAGE  \* MERGEFORMAT </w:instrText>
                          </w:r>
                          <w:r>
                            <w:fldChar w:fldCharType="separate"/>
                          </w:r>
                          <w:r>
                            <w:t>57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04539DD2">
                    <w:pPr>
                      <w:pStyle w:val="11"/>
                    </w:pPr>
                    <w:r>
                      <w:fldChar w:fldCharType="begin"/>
                    </w:r>
                    <w:r>
                      <w:instrText xml:space="preserve"> PAGE  \* MERGEFORMAT </w:instrText>
                    </w:r>
                    <w:r>
                      <w:fldChar w:fldCharType="separate"/>
                    </w:r>
                    <w:r>
                      <w:t>57</w:t>
                    </w:r>
                    <w:r>
                      <w:fldChar w:fldCharType="end"/>
                    </w:r>
                  </w:p>
                </w:txbxContent>
              </v:textbox>
            </v:shape>
          </w:pict>
        </mc:Fallback>
      </mc:AlternateContent>
    </w:r>
  </w:p>
  <w:p w14:paraId="514F2A19">
    <w:pPr>
      <w:pStyle w:val="11"/>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0D7AF">
    <w:pPr>
      <w:pStyle w:val="11"/>
      <w:ind w:right="360"/>
      <w:jc w:val="center"/>
    </w:pPr>
    <w:r>
      <w:rPr>
        <w:rFonts w:eastAsia="楷体_GB2312"/>
        <w:szCs w:val="21"/>
      </w:rPr>
      <w:t xml:space="preserve">- </w:t>
    </w:r>
    <w:r>
      <w:rPr>
        <w:rFonts w:eastAsia="楷体_GB2312"/>
        <w:szCs w:val="21"/>
      </w:rPr>
      <w:fldChar w:fldCharType="begin"/>
    </w:r>
    <w:r>
      <w:rPr>
        <w:rFonts w:eastAsia="楷体_GB2312"/>
        <w:szCs w:val="21"/>
      </w:rPr>
      <w:instrText xml:space="preserve"> PAGE </w:instrText>
    </w:r>
    <w:r>
      <w:rPr>
        <w:rFonts w:eastAsia="楷体_GB2312"/>
        <w:szCs w:val="21"/>
      </w:rPr>
      <w:fldChar w:fldCharType="separate"/>
    </w:r>
    <w:r>
      <w:rPr>
        <w:rFonts w:eastAsia="楷体_GB2312"/>
        <w:szCs w:val="21"/>
      </w:rPr>
      <w:t>70</w:t>
    </w:r>
    <w:r>
      <w:rPr>
        <w:rFonts w:eastAsia="楷体_GB2312"/>
        <w:szCs w:val="21"/>
      </w:rPr>
      <w:fldChar w:fldCharType="end"/>
    </w:r>
    <w:r>
      <w:rPr>
        <w:rFonts w:eastAsia="楷体_GB2312"/>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F934B">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81AF">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055DA">
    <w:pPr>
      <w:pStyle w:val="12"/>
      <w:pBdr>
        <w:bottom w:val="none" w:color="auto" w:sz="0" w:space="1"/>
      </w:pBdr>
      <w:jc w:val="righ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E7C3F8"/>
    <w:multiLevelType w:val="singleLevel"/>
    <w:tmpl w:val="CFE7C3F8"/>
    <w:lvl w:ilvl="0" w:tentative="0">
      <w:start w:val="1"/>
      <w:numFmt w:val="decimal"/>
      <w:suff w:val="nothing"/>
      <w:lvlText w:val="（%1）"/>
      <w:lvlJc w:val="left"/>
    </w:lvl>
  </w:abstractNum>
  <w:abstractNum w:abstractNumId="1">
    <w:nsid w:val="DAC225C8"/>
    <w:multiLevelType w:val="singleLevel"/>
    <w:tmpl w:val="DAC225C8"/>
    <w:lvl w:ilvl="0" w:tentative="0">
      <w:start w:val="1"/>
      <w:numFmt w:val="decimal"/>
      <w:lvlText w:val="%1."/>
      <w:lvlJc w:val="left"/>
      <w:pPr>
        <w:ind w:left="425" w:hanging="425"/>
      </w:pPr>
      <w:rPr>
        <w:rFonts w:hint="default"/>
      </w:rPr>
    </w:lvl>
  </w:abstractNum>
  <w:abstractNum w:abstractNumId="2">
    <w:nsid w:val="E3FB5766"/>
    <w:multiLevelType w:val="singleLevel"/>
    <w:tmpl w:val="E3FB5766"/>
    <w:lvl w:ilvl="0" w:tentative="0">
      <w:start w:val="1"/>
      <w:numFmt w:val="decimal"/>
      <w:lvlText w:val="%1."/>
      <w:lvlJc w:val="left"/>
      <w:pPr>
        <w:tabs>
          <w:tab w:val="left" w:pos="312"/>
        </w:tabs>
      </w:pPr>
    </w:lvl>
  </w:abstractNum>
  <w:abstractNum w:abstractNumId="3">
    <w:nsid w:val="FFEFC674"/>
    <w:multiLevelType w:val="singleLevel"/>
    <w:tmpl w:val="FFEFC674"/>
    <w:lvl w:ilvl="0" w:tentative="0">
      <w:start w:val="1"/>
      <w:numFmt w:val="decimal"/>
      <w:suff w:val="nothing"/>
      <w:lvlText w:val="（%1）"/>
      <w:lvlJc w:val="left"/>
    </w:lvl>
  </w:abstractNum>
  <w:abstractNum w:abstractNumId="4">
    <w:nsid w:val="076C859D"/>
    <w:multiLevelType w:val="singleLevel"/>
    <w:tmpl w:val="076C859D"/>
    <w:lvl w:ilvl="0" w:tentative="0">
      <w:start w:val="4"/>
      <w:numFmt w:val="chineseCounting"/>
      <w:suff w:val="nothing"/>
      <w:lvlText w:val="（%1）"/>
      <w:lvlJc w:val="left"/>
      <w:rPr>
        <w:rFonts w:hint="eastAsia"/>
      </w:rPr>
    </w:lvl>
  </w:abstractNum>
  <w:abstractNum w:abstractNumId="5">
    <w:nsid w:val="40961BFD"/>
    <w:multiLevelType w:val="singleLevel"/>
    <w:tmpl w:val="40961BFD"/>
    <w:lvl w:ilvl="0" w:tentative="0">
      <w:start w:val="1"/>
      <w:numFmt w:val="decimal"/>
      <w:lvlText w:val="%1."/>
      <w:lvlJc w:val="left"/>
      <w:pPr>
        <w:tabs>
          <w:tab w:val="left" w:pos="312"/>
        </w:tabs>
      </w:pPr>
    </w:lvl>
  </w:abstractNum>
  <w:abstractNum w:abstractNumId="6">
    <w:nsid w:val="7778D5B3"/>
    <w:multiLevelType w:val="singleLevel"/>
    <w:tmpl w:val="7778D5B3"/>
    <w:lvl w:ilvl="0" w:tentative="0">
      <w:start w:val="2"/>
      <w:numFmt w:val="decimal"/>
      <w:suff w:val="nothing"/>
      <w:lvlText w:val="%1、"/>
      <w:lvlJc w:val="left"/>
    </w:lvl>
  </w:abstractNum>
  <w:abstractNum w:abstractNumId="7">
    <w:nsid w:val="7A0F6431"/>
    <w:multiLevelType w:val="singleLevel"/>
    <w:tmpl w:val="7A0F6431"/>
    <w:lvl w:ilvl="0" w:tentative="0">
      <w:start w:val="1"/>
      <w:numFmt w:val="decimal"/>
      <w:suff w:val="space"/>
      <w:lvlText w:val="%1."/>
      <w:lvlJc w:val="left"/>
    </w:lvl>
  </w:abstractNum>
  <w:num w:numId="1">
    <w:abstractNumId w:val="1"/>
  </w:num>
  <w:num w:numId="2">
    <w:abstractNumId w:val="6"/>
  </w:num>
  <w:num w:numId="3">
    <w:abstractNumId w:val="7"/>
  </w:num>
  <w:num w:numId="4">
    <w:abstractNumId w:val="0"/>
  </w:num>
  <w:num w:numId="5">
    <w:abstractNumId w:val="3"/>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9075B"/>
    <w:rsid w:val="00464984"/>
    <w:rsid w:val="03D149E0"/>
    <w:rsid w:val="04711E59"/>
    <w:rsid w:val="05D47115"/>
    <w:rsid w:val="07FB0471"/>
    <w:rsid w:val="08837A96"/>
    <w:rsid w:val="08901A19"/>
    <w:rsid w:val="0A03621B"/>
    <w:rsid w:val="0AB26AC6"/>
    <w:rsid w:val="0AEC1A68"/>
    <w:rsid w:val="0B811663"/>
    <w:rsid w:val="0D194A15"/>
    <w:rsid w:val="0DAE2941"/>
    <w:rsid w:val="0E520FAB"/>
    <w:rsid w:val="0EC76535"/>
    <w:rsid w:val="0F00541F"/>
    <w:rsid w:val="100B407B"/>
    <w:rsid w:val="14EA0703"/>
    <w:rsid w:val="14F41DDB"/>
    <w:rsid w:val="15442C2E"/>
    <w:rsid w:val="16E11692"/>
    <w:rsid w:val="1AF76D49"/>
    <w:rsid w:val="1BDB6FF7"/>
    <w:rsid w:val="1D713977"/>
    <w:rsid w:val="1DD600BE"/>
    <w:rsid w:val="1DF44B61"/>
    <w:rsid w:val="1E6B49E7"/>
    <w:rsid w:val="1E7266D5"/>
    <w:rsid w:val="1EA16D42"/>
    <w:rsid w:val="1EAC5EE5"/>
    <w:rsid w:val="1F953961"/>
    <w:rsid w:val="21621621"/>
    <w:rsid w:val="2165362A"/>
    <w:rsid w:val="21845A3B"/>
    <w:rsid w:val="21A93CBF"/>
    <w:rsid w:val="21E1216B"/>
    <w:rsid w:val="226F6A0D"/>
    <w:rsid w:val="248024EA"/>
    <w:rsid w:val="25714529"/>
    <w:rsid w:val="27821059"/>
    <w:rsid w:val="29345FFE"/>
    <w:rsid w:val="2964062C"/>
    <w:rsid w:val="29D30204"/>
    <w:rsid w:val="2A587A65"/>
    <w:rsid w:val="2ABF5D89"/>
    <w:rsid w:val="2BC66C53"/>
    <w:rsid w:val="2BF51A0F"/>
    <w:rsid w:val="2E862DF3"/>
    <w:rsid w:val="2EDF69A7"/>
    <w:rsid w:val="30136908"/>
    <w:rsid w:val="30C6676A"/>
    <w:rsid w:val="31EB6A1E"/>
    <w:rsid w:val="3242018E"/>
    <w:rsid w:val="324F44D1"/>
    <w:rsid w:val="32D5213E"/>
    <w:rsid w:val="335E433E"/>
    <w:rsid w:val="3373498D"/>
    <w:rsid w:val="339733AC"/>
    <w:rsid w:val="33C64B8F"/>
    <w:rsid w:val="34D66156"/>
    <w:rsid w:val="35303AB8"/>
    <w:rsid w:val="353C799D"/>
    <w:rsid w:val="358B4E35"/>
    <w:rsid w:val="35EA0E10"/>
    <w:rsid w:val="361A2073"/>
    <w:rsid w:val="374014FC"/>
    <w:rsid w:val="38855EC9"/>
    <w:rsid w:val="39311BAD"/>
    <w:rsid w:val="39DF785B"/>
    <w:rsid w:val="3A0C36D3"/>
    <w:rsid w:val="3ADB0230"/>
    <w:rsid w:val="3C286DA2"/>
    <w:rsid w:val="3FC974C4"/>
    <w:rsid w:val="407F58F4"/>
    <w:rsid w:val="40A66C03"/>
    <w:rsid w:val="424E784F"/>
    <w:rsid w:val="426C1EA8"/>
    <w:rsid w:val="429D212B"/>
    <w:rsid w:val="436A4639"/>
    <w:rsid w:val="439D6EA5"/>
    <w:rsid w:val="450E5498"/>
    <w:rsid w:val="456F3487"/>
    <w:rsid w:val="46126302"/>
    <w:rsid w:val="46F96318"/>
    <w:rsid w:val="480A0199"/>
    <w:rsid w:val="49C16F7D"/>
    <w:rsid w:val="4B18583A"/>
    <w:rsid w:val="4B892DB4"/>
    <w:rsid w:val="4C40062D"/>
    <w:rsid w:val="4DDE6D33"/>
    <w:rsid w:val="4E571344"/>
    <w:rsid w:val="4EFB4CDF"/>
    <w:rsid w:val="4F1F09CE"/>
    <w:rsid w:val="4F3F1C9F"/>
    <w:rsid w:val="51281690"/>
    <w:rsid w:val="514209A3"/>
    <w:rsid w:val="51B80785"/>
    <w:rsid w:val="5228659E"/>
    <w:rsid w:val="53D14348"/>
    <w:rsid w:val="545804DE"/>
    <w:rsid w:val="54C04E93"/>
    <w:rsid w:val="54C067AF"/>
    <w:rsid w:val="5540344C"/>
    <w:rsid w:val="55472A2C"/>
    <w:rsid w:val="58201F3D"/>
    <w:rsid w:val="589D585A"/>
    <w:rsid w:val="58AE2DC2"/>
    <w:rsid w:val="5CDC6150"/>
    <w:rsid w:val="5E084D23"/>
    <w:rsid w:val="5E0F60B1"/>
    <w:rsid w:val="5E917AEF"/>
    <w:rsid w:val="5EAC56AE"/>
    <w:rsid w:val="60275934"/>
    <w:rsid w:val="636A42A2"/>
    <w:rsid w:val="643D2685"/>
    <w:rsid w:val="645F6310"/>
    <w:rsid w:val="64794284"/>
    <w:rsid w:val="64803865"/>
    <w:rsid w:val="64F953C5"/>
    <w:rsid w:val="65CD0FCB"/>
    <w:rsid w:val="69103B74"/>
    <w:rsid w:val="6B036F9E"/>
    <w:rsid w:val="6C9C3206"/>
    <w:rsid w:val="6CD56D4D"/>
    <w:rsid w:val="6CD57DDC"/>
    <w:rsid w:val="6FD3458B"/>
    <w:rsid w:val="712D267F"/>
    <w:rsid w:val="725755AF"/>
    <w:rsid w:val="72D74F98"/>
    <w:rsid w:val="73076EFF"/>
    <w:rsid w:val="736F0856"/>
    <w:rsid w:val="7372081D"/>
    <w:rsid w:val="73CB617F"/>
    <w:rsid w:val="74730CF0"/>
    <w:rsid w:val="74C01A5C"/>
    <w:rsid w:val="76925D83"/>
    <w:rsid w:val="76DD4B47"/>
    <w:rsid w:val="77FC724F"/>
    <w:rsid w:val="79F603A6"/>
    <w:rsid w:val="7B1B0098"/>
    <w:rsid w:val="7B825CBD"/>
    <w:rsid w:val="7C0C3FBA"/>
    <w:rsid w:val="7C60119B"/>
    <w:rsid w:val="7D427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9"/>
    <w:pPr>
      <w:jc w:val="center"/>
      <w:outlineLvl w:val="0"/>
    </w:pPr>
    <w:rPr>
      <w:rFonts w:ascii="黑体" w:hAnsi="黑体" w:eastAsia="黑体"/>
      <w:b/>
      <w:sz w:val="48"/>
      <w:szCs w:val="36"/>
    </w:rPr>
  </w:style>
  <w:style w:type="paragraph" w:styleId="3">
    <w:name w:val="heading 2"/>
    <w:basedOn w:val="1"/>
    <w:next w:val="4"/>
    <w:qFormat/>
    <w:uiPriority w:val="9"/>
    <w:pPr>
      <w:spacing w:line="480" w:lineRule="exact"/>
      <w:outlineLvl w:val="1"/>
    </w:pPr>
    <w:rPr>
      <w:rFonts w:ascii="Times New Roman" w:hAnsi="Times New Roman" w:eastAsia="仿宋"/>
      <w:sz w:val="32"/>
    </w:rPr>
  </w:style>
  <w:style w:type="paragraph" w:styleId="5">
    <w:name w:val="heading 3"/>
    <w:basedOn w:val="3"/>
    <w:next w:val="1"/>
    <w:qFormat/>
    <w:uiPriority w:val="1"/>
    <w:pPr>
      <w:spacing w:before="53" w:line="360" w:lineRule="auto"/>
      <w:ind w:left="4082" w:firstLine="200" w:firstLineChars="200"/>
      <w:outlineLvl w:val="2"/>
    </w:pPr>
    <w:rPr>
      <w:rFonts w:ascii="Calibri Light" w:hAnsi="Calibri Light" w:eastAsia="@汉仪中黑 197" w:cs="Calibri Light"/>
      <w:bCs/>
      <w:sz w:val="24"/>
      <w:szCs w:val="30"/>
      <w:lang w:val="zh-CN" w:bidi="zh-CN"/>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6">
    <w:name w:val="caption"/>
    <w:basedOn w:val="1"/>
    <w:next w:val="1"/>
    <w:qFormat/>
    <w:uiPriority w:val="0"/>
    <w:pPr>
      <w:spacing w:before="152" w:after="160"/>
    </w:pPr>
    <w:rPr>
      <w:rFonts w:ascii="Arial" w:hAnsi="Arial" w:eastAsia="黑体" w:cs="Times New Roman"/>
      <w:sz w:val="32"/>
      <w:szCs w:val="20"/>
    </w:rPr>
  </w:style>
  <w:style w:type="paragraph" w:styleId="7">
    <w:name w:val="Body Text"/>
    <w:basedOn w:val="1"/>
    <w:next w:val="8"/>
    <w:unhideWhenUsed/>
    <w:qFormat/>
    <w:uiPriority w:val="99"/>
    <w:pPr>
      <w:spacing w:after="120"/>
    </w:pPr>
    <w:rPr>
      <w:kern w:val="0"/>
      <w:sz w:val="20"/>
    </w:rPr>
  </w:style>
  <w:style w:type="paragraph" w:styleId="8">
    <w:name w:val="toc 2"/>
    <w:basedOn w:val="1"/>
    <w:next w:val="1"/>
    <w:qFormat/>
    <w:uiPriority w:val="0"/>
    <w:pPr>
      <w:ind w:left="200" w:leftChars="200"/>
    </w:pPr>
  </w:style>
  <w:style w:type="paragraph" w:styleId="9">
    <w:name w:val="Body Text Indent"/>
    <w:basedOn w:val="1"/>
    <w:qFormat/>
    <w:uiPriority w:val="0"/>
    <w:pPr>
      <w:spacing w:line="360" w:lineRule="auto"/>
      <w:ind w:firstLine="482" w:firstLineChars="100"/>
      <w:jc w:val="center"/>
    </w:pPr>
    <w:rPr>
      <w:rFonts w:ascii="黑体" w:eastAsia="黑体"/>
      <w:b/>
      <w:sz w:val="48"/>
      <w:szCs w:val="28"/>
    </w:rPr>
  </w:style>
  <w:style w:type="paragraph" w:styleId="10">
    <w:name w:val="Plain Text"/>
    <w:basedOn w:val="1"/>
    <w:unhideWhenUsed/>
    <w:qFormat/>
    <w:uiPriority w:val="99"/>
    <w:rPr>
      <w:rFonts w:ascii="宋体" w:hAnsi="Courier New" w:eastAsia="华文宋体"/>
      <w:szCs w:val="20"/>
    </w:rPr>
  </w:style>
  <w:style w:type="paragraph" w:styleId="11">
    <w:name w:val="footer"/>
    <w:basedOn w:val="1"/>
    <w:unhideWhenUsed/>
    <w:qFormat/>
    <w:uiPriority w:val="0"/>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spacing w:before="120" w:after="120" w:line="360" w:lineRule="auto"/>
      <w:ind w:firstLine="200" w:firstLineChars="200"/>
      <w:jc w:val="left"/>
    </w:pPr>
    <w:rPr>
      <w:rFonts w:ascii="Times New Roman" w:hAnsi="Times New Roman" w:eastAsia="@汉仪中黑 197" w:cs="Calibri Light"/>
      <w:b/>
      <w:bCs/>
      <w:caps/>
      <w:sz w:val="20"/>
      <w:szCs w:val="20"/>
    </w:rPr>
  </w:style>
  <w:style w:type="paragraph" w:styleId="14">
    <w:name w:val="footnote text"/>
    <w:basedOn w:val="1"/>
    <w:qFormat/>
    <w:uiPriority w:val="0"/>
    <w:pPr>
      <w:snapToGrid w:val="0"/>
      <w:jc w:val="left"/>
    </w:pPr>
    <w:rPr>
      <w:sz w:val="18"/>
      <w:szCs w:val="18"/>
    </w:rPr>
  </w:style>
  <w:style w:type="paragraph" w:styleId="15">
    <w:name w:val="Body Text 2"/>
    <w:basedOn w:val="1"/>
    <w:qFormat/>
    <w:uiPriority w:val="0"/>
    <w:pPr>
      <w:spacing w:line="480" w:lineRule="auto"/>
      <w:ind w:firstLine="200" w:firstLineChars="200"/>
      <w:jc w:val="left"/>
    </w:pPr>
    <w:rPr>
      <w:rFonts w:ascii="Calibri Light" w:hAnsi="Calibri Light" w:eastAsia="@汉仪中黑 197" w:cs="Calibri Light"/>
      <w:sz w:val="24"/>
      <w:szCs w:val="24"/>
    </w:rPr>
  </w:style>
  <w:style w:type="paragraph" w:styleId="16">
    <w:name w:val="Normal (Web)"/>
    <w:basedOn w:val="1"/>
    <w:qFormat/>
    <w:uiPriority w:val="0"/>
    <w:pPr>
      <w:jc w:val="left"/>
    </w:pPr>
    <w:rPr>
      <w:kern w:val="0"/>
      <w:sz w:val="24"/>
    </w:rPr>
  </w:style>
  <w:style w:type="paragraph" w:styleId="17">
    <w:name w:val="Body Text First Indent"/>
    <w:basedOn w:val="7"/>
    <w:qFormat/>
    <w:uiPriority w:val="0"/>
    <w:pPr>
      <w:spacing w:line="360" w:lineRule="auto"/>
      <w:ind w:firstLine="420"/>
    </w:pPr>
    <w:rPr>
      <w:rFonts w:eastAsia="Arial Unicode MS"/>
      <w:color w:val="000000"/>
      <w:sz w:val="28"/>
      <w:szCs w:val="28"/>
    </w:rPr>
  </w:style>
  <w:style w:type="paragraph" w:styleId="18">
    <w:name w:val="Body Text First Indent 2"/>
    <w:basedOn w:val="9"/>
    <w:qFormat/>
    <w:uiPriority w:val="0"/>
    <w:pPr>
      <w:widowControl/>
      <w:spacing w:after="120" w:line="360" w:lineRule="auto"/>
      <w:ind w:left="420" w:leftChars="200" w:firstLine="420" w:firstLineChars="200"/>
    </w:pPr>
    <w:rPr>
      <w:b w:val="0"/>
      <w:kern w:val="2"/>
      <w:sz w:val="21"/>
      <w:szCs w:val="21"/>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rPr>
  </w:style>
  <w:style w:type="character" w:styleId="24">
    <w:name w:val="Hyperlink"/>
    <w:qFormat/>
    <w:uiPriority w:val="99"/>
    <w:rPr>
      <w:color w:val="666666"/>
      <w:u w:val="none"/>
    </w:r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Table Text"/>
    <w:basedOn w:val="1"/>
    <w:semiHidden/>
    <w:qFormat/>
    <w:uiPriority w:val="0"/>
    <w:pPr>
      <w:spacing w:line="500" w:lineRule="exact"/>
      <w:ind w:firstLine="200" w:firstLineChars="200"/>
      <w:jc w:val="left"/>
    </w:pPr>
    <w:rPr>
      <w:rFonts w:ascii="宋体" w:hAnsi="宋体" w:cs="宋体"/>
      <w:sz w:val="24"/>
      <w:szCs w:val="24"/>
      <w:lang w:eastAsia="en-US"/>
    </w:rPr>
  </w:style>
  <w:style w:type="paragraph" w:customStyle="1" w:styleId="27">
    <w:name w:val="*正文_2"/>
    <w:basedOn w:val="1"/>
    <w:next w:val="1"/>
    <w:qFormat/>
    <w:uiPriority w:val="0"/>
    <w:pPr>
      <w:widowControl/>
      <w:ind w:firstLine="482"/>
    </w:pPr>
    <w:rPr>
      <w:rFonts w:ascii="微软雅黑" w:hAnsi="微软雅黑" w:eastAsia="微软雅黑"/>
      <w:kern w:val="0"/>
      <w:szCs w:val="20"/>
    </w:rPr>
  </w:style>
  <w:style w:type="paragraph" w:customStyle="1" w:styleId="28">
    <w:name w:val="Default"/>
    <w:next w:val="29"/>
    <w:qFormat/>
    <w:uiPriority w:val="0"/>
    <w:pPr>
      <w:spacing w:line="360" w:lineRule="auto"/>
    </w:pPr>
    <w:rPr>
      <w:rFonts w:ascii="宋体" w:hAnsi="宋体" w:eastAsia="宋体" w:cs="宋体"/>
      <w:kern w:val="2"/>
      <w:sz w:val="24"/>
      <w:szCs w:val="24"/>
      <w:lang w:val="en-US" w:eastAsia="zh-CN" w:bidi="ar-SA"/>
    </w:rPr>
  </w:style>
  <w:style w:type="paragraph" w:customStyle="1" w:styleId="29">
    <w:name w:val="大标题"/>
    <w:basedOn w:val="1"/>
    <w:next w:val="18"/>
    <w:qFormat/>
    <w:uiPriority w:val="0"/>
    <w:pPr>
      <w:pageBreakBefore/>
      <w:spacing w:after="200" w:line="720" w:lineRule="auto"/>
      <w:jc w:val="center"/>
      <w:outlineLvl w:val="0"/>
    </w:pPr>
    <w:rPr>
      <w:rFonts w:ascii="黑体" w:hAnsi="Calibri" w:eastAsia="黑体"/>
      <w:sz w:val="32"/>
      <w:szCs w:val="30"/>
      <w:lang w:eastAsia="en-US" w:bidi="en-US"/>
    </w:rPr>
  </w:style>
  <w:style w:type="paragraph" w:customStyle="1" w:styleId="3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1">
    <w:name w:val="列出段落1"/>
    <w:basedOn w:val="1"/>
    <w:qFormat/>
    <w:uiPriority w:val="0"/>
    <w:pPr>
      <w:ind w:firstLine="420" w:firstLineChars="200"/>
    </w:pPr>
    <w:rPr>
      <w:szCs w:val="21"/>
    </w:rPr>
  </w:style>
  <w:style w:type="character" w:customStyle="1" w:styleId="32">
    <w:name w:val="font81"/>
    <w:basedOn w:val="21"/>
    <w:qFormat/>
    <w:uiPriority w:val="0"/>
    <w:rPr>
      <w:rFonts w:hint="eastAsia" w:ascii="宋体" w:hAnsi="宋体" w:eastAsia="宋体" w:cs="宋体"/>
      <w:color w:val="000000"/>
      <w:sz w:val="20"/>
      <w:szCs w:val="20"/>
      <w:u w:val="none"/>
    </w:rPr>
  </w:style>
  <w:style w:type="character" w:customStyle="1" w:styleId="33">
    <w:name w:val="font21"/>
    <w:basedOn w:val="21"/>
    <w:qFormat/>
    <w:uiPriority w:val="0"/>
    <w:rPr>
      <w:rFonts w:hint="eastAsia" w:ascii="宋体" w:hAnsi="宋体" w:eastAsia="宋体" w:cs="宋体"/>
      <w:color w:val="000000"/>
      <w:sz w:val="20"/>
      <w:szCs w:val="20"/>
      <w:u w:val="none"/>
    </w:rPr>
  </w:style>
  <w:style w:type="character" w:customStyle="1" w:styleId="34">
    <w:name w:val="font91"/>
    <w:basedOn w:val="21"/>
    <w:qFormat/>
    <w:uiPriority w:val="0"/>
    <w:rPr>
      <w:rFonts w:ascii="Cambria" w:hAnsi="Cambria" w:eastAsia="Cambria" w:cs="Cambria"/>
      <w:color w:val="000000"/>
      <w:sz w:val="20"/>
      <w:szCs w:val="20"/>
      <w:u w:val="none"/>
    </w:rPr>
  </w:style>
  <w:style w:type="character" w:customStyle="1" w:styleId="35">
    <w:name w:val="font51"/>
    <w:basedOn w:val="21"/>
    <w:qFormat/>
    <w:uiPriority w:val="0"/>
    <w:rPr>
      <w:rFonts w:hint="eastAsia" w:ascii="宋体" w:hAnsi="宋体" w:eastAsia="宋体" w:cs="宋体"/>
      <w:color w:val="000000"/>
      <w:sz w:val="20"/>
      <w:szCs w:val="20"/>
      <w:u w:val="none"/>
    </w:rPr>
  </w:style>
  <w:style w:type="character" w:customStyle="1" w:styleId="36">
    <w:name w:val="font101"/>
    <w:basedOn w:val="21"/>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124</Pages>
  <Words>44913</Words>
  <Characters>49169</Characters>
  <Lines>0</Lines>
  <Paragraphs>0</Paragraphs>
  <TotalTime>43</TotalTime>
  <ScaleCrop>false</ScaleCrop>
  <LinksUpToDate>false</LinksUpToDate>
  <CharactersWithSpaces>52736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2025-08-26T09:54:00Z</dcterms:created>
  <dc:creator>Administrator</dc:creator>
  <cp:lastModifiedBy>三门峡</cp:lastModifiedBy>
  <dcterms:modified xsi:type="dcterms:W3CDTF">2026-08-07T09:48:43Z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eyJoZGlkIjoiODliMDE0NzQ5NjA0NmQ2ZmZiZmZiMDNkN2EwZDE3NDciLCJ1c2VySWQiOiIxOTcyOTQ0NSJ9</vt:lpwstr>
  </property>
  <property fmtid="{D5CDD505-2E9C-101B-9397-08002B2CF9AE}" pid="4" name="ICV">
    <vt:lpwstr>466B72BDFDCD424BAF0D552C057B4272_13</vt:lpwstr>
  </property>
</Properties>
</file>